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GUIDE ENSEIGNANT – PHASE 1</w:t>
      </w:r>
    </w:p>
    <w:p>
      <w:pPr>
        <w:jc w:val="center"/>
      </w:pPr>
      <w:r>
        <w:rPr>
          <w:b/>
          <w:bCs/>
          <w:sz w:val="26"/>
          <w:szCs w:val="26"/>
        </w:rPr>
        <w:t xml:space="preserve">Découverte et Assemblage du Bras Robotique 6 Axes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Durée : 1 heure – Niveau : BTS / Licence</w:t>
      </w:r>
    </w:p>
    <w:p/>
    <w:p>
      <w:pPr>
        <w:pStyle w:val="Heading2"/>
      </w:pPr>
      <w:r>
        <w:t xml:space="preserve">1. OBJECTIFS ET COMPÉTENCES VISÉES</w:t>
      </w:r>
    </w:p>
    <w:p>
      <w:pPr>
        <w:pStyle w:val="Heading3"/>
      </w:pPr>
      <w:r>
        <w:t xml:space="preserve">1.1 Objectifs pédagogiques</w:t>
      </w:r>
    </w:p>
    <w:p>
      <w:pPr>
        <w:pStyle w:val="ListParagraph"/>
        <w:numPr>
          <w:ilvl w:val="0"/>
          <w:numId w:val="2"/>
        </w:numPr>
      </w:pPr>
      <w:r>
        <w:t xml:space="preserve">Comprendre la structure mécanique et cinématique d'un robot manipulateur 6 axes</w:t>
      </w:r>
    </w:p>
    <w:p>
      <w:pPr>
        <w:pStyle w:val="ListParagraph"/>
        <w:numPr>
          <w:ilvl w:val="0"/>
          <w:numId w:val="2"/>
        </w:numPr>
      </w:pPr>
      <w:r>
        <w:t xml:space="preserve">Identifier et caractériser les composants électroniques et mécaniques</w:t>
      </w:r>
    </w:p>
    <w:p>
      <w:pPr>
        <w:pStyle w:val="ListParagraph"/>
        <w:numPr>
          <w:ilvl w:val="0"/>
          <w:numId w:val="2"/>
        </w:numPr>
      </w:pPr>
      <w:r>
        <w:t xml:space="preserve">Maîtriser les outils de configuration (Dynamixel Wizard)</w:t>
      </w:r>
    </w:p>
    <w:p>
      <w:pPr>
        <w:pStyle w:val="ListParagraph"/>
        <w:numPr>
          <w:ilvl w:val="0"/>
          <w:numId w:val="2"/>
        </w:numPr>
      </w:pPr>
      <w:r>
        <w:t xml:space="preserve">Réaliser une calibration complète du système</w:t>
      </w:r>
    </w:p>
    <w:p>
      <w:pPr>
        <w:pStyle w:val="ListParagraph"/>
        <w:numPr>
          <w:ilvl w:val="0"/>
          <w:numId w:val="2"/>
        </w:numPr>
      </w:pPr>
      <w:r>
        <w:t xml:space="preserve">Analyser les choix technologiques (servomoteurs intelligents vs steppers)</w:t>
      </w:r>
    </w:p>
    <w:p/>
    <w:p>
      <w:pPr>
        <w:pStyle w:val="Heading3"/>
      </w:pPr>
      <w:r>
        <w:t xml:space="preserve">1.2 Compétences développées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Compétence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Indicateurs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Analyse technique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Identifier les 6 DDL, schématiser la chaîne cinématique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Manipulation d'outils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Utiliser Dynamixel Wizard, configurer les servos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 série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Comprendre le protocole Dynamixel, gérer les erreurs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Méthodologie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Suivre une procédure, documenter la calibration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Esprit critique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Comparer technologies, justifier choix techniques</w:t>
            </w:r>
          </w:p>
        </w:tc>
      </w:tr>
    </w:tbl>
    <w:p/>
    <w:p>
      <w:pPr>
        <w:pStyle w:val="Heading2"/>
      </w:pPr>
      <w:r>
        <w:t xml:space="preserve">2. DÉROULÉ PÉDAGOGIQUE DÉTAILLÉ</w:t>
      </w:r>
    </w:p>
    <w:p>
      <w:pPr>
        <w:pStyle w:val="Heading3"/>
      </w:pPr>
      <w:r>
        <w:t xml:space="preserve">Activité 1 : Analyse de la structure mécanique (15 min)</w:t>
      </w:r>
    </w:p>
    <w:p>
      <w:r>
        <w:rPr>
          <w:b/>
          <w:bCs/>
        </w:rPr>
        <w:t xml:space="preserve">Objectif : </w:t>
      </w:r>
      <w:r>
        <w:t xml:space="preserve">Comprendre la cinématique du robot, identifier les axes de rotation.</w:t>
      </w:r>
    </w:p>
    <w:p/>
    <w:p>
      <w:r>
        <w:rPr>
          <w:b/>
          <w:bCs/>
          <w:u w:val="single"/>
        </w:rPr>
        <w:t xml:space="preserve">Déroulement :</w:t>
      </w:r>
    </w:p>
    <w:p>
      <w:pPr>
        <w:pStyle w:val="ListParagraph"/>
        <w:numPr>
          <w:ilvl w:val="0"/>
          <w:numId w:val="2"/>
        </w:numPr>
      </w:pPr>
      <w:r>
        <w:t xml:space="preserve">(0-5 min) Présentation magistrale : DDL, chaîne articulée, repères</w:t>
      </w:r>
    </w:p>
    <w:p>
      <w:pPr>
        <w:pStyle w:val="ListParagraph"/>
        <w:numPr>
          <w:ilvl w:val="0"/>
          <w:numId w:val="2"/>
        </w:numPr>
      </w:pPr>
      <w:r>
        <w:t xml:space="preserve">(5-10 min) Observation du robot : manipulation manuelle, identification des 6 axes</w:t>
      </w:r>
    </w:p>
    <w:p>
      <w:pPr>
        <w:pStyle w:val="ListParagraph"/>
        <w:numPr>
          <w:ilvl w:val="0"/>
          <w:numId w:val="2"/>
        </w:numPr>
      </w:pPr>
      <w:r>
        <w:t xml:space="preserve">(10-15 min) Remplissage du tableau : type de mouvement, plage angulaire estimée</w:t>
      </w:r>
    </w:p>
    <w:p/>
    <w:p>
      <w:r>
        <w:rPr>
          <w:b/>
          <w:bCs/>
        </w:rPr>
        <w:t xml:space="preserve">Réponses attendues :</w:t>
      </w:r>
    </w:p>
    <w:p>
      <w:r>
        <w:t xml:space="preserve">• 6 degrés de liberté (6 rotations)</w:t>
      </w:r>
    </w:p>
    <w:p>
      <w:r>
        <w:t xml:space="preserve">• Axe 1 (base) : rotation, ±150° | Axe 2 (épaule) : rotation, -90° à +90°</w:t>
      </w:r>
    </w:p>
    <w:p>
      <w:r>
        <w:t xml:space="preserve">• Axe 3 (coude) : rotation, -120° à +120° | Axes 4-5-6 (poignet) : rotations, ±150°</w:t>
      </w:r>
    </w:p>
    <w:p/>
    <w:p>
      <w:r>
        <w:rPr>
          <w:b/>
          <w:bCs/>
          <w:color w:val="C45911"/>
        </w:rPr>
        <w:t xml:space="preserve">Points de vigilance :</w:t>
      </w:r>
    </w:p>
    <w:p>
      <w:pPr>
        <w:pStyle w:val="ListParagraph"/>
        <w:numPr>
          <w:ilvl w:val="0"/>
          <w:numId w:val="2"/>
        </w:numPr>
      </w:pPr>
      <w:r>
        <w:t xml:space="preserve">S'assurer que tous les étudiants manipulent le robot (par binômes)</w:t>
      </w:r>
    </w:p>
    <w:p>
      <w:pPr>
        <w:pStyle w:val="ListParagraph"/>
        <w:numPr>
          <w:ilvl w:val="0"/>
          <w:numId w:val="2"/>
        </w:numPr>
      </w:pPr>
      <w:r>
        <w:t xml:space="preserve">Vérifier la compréhension de la différence position/orientation</w:t>
      </w:r>
    </w:p>
    <w:p/>
    <w:p>
      <w:pPr>
        <w:pStyle w:val="Heading3"/>
      </w:pPr>
      <w:r>
        <w:t xml:space="preserve">Activité 2 : Identification des composants (10 min)</w:t>
      </w:r>
    </w:p>
    <w:p>
      <w:r>
        <w:rPr>
          <w:b/>
          <w:bCs/>
        </w:rPr>
        <w:t xml:space="preserve">Objectif : </w:t>
      </w:r>
      <w:r>
        <w:t xml:space="preserve">Identifier les composants matériels et comprendre leur rôle.</w:t>
      </w:r>
    </w:p>
    <w:p/>
    <w:p>
      <w:r>
        <w:rPr>
          <w:b/>
          <w:bCs/>
          <w:u w:val="single"/>
        </w:rPr>
        <w:t xml:space="preserve">Déroulement :</w:t>
      </w:r>
    </w:p>
    <w:p>
      <w:pPr>
        <w:pStyle w:val="ListParagraph"/>
        <w:numPr>
          <w:ilvl w:val="0"/>
          <w:numId w:val="2"/>
        </w:numPr>
      </w:pPr>
      <w:r>
        <w:t xml:space="preserve">(0-5 min) Présentation des composants : servomoteurs AX-12, USB2AX, alimentation</w:t>
      </w:r>
    </w:p>
    <w:p>
      <w:pPr>
        <w:pStyle w:val="ListParagraph"/>
        <w:numPr>
          <w:ilvl w:val="0"/>
          <w:numId w:val="2"/>
        </w:numPr>
      </w:pPr>
      <w:r>
        <w:t xml:space="preserve">(5-10 min) Observation et remplissage du tableau</w:t>
      </w:r>
    </w:p>
    <w:p/>
    <w:p>
      <w:r>
        <w:rPr>
          <w:b/>
          <w:bCs/>
        </w:rPr>
        <w:t xml:space="preserve">Réponses attendues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Servomoteurs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Dynamixel AX-12A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Actionneur intelligent avec asservissement PID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Contrôleur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USB2AX v3.2a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Convertisseur USB ↔ TTL half-duplex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12V DC / 5A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 électrique des servos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 communication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Série TTL half-duplex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Protocole Dynamixel 1.0, 1 Mbps</w:t>
            </w:r>
          </w:p>
        </w:tc>
      </w:tr>
    </w:tbl>
    <w:p/>
    <w:p>
      <w:pPr>
        <w:pageBreakBefore/>
      </w:pPr>
    </w:p>
    <w:p>
      <w:pPr>
        <w:pStyle w:val="Heading3"/>
      </w:pPr>
      <w:r>
        <w:t xml:space="preserve">Activité 3 : Scan et identification des servomoteurs (15 min)</w:t>
      </w:r>
    </w:p>
    <w:p>
      <w:r>
        <w:rPr>
          <w:b/>
          <w:bCs/>
        </w:rPr>
        <w:t xml:space="preserve">Objectif : </w:t>
      </w:r>
      <w:r>
        <w:t xml:space="preserve">Utiliser Dynamixel Wizard pour détecter et identifier les servos.</w:t>
      </w:r>
    </w:p>
    <w:p/>
    <w:p>
      <w:r>
        <w:rPr>
          <w:b/>
          <w:bCs/>
          <w:u w:val="single"/>
        </w:rPr>
        <w:t xml:space="preserve">Déroulement :</w:t>
      </w:r>
    </w:p>
    <w:p>
      <w:pPr>
        <w:pStyle w:val="ListParagraph"/>
        <w:numPr>
          <w:ilvl w:val="0"/>
          <w:numId w:val="2"/>
        </w:numPr>
      </w:pPr>
      <w:r>
        <w:t xml:space="preserve">(0-5 min) Connexion du matériel (suivre procédure de sécurité)</w:t>
      </w:r>
    </w:p>
    <w:p>
      <w:pPr>
        <w:pStyle w:val="ListParagraph"/>
        <w:numPr>
          <w:ilvl w:val="0"/>
          <w:numId w:val="2"/>
        </w:numPr>
      </w:pPr>
      <w:r>
        <w:t xml:space="preserve">(5-10 min) Lancement du scan, paramétrage (port, baud rate 1 Mbps)</w:t>
      </w:r>
    </w:p>
    <w:p>
      <w:pPr>
        <w:pStyle w:val="ListParagraph"/>
        <w:numPr>
          <w:ilvl w:val="0"/>
          <w:numId w:val="2"/>
        </w:numPr>
      </w:pPr>
      <w:r>
        <w:t xml:space="preserve">(10-15 min) Relevé des ID et positions actuelles</w:t>
      </w:r>
    </w:p>
    <w:p/>
    <w:p>
      <w:r>
        <w:rPr>
          <w:b/>
          <w:bCs/>
        </w:rPr>
        <w:t xml:space="preserve">Configuration recommandée :</w:t>
      </w:r>
    </w:p>
    <w:p>
      <w:pPr>
        <w:pStyle w:val="ListParagraph"/>
        <w:numPr>
          <w:ilvl w:val="0"/>
          <w:numId w:val="2"/>
        </w:numPr>
      </w:pPr>
      <w:r>
        <w:t xml:space="preserve">Port : /dev/ttyACM0 (Linux) ou COMx (Windows)</w:t>
      </w:r>
    </w:p>
    <w:p>
      <w:pPr>
        <w:pStyle w:val="ListParagraph"/>
        <w:numPr>
          <w:ilvl w:val="0"/>
          <w:numId w:val="2"/>
        </w:numPr>
      </w:pPr>
      <w:r>
        <w:t xml:space="preserve">Baud Rate : 1000000 bps</w:t>
      </w:r>
    </w:p>
    <w:p>
      <w:pPr>
        <w:pStyle w:val="ListParagraph"/>
        <w:numPr>
          <w:ilvl w:val="0"/>
          <w:numId w:val="2"/>
        </w:numPr>
      </w:pPr>
      <w:r>
        <w:t xml:space="preserve">Protocol : Dynamixel 1.0</w:t>
      </w:r>
    </w:p>
    <w:p>
      <w:pPr>
        <w:pStyle w:val="ListParagraph"/>
        <w:numPr>
          <w:ilvl w:val="0"/>
          <w:numId w:val="2"/>
        </w:numPr>
      </w:pPr>
      <w:r>
        <w:t xml:space="preserve">ID Range : 0-252</w:t>
      </w:r>
    </w:p>
    <w:p/>
    <w:p>
      <w:r>
        <w:rPr>
          <w:b/>
          <w:bCs/>
          <w:color w:val="C45911"/>
        </w:rPr>
        <w:t xml:space="preserve">Points de vigilance :</w:t>
      </w:r>
    </w:p>
    <w:p>
      <w:pPr>
        <w:pStyle w:val="ListParagraph"/>
        <w:numPr>
          <w:ilvl w:val="0"/>
          <w:numId w:val="2"/>
        </w:numPr>
      </w:pPr>
      <w:r>
        <w:t xml:space="preserve">CRITIQUE : Vérifier la polarité AVANT de brancher l'alimentation</w:t>
      </w:r>
    </w:p>
    <w:p>
      <w:pPr>
        <w:pStyle w:val="ListParagraph"/>
        <w:numPr>
          <w:ilvl w:val="0"/>
          <w:numId w:val="2"/>
        </w:numPr>
      </w:pPr>
      <w:r>
        <w:t xml:space="preserve">Déconnecter l'alimentation avant toute modification de câblage</w:t>
      </w:r>
    </w:p>
    <w:p>
      <w:pPr>
        <w:pStyle w:val="ListParagraph"/>
        <w:numPr>
          <w:ilvl w:val="0"/>
          <w:numId w:val="2"/>
        </w:numPr>
      </w:pPr>
      <w:r>
        <w:t xml:space="preserve">Si scan échoue : vérifier port COM, tester autre baud rate (57600)</w:t>
      </w:r>
    </w:p>
    <w:p>
      <w:pPr>
        <w:pStyle w:val="ListParagraph"/>
        <w:numPr>
          <w:ilvl w:val="0"/>
          <w:numId w:val="2"/>
        </w:numPr>
      </w:pPr>
      <w:r>
        <w:t xml:space="preserve">Si conflit d'ID : isoler chaque servo pour reconfiguration</w:t>
      </w:r>
    </w:p>
    <w:p/>
    <w:p>
      <w:pPr>
        <w:pStyle w:val="Heading3"/>
      </w:pPr>
      <w:r>
        <w:t xml:space="preserve">Activité 4 : Calibration des positions (20 min)</w:t>
      </w:r>
    </w:p>
    <w:p>
      <w:r>
        <w:rPr>
          <w:b/>
          <w:bCs/>
        </w:rPr>
        <w:t xml:space="preserve">Objectif : </w:t>
      </w:r>
      <w:r>
        <w:t xml:space="preserve">Définir position HOME et butées logicielles pour chaque axe.</w:t>
      </w:r>
    </w:p>
    <w:p/>
    <w:p>
      <w:r>
        <w:rPr>
          <w:b/>
          <w:bCs/>
          <w:u w:val="single"/>
        </w:rPr>
        <w:t xml:space="preserve">Déroulement :</w:t>
      </w:r>
    </w:p>
    <w:p>
      <w:pPr>
        <w:pStyle w:val="ListParagraph"/>
        <w:numPr>
          <w:ilvl w:val="0"/>
          <w:numId w:val="2"/>
        </w:numPr>
      </w:pPr>
      <w:r>
        <w:t xml:space="preserve">(0-5 min) Explication de la méthodologie de calibration</w:t>
      </w:r>
    </w:p>
    <w:p>
      <w:pPr>
        <w:pStyle w:val="ListParagraph"/>
        <w:numPr>
          <w:ilvl w:val="0"/>
          <w:numId w:val="2"/>
        </w:numPr>
      </w:pPr>
      <w:r>
        <w:t xml:space="preserve">(5-15 min) Calibration HOME : désactiver Torque, positionner manuellement, noter valeur</w:t>
      </w:r>
    </w:p>
    <w:p>
      <w:pPr>
        <w:pStyle w:val="ListParagraph"/>
        <w:numPr>
          <w:ilvl w:val="0"/>
          <w:numId w:val="2"/>
        </w:numPr>
      </w:pPr>
      <w:r>
        <w:t xml:space="preserve">(15-20 min) Configuration butées : mesurer limites, appliquer marge 5%, écrire CW/CCW Limits</w:t>
      </w:r>
    </w:p>
    <w:p/>
    <w:p>
      <w:r>
        <w:rPr>
          <w:b/>
          <w:bCs/>
        </w:rPr>
        <w:t xml:space="preserve">Exemple de calibration (Axe 1 - Base) :</w:t>
      </w:r>
    </w:p>
    <w:p>
      <w:pPr>
        <w:pStyle w:val="ListParagraph"/>
        <w:numPr>
          <w:ilvl w:val="0"/>
          <w:numId w:val="2"/>
        </w:numPr>
      </w:pPr>
      <w:r>
        <w:t xml:space="preserve">Position HOME : 512 unités (centre, 150°)</w:t>
      </w:r>
    </w:p>
    <w:p>
      <w:pPr>
        <w:pStyle w:val="ListParagraph"/>
        <w:numPr>
          <w:ilvl w:val="0"/>
          <w:numId w:val="2"/>
        </w:numPr>
      </w:pPr>
      <w:r>
        <w:t xml:space="preserve">Limite mécanique CW : 50 unités → CW Limit = 100 (marge 5%)</w:t>
      </w:r>
    </w:p>
    <w:p>
      <w:pPr>
        <w:pStyle w:val="ListParagraph"/>
        <w:numPr>
          <w:ilvl w:val="0"/>
          <w:numId w:val="2"/>
        </w:numPr>
      </w:pPr>
      <w:r>
        <w:t xml:space="preserve">Limite mécanique CCW : 974 unités → CCW Limit = 924 (marge 5%)</w:t>
      </w:r>
    </w:p>
    <w:p>
      <w:pPr>
        <w:pStyle w:val="ListParagraph"/>
        <w:numPr>
          <w:ilvl w:val="0"/>
          <w:numId w:val="2"/>
        </w:numPr>
      </w:pPr>
      <w:r>
        <w:t xml:space="preserve">Plage angulaire = (924-100) × 300/1024 ≈ 241°</w:t>
      </w:r>
    </w:p>
    <w:p/>
    <w:p>
      <w:r>
        <w:rPr>
          <w:b/>
          <w:bCs/>
        </w:rPr>
        <w:t xml:space="preserve">Solution question résolution angulaire :</w:t>
      </w:r>
    </w:p>
    <w:p>
      <w:r>
        <w:t xml:space="preserve">Résolution = 300° / 1024 = 0.293° par position</w:t>
      </w:r>
    </w:p>
    <w:p/>
    <w:p>
      <w:pPr>
        <w:pStyle w:val="Heading3"/>
      </w:pPr>
      <w:r>
        <w:t xml:space="preserve">Activité 5 : Synthèse et conclusion (10 min)</w:t>
      </w:r>
    </w:p>
    <w:p>
      <w:r>
        <w:rPr>
          <w:b/>
          <w:bCs/>
        </w:rPr>
        <w:t xml:space="preserve">Objectif : </w:t>
      </w:r>
      <w:r>
        <w:t xml:space="preserve">Comparer technologies, analyser choix techniques.</w:t>
      </w:r>
    </w:p>
    <w:p/>
    <w:p>
      <w:r>
        <w:rPr>
          <w:b/>
          <w:bCs/>
        </w:rPr>
        <w:t xml:space="preserve">Éléments de réponse attendus :</w:t>
      </w:r>
    </w:p>
    <w:p/>
    <w:p>
      <w:r>
        <w:rPr>
          <w:b/>
          <w:bCs/>
        </w:rPr>
        <w:t xml:space="preserve">1. Avantages des servomoteurs Dynamixel :</w:t>
      </w:r>
    </w:p>
    <w:p>
      <w:pPr>
        <w:pStyle w:val="ListParagraph"/>
        <w:numPr>
          <w:ilvl w:val="0"/>
          <w:numId w:val="2"/>
        </w:numPr>
      </w:pPr>
      <w:r>
        <w:t xml:space="preserve">Simplicité de câblage : bus série 3 fils partagé (vs 4-6 fils par moteur stepper)</w:t>
      </w:r>
    </w:p>
    <w:p>
      <w:pPr>
        <w:pStyle w:val="ListParagraph"/>
        <w:numPr>
          <w:ilvl w:val="0"/>
          <w:numId w:val="2"/>
        </w:numPr>
      </w:pPr>
      <w:r>
        <w:t xml:space="preserve">Asservissement PID intégré : pas de perte de pas, précision garantie</w:t>
      </w:r>
    </w:p>
    <w:p>
      <w:pPr>
        <w:pStyle w:val="ListParagraph"/>
        <w:numPr>
          <w:ilvl w:val="0"/>
          <w:numId w:val="2"/>
        </w:numPr>
      </w:pPr>
      <w:r>
        <w:t xml:space="preserve">Configuration logicielle : modification paramètres par bus (vs hardware sur drivers)</w:t>
      </w:r>
    </w:p>
    <w:p>
      <w:pPr>
        <w:pStyle w:val="ListParagraph"/>
        <w:numPr>
          <w:ilvl w:val="0"/>
          <w:numId w:val="2"/>
        </w:numPr>
      </w:pPr>
      <w:r>
        <w:t xml:space="preserve">Diagnostics en temps réel : température, charge, tension</w:t>
      </w:r>
    </w:p>
    <w:p>
      <w:pPr>
        <w:pStyle w:val="ListParagraph"/>
        <w:numPr>
          <w:ilvl w:val="0"/>
          <w:numId w:val="2"/>
        </w:numPr>
      </w:pPr>
      <w:r>
        <w:t xml:space="preserve">Compacité : électronique intégrée dans le servo</w:t>
      </w:r>
    </w:p>
    <w:p/>
    <w:p>
      <w:r>
        <w:rPr>
          <w:b/>
          <w:bCs/>
        </w:rPr>
        <w:t xml:space="preserve">2. Inconvénients / limites :</w:t>
      </w:r>
    </w:p>
    <w:p>
      <w:pPr>
        <w:pStyle w:val="ListParagraph"/>
        <w:numPr>
          <w:ilvl w:val="0"/>
          <w:numId w:val="2"/>
        </w:numPr>
      </w:pPr>
      <w:r>
        <w:t xml:space="preserve">Coût plus élevé : 40-60€ par servo vs 10-30€ pour stepper + driver</w:t>
      </w:r>
    </w:p>
    <w:p>
      <w:pPr>
        <w:pStyle w:val="ListParagraph"/>
        <w:numPr>
          <w:ilvl w:val="0"/>
          <w:numId w:val="2"/>
        </w:numPr>
      </w:pPr>
      <w:r>
        <w:t xml:space="preserve">Couple limité : 1.5 N·m (AX-12) vs steppers haute puissance (5-10 N·m)</w:t>
      </w:r>
    </w:p>
    <w:p>
      <w:pPr>
        <w:pStyle w:val="ListParagraph"/>
        <w:numPr>
          <w:ilvl w:val="0"/>
          <w:numId w:val="2"/>
        </w:numPr>
      </w:pPr>
      <w:r>
        <w:t xml:space="preserve">Plage de rotation limitée : 300° (mode position)</w:t>
      </w:r>
    </w:p>
    <w:p>
      <w:pPr>
        <w:pStyle w:val="ListParagraph"/>
        <w:numPr>
          <w:ilvl w:val="0"/>
          <w:numId w:val="2"/>
        </w:numPr>
      </w:pPr>
      <w:r>
        <w:t xml:space="preserve">Communication série : potentiel goulot d'étranglement à haute fréquence</w:t>
      </w:r>
    </w:p>
    <w:p/>
    <w:p>
      <w:r>
        <w:rPr>
          <w:b/>
          <w:bCs/>
        </w:rPr>
        <w:t xml:space="preserve">3. Type de bus et baud rate :</w:t>
      </w:r>
    </w:p>
    <w:p>
      <w:r>
        <w:t xml:space="preserve">Bus : Série TTL half-duplex (Protocole Dynamixel 1.0)</w:t>
      </w:r>
    </w:p>
    <w:p>
      <w:r>
        <w:t xml:space="preserve">Baud rate : 1 000 000 bps (1 Mbps)</w:t>
      </w:r>
    </w:p>
    <w:p/>
    <w:p>
      <w:pPr>
        <w:pageBreakBefore/>
      </w:pPr>
    </w:p>
    <w:p>
      <w:pPr>
        <w:pStyle w:val="Heading2"/>
      </w:pPr>
      <w:r>
        <w:t xml:space="preserve">3. SOLUTIONS DES EXERCICES (FICHE CINÉMATIQUE)</w:t>
      </w:r>
    </w:p>
    <w:p>
      <w:pPr>
        <w:pStyle w:val="Heading3"/>
      </w:pPr>
      <w:r>
        <w:t xml:space="preserve">Exercice 1 : Analyse de la chaîne cinématique</w:t>
      </w:r>
    </w:p>
    <w:p>
      <w:r>
        <w:rPr>
          <w:b/>
          <w:bCs/>
        </w:rPr>
        <w:t xml:space="preserve">Question 1 : Portée maximale horizontale</w:t>
      </w:r>
    </w:p>
    <w:p>
      <w:r>
        <w:t xml:space="preserve">Portée max = L1 + L2 + L3 = 200 + 150 + 80 = 430 mm</w:t>
      </w:r>
    </w:p>
    <w:p/>
    <w:p>
      <w:r>
        <w:rPr>
          <w:b/>
          <w:bCs/>
        </w:rPr>
        <w:t xml:space="preserve">Question 2 : Hauteur maximale</w:t>
      </w:r>
    </w:p>
    <w:p>
      <w:r>
        <w:t xml:space="preserve">Hauteur max = L0 + L1 + L2 + L3 = 100 + 200 + 150 + 80 = 530 mm</w:t>
      </w:r>
    </w:p>
    <w:p>
      <w:r>
        <w:t xml:space="preserve">(Configuration : bras vertical, tous les segments alignés)</w:t>
      </w:r>
    </w:p>
    <w:p/>
    <w:p>
      <w:pPr>
        <w:pStyle w:val="Heading3"/>
      </w:pPr>
      <w:r>
        <w:t xml:space="preserve">Exercice 2 : Modèle géométrique direct</w:t>
      </w:r>
    </w:p>
    <w:p>
      <w:r>
        <w:rPr>
          <w:b/>
          <w:bCs/>
        </w:rPr>
        <w:t xml:space="preserve">Données :</w:t>
      </w:r>
      <w:r>
        <w:t xml:space="preserve"> L1 = 200 mm, L2 = 150 mm, θ1 = 30°, θ2 = 45°</w:t>
      </w:r>
    </w:p>
    <w:p/>
    <w:p>
      <w:r>
        <w:rPr>
          <w:b/>
          <w:bCs/>
        </w:rPr>
        <w:t xml:space="preserve">Calculs :</w:t>
      </w:r>
    </w:p>
    <w:p>
      <w:r>
        <w:rPr>
          <w:rFonts w:ascii="Courier New" w:cs="Courier New" w:eastAsia="Courier New" w:hAnsi="Courier New"/>
        </w:rPr>
        <w:t xml:space="preserve">x = 200·cos(30°) + 150·cos(30° + 45°)</w:t>
      </w:r>
    </w:p>
    <w:p>
      <w:r>
        <w:rPr>
          <w:rFonts w:ascii="Courier New" w:cs="Courier New" w:eastAsia="Courier New" w:hAnsi="Courier New"/>
        </w:rPr>
        <w:t xml:space="preserve">x = 200·cos(30°) + 150·cos(75°)</w:t>
      </w:r>
    </w:p>
    <w:p>
      <w:r>
        <w:rPr>
          <w:rFonts w:ascii="Courier New" w:cs="Courier New" w:eastAsia="Courier New" w:hAnsi="Courier New"/>
        </w:rPr>
        <w:t xml:space="preserve">x = 200 × 0.866 + 150 × 0.259</w:t>
      </w:r>
    </w:p>
    <w:p>
      <w:r>
        <w:rPr>
          <w:rFonts w:ascii="Courier New" w:cs="Courier New" w:eastAsia="Courier New" w:hAnsi="Courier New"/>
          <w:b/>
          <w:bCs/>
        </w:rPr>
        <w:t xml:space="preserve">x = 173.2 + 38.8 = 212 mm</w:t>
      </w:r>
    </w:p>
    <w:p/>
    <w:p>
      <w:r>
        <w:rPr>
          <w:rFonts w:ascii="Courier New" w:cs="Courier New" w:eastAsia="Courier New" w:hAnsi="Courier New"/>
        </w:rPr>
        <w:t xml:space="preserve">y = 200·sin(30°) + 150·sin(75°)</w:t>
      </w:r>
    </w:p>
    <w:p>
      <w:r>
        <w:rPr>
          <w:rFonts w:ascii="Courier New" w:cs="Courier New" w:eastAsia="Courier New" w:hAnsi="Courier New"/>
        </w:rPr>
        <w:t xml:space="preserve">y = 200 × 0.5 + 150 × 0.966</w:t>
      </w:r>
    </w:p>
    <w:p>
      <w:r>
        <w:rPr>
          <w:rFonts w:ascii="Courier New" w:cs="Courier New" w:eastAsia="Courier New" w:hAnsi="Courier New"/>
          <w:b/>
          <w:bCs/>
        </w:rPr>
        <w:t xml:space="preserve">y = 100 + 144.9 = 245 mm</w:t>
      </w:r>
    </w:p>
    <w:p/>
    <w:p>
      <w:r>
        <w:rPr>
          <w:b/>
          <w:bCs/>
          <w:sz w:val="26"/>
          <w:szCs w:val="26"/>
        </w:rPr>
        <w:t xml:space="preserve">Résultat : x = 212 mm, y = 245 mm</w:t>
      </w:r>
    </w:p>
    <w:p/>
    <w:p>
      <w:pPr>
        <w:pStyle w:val="Heading3"/>
      </w:pPr>
      <w:r>
        <w:t xml:space="preserve">Exercice 3 : Conversion angles ↔ unités Dynamixel</w:t>
      </w:r>
    </w:p>
    <w:p>
      <w:r>
        <w:rPr>
          <w:b/>
          <w:bCs/>
        </w:rPr>
        <w:t xml:space="preserve">Question 1 : Angles → unités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13"/>
        <w:gridCol w:w="2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Angle (°)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Calcul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0°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× 1024 / 300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90°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× 1024 / 300 = 307.2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150°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150 × 1024 / 300 = 512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300°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 × 1024 / 300 = 1024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1023*</w:t>
            </w:r>
          </w:p>
        </w:tc>
      </w:tr>
    </w:tbl>
    <w:p>
      <w:r>
        <w:rPr>
          <w:i/>
          <w:iCs/>
          <w:sz w:val="20"/>
          <w:szCs w:val="20"/>
        </w:rPr>
        <w:t xml:space="preserve">* Note : Max = 1023 (plage 0-1023)</w:t>
      </w:r>
    </w:p>
    <w:p/>
    <w:p>
      <w:r>
        <w:rPr>
          <w:b/>
          <w:bCs/>
        </w:rPr>
        <w:t xml:space="preserve">Question 2 : Unités → angles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13"/>
        <w:gridCol w:w="2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Calcul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Angle (°)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256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256 × 300 / 1024 = 75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75°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512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512 × 300 / 1024 = 150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150°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768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768 × 300 / 1024 = 225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225°</w:t>
            </w:r>
          </w:p>
        </w:tc>
      </w:tr>
    </w:tbl>
    <w:p/>
    <w:p>
      <w:pPr>
        <w:pStyle w:val="Heading2"/>
      </w:pPr>
      <w:r>
        <w:t xml:space="preserve">4. RESSOURCES COMPLÉMENTAIRES</w:t>
      </w:r>
    </w:p>
    <w:p>
      <w:r>
        <w:rPr>
          <w:b/>
          <w:bCs/>
        </w:rPr>
        <w:t xml:space="preserve">Documentation technique :</w:t>
      </w:r>
    </w:p>
    <w:p>
      <w:pPr>
        <w:pStyle w:val="ListParagraph"/>
        <w:numPr>
          <w:ilvl w:val="0"/>
          <w:numId w:val="2"/>
        </w:numPr>
      </w:pPr>
      <w:r>
        <w:t xml:space="preserve">e-Manual ROBOTIS : https://emanual.robotis.com/docs/en/dxl/ax/ax-12a/</w:t>
      </w:r>
    </w:p>
    <w:p>
      <w:pPr>
        <w:pStyle w:val="ListParagraph"/>
        <w:numPr>
          <w:ilvl w:val="0"/>
          <w:numId w:val="2"/>
        </w:numPr>
      </w:pPr>
      <w:r>
        <w:t xml:space="preserve">Dynamixel SDK GitHub : https://github.com/ROBOTIS-GIT/DynamixelSDK</w:t>
      </w:r>
    </w:p>
    <w:p>
      <w:pPr>
        <w:pStyle w:val="ListParagraph"/>
        <w:numPr>
          <w:ilvl w:val="0"/>
          <w:numId w:val="2"/>
        </w:numPr>
      </w:pPr>
      <w:r>
        <w:t xml:space="preserve">Dynamixel Wizard 2.0 : https://emanual.robotis.com/docs/en/software/dynamixel/dynamixel_wizard2/</w:t>
      </w:r>
    </w:p>
    <w:p/>
    <w:p>
      <w:r>
        <w:rPr>
          <w:b/>
          <w:bCs/>
        </w:rPr>
        <w:t xml:space="preserve">Vidéos tutoriels :</w:t>
      </w:r>
    </w:p>
    <w:p>
      <w:pPr>
        <w:pStyle w:val="ListParagraph"/>
        <w:numPr>
          <w:ilvl w:val="0"/>
          <w:numId w:val="2"/>
        </w:numPr>
      </w:pPr>
      <w:r>
        <w:t xml:space="preserve">ROBOTIS Channel (YouTube) : tutoriels officiels Dynamixel</w:t>
      </w:r>
    </w:p>
    <w:p>
      <w:pPr>
        <w:pStyle w:val="ListParagraph"/>
        <w:numPr>
          <w:ilvl w:val="0"/>
          <w:numId w:val="2"/>
        </w:numPr>
      </w:pPr>
      <w:r>
        <w:t xml:space="preserve">Denavit-Hartenberg : nombreuses vidéos pédagogiques disponibles</w:t>
      </w:r>
    </w:p>
    <w:p/>
    <w:p>
      <w:pPr>
        <w:pBdr>
          <w:top w:val="single" w:color="CCCCCC" w:sz="6"/>
        </w:pBdr>
      </w:pPr>
      <w:r>
        <w:t xml:space="preserve">_________________________________________________________________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Guide Enseignant – Bras Robotique 6 Axes – Phase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2026-01-26T04:13:59.905Z</dcterms:created>
  <dcterms:modified xsi:type="dcterms:W3CDTF">2026-01-26T04:13:59.906Z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