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c65f71cc04915a4e1962d4c0fadd8d14e29263"/>
    <w:p>
      <w:pPr>
        <w:pStyle w:val="Heading1"/>
      </w:pPr>
      <w:r>
        <w:t xml:space="preserve">Flat Cap Enterprises Digital Assets Register</w:t>
      </w:r>
    </w:p>
    <w:bookmarkStart w:id="20" w:name="version-1.0"/>
    <w:p>
      <w:pPr>
        <w:pStyle w:val="Heading3"/>
      </w:pPr>
      <w:r>
        <w:t xml:space="preserve">Version 1.0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a complete inventory of the digital assets owned or controlled by Flat Cap Enterprises.</w:t>
      </w:r>
    </w:p>
    <w:p>
      <w:pPr>
        <w:pStyle w:val="BodyText"/>
      </w:pPr>
      <w:r>
        <w:t xml:space="preserve">This document serves as the central reference for domains, accounts, repositories, software, subscriptions, services, and other digital resources.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Never store passwords, API keys, recovery codes, or other sensitive credentials in this document. Those belong in Bitwarden.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mpany-information"/>
    <w:p>
      <w:pPr>
        <w:pStyle w:val="Heading1"/>
      </w:pPr>
      <w:r>
        <w:t xml:space="preserve">Company Information</w:t>
      </w:r>
    </w:p>
    <w:p>
      <w:pPr>
        <w:pStyle w:val="FirstParagraph"/>
      </w:pPr>
      <w:r>
        <w:rPr>
          <w:b/>
          <w:bCs/>
        </w:rPr>
        <w:t xml:space="preserve">Company Name</w:t>
      </w:r>
    </w:p>
    <w:p>
      <w:pPr>
        <w:pStyle w:val="BodyText"/>
      </w:pPr>
      <w:r>
        <w:t xml:space="preserve">Flat Cap Enterprises</w:t>
      </w:r>
    </w:p>
    <w:p>
      <w:pPr>
        <w:pStyle w:val="BodyText"/>
      </w:pPr>
      <w:r>
        <w:rPr>
          <w:b/>
          <w:bCs/>
        </w:rPr>
        <w:t xml:space="preserve">Primary Business Email</w:t>
      </w:r>
    </w:p>
    <w:p>
      <w:pPr>
        <w:pStyle w:val="BodyText"/>
      </w:pPr>
      <w:r>
        <w:t xml:space="preserve">Business Google Account</w:t>
      </w:r>
    </w:p>
    <w:p>
      <w:pPr>
        <w:pStyle w:val="BodyText"/>
      </w:pPr>
      <w:r>
        <w:rPr>
          <w:b/>
          <w:bCs/>
        </w:rPr>
        <w:t xml:space="preserve">Primary Password Manager</w:t>
      </w:r>
    </w:p>
    <w:p>
      <w:pPr>
        <w:pStyle w:val="BodyText"/>
      </w:pPr>
      <w:r>
        <w:t xml:space="preserve">Bitwarden</w:t>
      </w:r>
    </w:p>
    <w:p>
      <w:pPr>
        <w:pStyle w:val="BodyText"/>
      </w:pPr>
      <w:r>
        <w:rPr>
          <w:b/>
          <w:bCs/>
        </w:rPr>
        <w:t xml:space="preserve">Primary Code Repository</w:t>
      </w:r>
    </w:p>
    <w:p>
      <w:pPr>
        <w:pStyle w:val="BodyText"/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22"/>
    <w:bookmarkStart w:id="24" w:name="domain-portfolio"/>
    <w:p>
      <w:pPr>
        <w:pStyle w:val="Heading1"/>
      </w:pPr>
      <w:r>
        <w:t xml:space="preserve">Domain Portfolio</w:t>
      </w:r>
    </w:p>
    <w:bookmarkStart w:id="23" w:name="primary-domains"/>
    <w:p>
      <w:pPr>
        <w:pStyle w:val="Heading2"/>
      </w:pPr>
      <w:r>
        <w:t xml:space="preserve">Primary Domains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936"/>
        <w:gridCol w:w="1584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</w:pPr>
            <w:r>
              <w:t xml:space="preserve">Renewal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flatcapenterprises.ca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Porkbun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Primary Canadian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flatcapenterprises.com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Porkbun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Brand protection and future international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source-code-repositories"/>
    <w:p>
      <w:pPr>
        <w:pStyle w:val="Heading1"/>
      </w:pPr>
      <w:r>
        <w:t xml:space="preserve">Source Code Repositories</w:t>
      </w:r>
    </w:p>
    <w:bookmarkStart w:id="25" w:name="active"/>
    <w:p>
      <w:pPr>
        <w:pStyle w:val="Heading2"/>
      </w:pPr>
      <w:r>
        <w:t xml:space="preserve">Active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moncton-roof-finder</w:t>
            </w:r>
          </w:p>
        </w:tc>
        <w:tc>
          <w:tcPr/>
          <w:p>
            <w:pPr>
              <w:pStyle w:val="Compact"/>
            </w:pPr>
            <w:r>
              <w:t xml:space="preserve">Roofing directory application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flatcap-master-blueprint</w:t>
            </w:r>
          </w:p>
        </w:tc>
        <w:tc>
          <w:tcPr/>
          <w:p>
            <w:pPr>
              <w:pStyle w:val="Compact"/>
            </w:pPr>
            <w:r>
              <w:t xml:space="preserve">Company documentation and strategy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End w:id="25"/>
    <w:bookmarkStart w:id="26" w:name="planned"/>
    <w:p>
      <w:pPr>
        <w:pStyle w:val="Heading2"/>
      </w:pPr>
      <w:r>
        <w:t xml:space="preserve">Planned</w:t>
      </w:r>
    </w:p>
    <w:p>
      <w:pPr>
        <w:pStyle w:val="Compact"/>
        <w:numPr>
          <w:ilvl w:val="0"/>
          <w:numId w:val="1001"/>
        </w:numPr>
      </w:pPr>
      <w:r>
        <w:t xml:space="preserve">directory-platform</w:t>
      </w:r>
    </w:p>
    <w:p>
      <w:pPr>
        <w:pStyle w:val="Compact"/>
        <w:numPr>
          <w:ilvl w:val="0"/>
          <w:numId w:val="1001"/>
        </w:numPr>
      </w:pPr>
      <w:r>
        <w:t xml:space="preserve">flatcap-internal-tools</w:t>
      </w:r>
    </w:p>
    <w:p>
      <w:pPr>
        <w:pStyle w:val="Compact"/>
        <w:numPr>
          <w:ilvl w:val="0"/>
          <w:numId w:val="1001"/>
        </w:numPr>
      </w:pPr>
      <w:r>
        <w:t xml:space="preserve">media-hub</w:t>
      </w:r>
    </w:p>
    <w:p>
      <w:pPr>
        <w:pStyle w:val="Compact"/>
        <w:numPr>
          <w:ilvl w:val="0"/>
          <w:numId w:val="1001"/>
        </w:numPr>
      </w:pPr>
      <w:r>
        <w:t xml:space="preserve">grantfinder</w:t>
      </w:r>
    </w:p>
    <w:p>
      <w:pPr>
        <w:pStyle w:val="Compact"/>
        <w:numPr>
          <w:ilvl w:val="0"/>
          <w:numId w:val="1001"/>
        </w:numPr>
      </w:pPr>
      <w:r>
        <w:t xml:space="preserve">Additional repositories as projects mature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pany-documentation"/>
    <w:p>
      <w:pPr>
        <w:pStyle w:val="Heading1"/>
      </w:pPr>
      <w:r>
        <w:t xml:space="preserve">Company Documentation</w:t>
      </w:r>
    </w:p>
    <w:p>
      <w:pPr>
        <w:pStyle w:val="FirstParagraph"/>
      </w:pPr>
      <w:r>
        <w:t xml:space="preserve">Maintained within the Master Blueprint repository.</w:t>
      </w:r>
    </w:p>
    <w:p>
      <w:pPr>
        <w:pStyle w:val="BodyText"/>
      </w:pPr>
      <w:r>
        <w:t xml:space="preserve">Current documents include:</w:t>
      </w:r>
    </w:p>
    <w:p>
      <w:pPr>
        <w:pStyle w:val="Compact"/>
        <w:numPr>
          <w:ilvl w:val="0"/>
          <w:numId w:val="1002"/>
        </w:numPr>
      </w:pPr>
      <w:r>
        <w:t xml:space="preserve">Master Blueprint</w:t>
      </w:r>
    </w:p>
    <w:p>
      <w:pPr>
        <w:pStyle w:val="Compact"/>
        <w:numPr>
          <w:ilvl w:val="0"/>
          <w:numId w:val="1002"/>
        </w:numPr>
      </w:pPr>
      <w:r>
        <w:t xml:space="preserve">Operating Manual (FCOS)</w:t>
      </w:r>
    </w:p>
    <w:p>
      <w:pPr>
        <w:pStyle w:val="Compact"/>
        <w:numPr>
          <w:ilvl w:val="0"/>
          <w:numId w:val="1002"/>
        </w:numPr>
      </w:pPr>
      <w:r>
        <w:t xml:space="preserve">Roadmap</w:t>
      </w:r>
    </w:p>
    <w:p>
      <w:pPr>
        <w:pStyle w:val="Compact"/>
        <w:numPr>
          <w:ilvl w:val="0"/>
          <w:numId w:val="1002"/>
        </w:numPr>
      </w:pPr>
      <w:r>
        <w:t xml:space="preserve">Decision Journal</w:t>
      </w:r>
    </w:p>
    <w:p>
      <w:pPr>
        <w:pStyle w:val="Compact"/>
        <w:numPr>
          <w:ilvl w:val="0"/>
          <w:numId w:val="1002"/>
        </w:numPr>
      </w:pPr>
      <w:r>
        <w:t xml:space="preserve">Insight Journal</w:t>
      </w:r>
    </w:p>
    <w:p>
      <w:pPr>
        <w:pStyle w:val="Compact"/>
        <w:numPr>
          <w:ilvl w:val="0"/>
          <w:numId w:val="1002"/>
        </w:numPr>
      </w:pPr>
      <w:r>
        <w:t xml:space="preserve">Digital Assets Register</w:t>
      </w:r>
    </w:p>
    <w:p>
      <w:pPr>
        <w:pStyle w:val="Compact"/>
        <w:numPr>
          <w:ilvl w:val="0"/>
          <w:numId w:val="1002"/>
        </w:numPr>
      </w:pPr>
      <w:r>
        <w:t xml:space="preserve">CHANGELOG (planned)</w:t>
      </w:r>
    </w:p>
    <w:p>
      <w:pPr>
        <w:pStyle w:val="Compact"/>
        <w:numPr>
          <w:ilvl w:val="0"/>
          <w:numId w:val="1002"/>
        </w:numPr>
      </w:pPr>
      <w:r>
        <w:t xml:space="preserve">The Book of Flat Cap (future)</w:t>
      </w:r>
    </w:p>
    <w:p>
      <w:r>
        <w:pict>
          <v:rect style="width:0;height:1.5pt" o:hralign="center" o:hrstd="t" o:hr="t"/>
        </w:pict>
      </w:r>
    </w:p>
    <w:bookmarkEnd w:id="28"/>
    <w:bookmarkStart w:id="31" w:name="google-services"/>
    <w:p>
      <w:pPr>
        <w:pStyle w:val="Heading1"/>
      </w:pPr>
      <w:r>
        <w:t xml:space="preserve">Google Services</w:t>
      </w:r>
    </w:p>
    <w:bookmarkStart w:id="29" w:name="active-1"/>
    <w:p>
      <w:pPr>
        <w:pStyle w:val="Heading2"/>
      </w:pPr>
      <w:r>
        <w:t xml:space="preserve">Active</w:t>
      </w:r>
    </w:p>
    <w:p>
      <w:pPr>
        <w:pStyle w:val="Compact"/>
        <w:numPr>
          <w:ilvl w:val="0"/>
          <w:numId w:val="1003"/>
        </w:numPr>
      </w:pPr>
      <w:r>
        <w:t xml:space="preserve">Business Google Account</w:t>
      </w:r>
    </w:p>
    <w:p>
      <w:pPr>
        <w:pStyle w:val="Compact"/>
        <w:numPr>
          <w:ilvl w:val="0"/>
          <w:numId w:val="1003"/>
        </w:numPr>
      </w:pPr>
      <w:r>
        <w:t xml:space="preserve">Google Drive</w:t>
      </w:r>
    </w:p>
    <w:bookmarkEnd w:id="29"/>
    <w:bookmarkStart w:id="30" w:name="planned-1"/>
    <w:p>
      <w:pPr>
        <w:pStyle w:val="Heading2"/>
      </w:pPr>
      <w:r>
        <w:t xml:space="preserve">Planned</w:t>
      </w:r>
    </w:p>
    <w:p>
      <w:pPr>
        <w:pStyle w:val="Compact"/>
        <w:numPr>
          <w:ilvl w:val="0"/>
          <w:numId w:val="1004"/>
        </w:numPr>
      </w:pPr>
      <w:r>
        <w:t xml:space="preserve">Google Analytics</w:t>
      </w:r>
    </w:p>
    <w:p>
      <w:pPr>
        <w:pStyle w:val="Compact"/>
        <w:numPr>
          <w:ilvl w:val="0"/>
          <w:numId w:val="1004"/>
        </w:numPr>
      </w:pPr>
      <w:r>
        <w:t xml:space="preserve">Google Search Console</w:t>
      </w:r>
    </w:p>
    <w:p>
      <w:pPr>
        <w:pStyle w:val="Compact"/>
        <w:numPr>
          <w:ilvl w:val="0"/>
          <w:numId w:val="1004"/>
        </w:numPr>
      </w:pPr>
      <w:r>
        <w:t xml:space="preserve">Google Business Profile (if appropriate)</w:t>
      </w:r>
    </w:p>
    <w:p>
      <w:pPr>
        <w:pStyle w:val="Compact"/>
        <w:numPr>
          <w:ilvl w:val="0"/>
          <w:numId w:val="1004"/>
        </w:numPr>
      </w:pPr>
      <w:r>
        <w:t xml:space="preserve">Google Tag Manager</w:t>
      </w:r>
    </w:p>
    <w:p>
      <w:pPr>
        <w:pStyle w:val="Compact"/>
        <w:numPr>
          <w:ilvl w:val="0"/>
          <w:numId w:val="1004"/>
        </w:numPr>
      </w:pPr>
      <w:r>
        <w:t xml:space="preserve">YouTube Channel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website-development"/>
    <w:p>
      <w:pPr>
        <w:pStyle w:val="Heading1"/>
      </w:pPr>
      <w:r>
        <w:t xml:space="preserve">Website &amp; Development</w:t>
      </w:r>
    </w:p>
    <w:bookmarkStart w:id="32" w:name="current"/>
    <w:p>
      <w:pPr>
        <w:pStyle w:val="Heading2"/>
      </w:pPr>
      <w:r>
        <w:t xml:space="preserve">Current</w:t>
      </w:r>
    </w:p>
    <w:p>
      <w:pPr>
        <w:pStyle w:val="Compact"/>
        <w:numPr>
          <w:ilvl w:val="0"/>
          <w:numId w:val="1005"/>
        </w:numPr>
      </w:pPr>
      <w:r>
        <w:t xml:space="preserve">Lovable</w:t>
      </w:r>
    </w:p>
    <w:p>
      <w:pPr>
        <w:pStyle w:val="Compact"/>
        <w:numPr>
          <w:ilvl w:val="0"/>
          <w:numId w:val="1005"/>
        </w:numPr>
      </w:pPr>
      <w:r>
        <w:t xml:space="preserve">GitHub</w:t>
      </w:r>
    </w:p>
    <w:bookmarkEnd w:id="32"/>
    <w:bookmarkStart w:id="33" w:name="future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06"/>
        </w:numPr>
      </w:pPr>
      <w:r>
        <w:t xml:space="preserve">Cloudflare (if adopted)</w:t>
      </w:r>
    </w:p>
    <w:p>
      <w:pPr>
        <w:pStyle w:val="Compact"/>
        <w:numPr>
          <w:ilvl w:val="0"/>
          <w:numId w:val="1006"/>
        </w:numPr>
      </w:pPr>
      <w:r>
        <w:t xml:space="preserve">Additional hosting platforms as required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rtificial-intelligence-services"/>
    <w:p>
      <w:pPr>
        <w:pStyle w:val="Heading1"/>
      </w:pPr>
      <w:r>
        <w:t xml:space="preserve">Artificial Intelligence Services</w:t>
      </w:r>
    </w:p>
    <w:bookmarkStart w:id="35" w:name="current-1"/>
    <w:p>
      <w:pPr>
        <w:pStyle w:val="Heading2"/>
      </w:pPr>
      <w:r>
        <w:t xml:space="preserve">Current</w:t>
      </w:r>
    </w:p>
    <w:p>
      <w:pPr>
        <w:pStyle w:val="Compact"/>
        <w:numPr>
          <w:ilvl w:val="0"/>
          <w:numId w:val="1007"/>
        </w:numPr>
      </w:pPr>
      <w:r>
        <w:t xml:space="preserve">ChatGPT</w:t>
      </w:r>
    </w:p>
    <w:p>
      <w:pPr>
        <w:pStyle w:val="Compact"/>
        <w:numPr>
          <w:ilvl w:val="0"/>
          <w:numId w:val="1007"/>
        </w:numPr>
      </w:pPr>
      <w:r>
        <w:t xml:space="preserve">Claude</w:t>
      </w:r>
    </w:p>
    <w:p>
      <w:pPr>
        <w:pStyle w:val="Compact"/>
        <w:numPr>
          <w:ilvl w:val="0"/>
          <w:numId w:val="1007"/>
        </w:numPr>
      </w:pPr>
      <w:r>
        <w:t xml:space="preserve">Lovable</w:t>
      </w:r>
    </w:p>
    <w:bookmarkEnd w:id="35"/>
    <w:bookmarkStart w:id="36" w:name="future-evaluation"/>
    <w:p>
      <w:pPr>
        <w:pStyle w:val="Heading2"/>
      </w:pPr>
      <w:r>
        <w:t xml:space="preserve">Future Evaluation</w:t>
      </w:r>
    </w:p>
    <w:p>
      <w:pPr>
        <w:pStyle w:val="FirstParagraph"/>
      </w:pPr>
      <w:r>
        <w:t xml:space="preserve">Additional AI tools should be added only if they provide meaningful productivity improvements or solve a specific business need.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mmunication-channels"/>
    <w:p>
      <w:pPr>
        <w:pStyle w:val="Heading1"/>
      </w:pPr>
      <w:r>
        <w:t xml:space="preserve">Communication Channels</w:t>
      </w:r>
    </w:p>
    <w:bookmarkStart w:id="38" w:name="current-2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Business Gmail account</w:t>
      </w:r>
    </w:p>
    <w:bookmarkEnd w:id="38"/>
    <w:bookmarkStart w:id="39" w:name="planned-2"/>
    <w:p>
      <w:pPr>
        <w:pStyle w:val="Heading2"/>
      </w:pPr>
      <w:r>
        <w:t xml:space="preserve">Planned</w:t>
      </w:r>
    </w:p>
    <w:p>
      <w:pPr>
        <w:pStyle w:val="Compact"/>
        <w:numPr>
          <w:ilvl w:val="0"/>
          <w:numId w:val="1008"/>
        </w:numPr>
      </w:pPr>
      <w:r>
        <w:t xml:space="preserve">Company website</w:t>
      </w:r>
    </w:p>
    <w:p>
      <w:pPr>
        <w:pStyle w:val="Compact"/>
        <w:numPr>
          <w:ilvl w:val="0"/>
          <w:numId w:val="1008"/>
        </w:numPr>
      </w:pPr>
      <w:r>
        <w:t xml:space="preserve">Newsletter</w:t>
      </w:r>
    </w:p>
    <w:p>
      <w:pPr>
        <w:pStyle w:val="Compact"/>
        <w:numPr>
          <w:ilvl w:val="0"/>
          <w:numId w:val="1008"/>
        </w:numPr>
      </w:pPr>
      <w:r>
        <w:t xml:space="preserve">Contact forms</w:t>
      </w:r>
    </w:p>
    <w:p>
      <w:pPr>
        <w:pStyle w:val="Compact"/>
        <w:numPr>
          <w:ilvl w:val="0"/>
          <w:numId w:val="1008"/>
        </w:numPr>
      </w:pPr>
      <w:r>
        <w:t xml:space="preserve">Domain-based email addresses</w:t>
      </w:r>
    </w:p>
    <w:p>
      <w:pPr>
        <w:pStyle w:val="Compact"/>
        <w:numPr>
          <w:ilvl w:val="0"/>
          <w:numId w:val="1008"/>
        </w:numPr>
      </w:pPr>
      <w:r>
        <w:t xml:space="preserve">Social media accounts as needed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tent-assets"/>
    <w:p>
      <w:pPr>
        <w:pStyle w:val="Heading1"/>
      </w:pPr>
      <w:r>
        <w:t xml:space="preserve">Content Assets</w:t>
      </w:r>
    </w:p>
    <w:p>
      <w:pPr>
        <w:pStyle w:val="FirstParagraph"/>
      </w:pPr>
      <w:r>
        <w:t xml:space="preserve">Maintain an inventory of long-term content assets.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Educational articles</w:t>
      </w:r>
    </w:p>
    <w:p>
      <w:pPr>
        <w:pStyle w:val="Compact"/>
        <w:numPr>
          <w:ilvl w:val="0"/>
          <w:numId w:val="1009"/>
        </w:numPr>
      </w:pPr>
      <w:r>
        <w:t xml:space="preserve">Newsletter archive</w:t>
      </w:r>
    </w:p>
    <w:p>
      <w:pPr>
        <w:pStyle w:val="Compact"/>
        <w:numPr>
          <w:ilvl w:val="0"/>
          <w:numId w:val="1009"/>
        </w:numPr>
      </w:pPr>
      <w:r>
        <w:t xml:space="preserve">Images</w:t>
      </w:r>
    </w:p>
    <w:p>
      <w:pPr>
        <w:pStyle w:val="Compact"/>
        <w:numPr>
          <w:ilvl w:val="0"/>
          <w:numId w:val="1009"/>
        </w:numPr>
      </w:pPr>
      <w:r>
        <w:t xml:space="preserve">Logos</w:t>
      </w:r>
    </w:p>
    <w:p>
      <w:pPr>
        <w:pStyle w:val="Compact"/>
        <w:numPr>
          <w:ilvl w:val="0"/>
          <w:numId w:val="1009"/>
        </w:numPr>
      </w:pPr>
      <w:r>
        <w:t xml:space="preserve">Brand guidelines</w:t>
      </w:r>
    </w:p>
    <w:p>
      <w:pPr>
        <w:pStyle w:val="Compact"/>
        <w:numPr>
          <w:ilvl w:val="0"/>
          <w:numId w:val="1009"/>
        </w:numPr>
      </w:pPr>
      <w:r>
        <w:t xml:space="preserve">House Style Guide</w:t>
      </w:r>
    </w:p>
    <w:p>
      <w:pPr>
        <w:pStyle w:val="Compact"/>
        <w:numPr>
          <w:ilvl w:val="0"/>
          <w:numId w:val="1009"/>
        </w:numPr>
      </w:pPr>
      <w:r>
        <w:t xml:space="preserve">Marketing materials</w:t>
      </w:r>
    </w:p>
    <w:p>
      <w:r>
        <w:pict>
          <v:rect style="width:0;height:1.5pt" o:hralign="center" o:hrstd="t" o:hr="t"/>
        </w:pict>
      </w:r>
    </w:p>
    <w:bookmarkEnd w:id="41"/>
    <w:bookmarkStart w:id="42" w:name="software-assets"/>
    <w:p>
      <w:pPr>
        <w:pStyle w:val="Heading1"/>
      </w:pPr>
      <w:r>
        <w:t xml:space="preserve">Software Assets</w:t>
      </w:r>
    </w:p>
    <w:p>
      <w:pPr>
        <w:pStyle w:val="FirstParagraph"/>
      </w:pPr>
      <w:r>
        <w:t xml:space="preserve">Maintain a list of purchased or licensed software.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Productivity software</w:t>
      </w:r>
    </w:p>
    <w:p>
      <w:pPr>
        <w:pStyle w:val="Compact"/>
        <w:numPr>
          <w:ilvl w:val="0"/>
          <w:numId w:val="1010"/>
        </w:numPr>
      </w:pPr>
      <w:r>
        <w:t xml:space="preserve">AI subscriptions</w:t>
      </w:r>
    </w:p>
    <w:p>
      <w:pPr>
        <w:pStyle w:val="Compact"/>
        <w:numPr>
          <w:ilvl w:val="0"/>
          <w:numId w:val="1010"/>
        </w:numPr>
      </w:pPr>
      <w:r>
        <w:t xml:space="preserve">Design software</w:t>
      </w:r>
    </w:p>
    <w:p>
      <w:pPr>
        <w:pStyle w:val="Compact"/>
        <w:numPr>
          <w:ilvl w:val="0"/>
          <w:numId w:val="1010"/>
        </w:numPr>
      </w:pPr>
      <w:r>
        <w:t xml:space="preserve">Development tools</w:t>
      </w:r>
    </w:p>
    <w:p>
      <w:pPr>
        <w:pStyle w:val="Compact"/>
        <w:numPr>
          <w:ilvl w:val="0"/>
          <w:numId w:val="1010"/>
        </w:numPr>
      </w:pPr>
      <w:r>
        <w:t xml:space="preserve">Business utilities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11"/>
        </w:numPr>
      </w:pPr>
      <w:r>
        <w:t xml:space="preserve">Vendor</w:t>
      </w:r>
    </w:p>
    <w:p>
      <w:pPr>
        <w:pStyle w:val="Compact"/>
        <w:numPr>
          <w:ilvl w:val="0"/>
          <w:numId w:val="1011"/>
        </w:numPr>
      </w:pPr>
      <w:r>
        <w:t xml:space="preserve">License type</w:t>
      </w:r>
    </w:p>
    <w:p>
      <w:pPr>
        <w:pStyle w:val="Compact"/>
        <w:numPr>
          <w:ilvl w:val="0"/>
          <w:numId w:val="1011"/>
        </w:numPr>
      </w:pPr>
      <w:r>
        <w:t xml:space="preserve">Renewal date</w:t>
      </w:r>
    </w:p>
    <w:p>
      <w:pPr>
        <w:pStyle w:val="Compact"/>
        <w:numPr>
          <w:ilvl w:val="0"/>
          <w:numId w:val="1011"/>
        </w:numPr>
      </w:pPr>
      <w:r>
        <w:t xml:space="preserve">Primary purpose</w:t>
      </w:r>
    </w:p>
    <w:p>
      <w:r>
        <w:pict>
          <v:rect style="width:0;height:1.5pt" o:hralign="center" o:hrstd="t" o:hr="t"/>
        </w:pict>
      </w:r>
    </w:p>
    <w:bookmarkEnd w:id="42"/>
    <w:bookmarkStart w:id="43" w:name="intellectual-property"/>
    <w:p>
      <w:pPr>
        <w:pStyle w:val="Heading1"/>
      </w:pPr>
      <w:r>
        <w:t xml:space="preserve">Intellectual Property</w:t>
      </w:r>
    </w:p>
    <w:p>
      <w:pPr>
        <w:pStyle w:val="FirstParagraph"/>
      </w:pPr>
      <w:r>
        <w:t xml:space="preserve">Record important intellectual property.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Business names</w:t>
      </w:r>
    </w:p>
    <w:p>
      <w:pPr>
        <w:pStyle w:val="Compact"/>
        <w:numPr>
          <w:ilvl w:val="0"/>
          <w:numId w:val="1012"/>
        </w:numPr>
      </w:pPr>
      <w:r>
        <w:t xml:space="preserve">Logos</w:t>
      </w:r>
    </w:p>
    <w:p>
      <w:pPr>
        <w:pStyle w:val="Compact"/>
        <w:numPr>
          <w:ilvl w:val="0"/>
          <w:numId w:val="1012"/>
        </w:numPr>
      </w:pPr>
      <w:r>
        <w:t xml:space="preserve">Trademarks</w:t>
      </w:r>
    </w:p>
    <w:p>
      <w:pPr>
        <w:pStyle w:val="Compact"/>
        <w:numPr>
          <w:ilvl w:val="0"/>
          <w:numId w:val="1012"/>
        </w:numPr>
      </w:pPr>
      <w:r>
        <w:t xml:space="preserve">Proprietary software</w:t>
      </w:r>
    </w:p>
    <w:p>
      <w:pPr>
        <w:pStyle w:val="Compact"/>
        <w:numPr>
          <w:ilvl w:val="0"/>
          <w:numId w:val="1012"/>
        </w:numPr>
      </w:pPr>
      <w:r>
        <w:t xml:space="preserve">Documentation</w:t>
      </w:r>
    </w:p>
    <w:p>
      <w:pPr>
        <w:pStyle w:val="Compact"/>
        <w:numPr>
          <w:ilvl w:val="0"/>
          <w:numId w:val="1012"/>
        </w:numPr>
      </w:pPr>
      <w:r>
        <w:t xml:space="preserve">Proprietary processes</w:t>
      </w:r>
    </w:p>
    <w:p>
      <w:pPr>
        <w:pStyle w:val="Compact"/>
        <w:numPr>
          <w:ilvl w:val="0"/>
          <w:numId w:val="1012"/>
        </w:numPr>
      </w:pPr>
      <w:r>
        <w:t xml:space="preserve">Original written content</w:t>
      </w:r>
    </w:p>
    <w:p>
      <w:r>
        <w:pict>
          <v:rect style="width:0;height:1.5pt" o:hralign="center" o:hrstd="t" o:hr="t"/>
        </w:pict>
      </w:r>
    </w:p>
    <w:bookmarkEnd w:id="43"/>
    <w:bookmarkStart w:id="44" w:name="financial-services"/>
    <w:p>
      <w:pPr>
        <w:pStyle w:val="Heading1"/>
      </w:pPr>
      <w:r>
        <w:t xml:space="preserve">Financial Services</w:t>
      </w:r>
    </w:p>
    <w:p>
      <w:pPr>
        <w:pStyle w:val="FirstParagraph"/>
      </w:pPr>
      <w:r>
        <w:t xml:space="preserve">Maintain a high-level inventory only.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Business bank account</w:t>
      </w:r>
    </w:p>
    <w:p>
      <w:pPr>
        <w:pStyle w:val="Compact"/>
        <w:numPr>
          <w:ilvl w:val="0"/>
          <w:numId w:val="1013"/>
        </w:numPr>
      </w:pPr>
      <w:r>
        <w:t xml:space="preserve">Payment processors</w:t>
      </w:r>
    </w:p>
    <w:p>
      <w:pPr>
        <w:pStyle w:val="Compact"/>
        <w:numPr>
          <w:ilvl w:val="0"/>
          <w:numId w:val="1013"/>
        </w:numPr>
      </w:pPr>
      <w:r>
        <w:t xml:space="preserve">Accounting software</w:t>
      </w:r>
    </w:p>
    <w:p>
      <w:pPr>
        <w:pStyle w:val="FirstParagraph"/>
      </w:pPr>
      <w:r>
        <w:t xml:space="preserve">Do not record account numbers or sensitive financial information.</w:t>
      </w:r>
    </w:p>
    <w:p>
      <w:r>
        <w:pict>
          <v:rect style="width:0;height:1.5pt" o:hralign="center" o:hrstd="t" o:hr="t"/>
        </w:pict>
      </w:r>
    </w:p>
    <w:bookmarkEnd w:id="44"/>
    <w:bookmarkStart w:id="45" w:name="renewal-calendar"/>
    <w:p>
      <w:pPr>
        <w:pStyle w:val="Heading1"/>
      </w:pPr>
      <w:r>
        <w:t xml:space="preserve">Renewal Calendar</w:t>
      </w:r>
    </w:p>
    <w:p>
      <w:pPr>
        <w:pStyle w:val="FirstParagraph"/>
      </w:pPr>
      <w:r>
        <w:t xml:space="preserve">Track recurring renewals.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Domains</w:t>
      </w:r>
    </w:p>
    <w:p>
      <w:pPr>
        <w:pStyle w:val="Compact"/>
        <w:numPr>
          <w:ilvl w:val="0"/>
          <w:numId w:val="1014"/>
        </w:numPr>
      </w:pPr>
      <w:r>
        <w:t xml:space="preserve">Software subscriptions</w:t>
      </w:r>
    </w:p>
    <w:p>
      <w:pPr>
        <w:pStyle w:val="Compact"/>
        <w:numPr>
          <w:ilvl w:val="0"/>
          <w:numId w:val="1014"/>
        </w:numPr>
      </w:pPr>
      <w:r>
        <w:t xml:space="preserve">Hosting</w:t>
      </w:r>
    </w:p>
    <w:p>
      <w:pPr>
        <w:pStyle w:val="Compact"/>
        <w:numPr>
          <w:ilvl w:val="0"/>
          <w:numId w:val="1014"/>
        </w:numPr>
      </w:pPr>
      <w:r>
        <w:t xml:space="preserve">Email services</w:t>
      </w:r>
    </w:p>
    <w:p>
      <w:pPr>
        <w:pStyle w:val="Compact"/>
        <w:numPr>
          <w:ilvl w:val="0"/>
          <w:numId w:val="1014"/>
        </w:numPr>
      </w:pPr>
      <w:r>
        <w:t xml:space="preserve">AI subscriptions</w:t>
      </w:r>
    </w:p>
    <w:p>
      <w:pPr>
        <w:pStyle w:val="Compact"/>
        <w:numPr>
          <w:ilvl w:val="0"/>
          <w:numId w:val="1014"/>
        </w:numPr>
      </w:pPr>
      <w:r>
        <w:t xml:space="preserve">Business registrations</w:t>
      </w:r>
    </w:p>
    <w:p>
      <w:pPr>
        <w:pStyle w:val="FirstParagraph"/>
      </w:pPr>
      <w:r>
        <w:t xml:space="preserve">Review this section during each Quarterly Review.</w:t>
      </w:r>
    </w:p>
    <w:p>
      <w:r>
        <w:pict>
          <v:rect style="width:0;height:1.5pt" o:hralign="center" o:hrstd="t" o:hr="t"/>
        </w:pict>
      </w:r>
    </w:p>
    <w:bookmarkEnd w:id="45"/>
    <w:bookmarkStart w:id="46" w:name="asset-review-checklist"/>
    <w:p>
      <w:pPr>
        <w:pStyle w:val="Heading1"/>
      </w:pPr>
      <w:r>
        <w:t xml:space="preserve">Asset Review Checklist</w:t>
      </w:r>
    </w:p>
    <w:p>
      <w:pPr>
        <w:pStyle w:val="FirstParagraph"/>
      </w:pPr>
      <w:r>
        <w:t xml:space="preserve">During each Quarterly Review, confirm:</w:t>
      </w:r>
    </w:p>
    <w:p>
      <w:pPr>
        <w:pStyle w:val="Compact"/>
        <w:numPr>
          <w:ilvl w:val="0"/>
          <w:numId w:val="1015"/>
        </w:numPr>
      </w:pPr>
      <w:r>
        <w:t xml:space="preserve">Are all assets still required?</w:t>
      </w:r>
    </w:p>
    <w:p>
      <w:pPr>
        <w:pStyle w:val="Compact"/>
        <w:numPr>
          <w:ilvl w:val="0"/>
          <w:numId w:val="1015"/>
        </w:numPr>
      </w:pPr>
      <w:r>
        <w:t xml:space="preserve">Are unused subscriptions cancelled?</w:t>
      </w:r>
    </w:p>
    <w:p>
      <w:pPr>
        <w:pStyle w:val="Compact"/>
        <w:numPr>
          <w:ilvl w:val="0"/>
          <w:numId w:val="1015"/>
        </w:numPr>
      </w:pPr>
      <w:r>
        <w:t xml:space="preserve">Are renewal dates current?</w:t>
      </w:r>
    </w:p>
    <w:p>
      <w:pPr>
        <w:pStyle w:val="Compact"/>
        <w:numPr>
          <w:ilvl w:val="0"/>
          <w:numId w:val="1015"/>
        </w:numPr>
      </w:pPr>
      <w:r>
        <w:t xml:space="preserve">Are repositories properly backed up?</w:t>
      </w:r>
    </w:p>
    <w:p>
      <w:pPr>
        <w:pStyle w:val="Compact"/>
        <w:numPr>
          <w:ilvl w:val="0"/>
          <w:numId w:val="1015"/>
        </w:numPr>
      </w:pPr>
      <w:r>
        <w:t xml:space="preserve">Is documentation up to date?</w:t>
      </w:r>
    </w:p>
    <w:p>
      <w:pPr>
        <w:pStyle w:val="Compact"/>
        <w:numPr>
          <w:ilvl w:val="0"/>
          <w:numId w:val="1015"/>
        </w:numPr>
      </w:pPr>
      <w:r>
        <w:t xml:space="preserve">Have new assets been added to this register?</w:t>
      </w:r>
    </w:p>
    <w:p>
      <w:pPr>
        <w:pStyle w:val="Compact"/>
        <w:numPr>
          <w:ilvl w:val="0"/>
          <w:numId w:val="1015"/>
        </w:numPr>
      </w:pPr>
      <w:r>
        <w:t xml:space="preserve">Is ownership clearly assigned?</w:t>
      </w:r>
    </w:p>
    <w:p>
      <w:r>
        <w:pict>
          <v:rect style="width:0;height:1.5pt" o:hralign="center" o:hrstd="t" o:hr="t"/>
        </w:pict>
      </w:r>
    </w:p>
    <w:bookmarkEnd w:id="46"/>
    <w:bookmarkStart w:id="47" w:name="asset-management-principles"/>
    <w:p>
      <w:pPr>
        <w:pStyle w:val="Heading1"/>
      </w:pPr>
      <w:r>
        <w:t xml:space="preserve">Asset Management Principles</w:t>
      </w:r>
    </w:p>
    <w:p>
      <w:pPr>
        <w:pStyle w:val="FirstParagraph"/>
      </w:pPr>
      <w:r>
        <w:t xml:space="preserve">Flat Cap Enterprises treats digital assets as business investments.</w:t>
      </w:r>
    </w:p>
    <w:p>
      <w:pPr>
        <w:pStyle w:val="BodyText"/>
      </w:pPr>
      <w:r>
        <w:t xml:space="preserve">Every digital asset should:</w:t>
      </w:r>
    </w:p>
    <w:p>
      <w:pPr>
        <w:pStyle w:val="Compact"/>
        <w:numPr>
          <w:ilvl w:val="0"/>
          <w:numId w:val="1016"/>
        </w:numPr>
      </w:pPr>
      <w:r>
        <w:t xml:space="preserve">Serve a clear purpose.</w:t>
      </w:r>
    </w:p>
    <w:p>
      <w:pPr>
        <w:pStyle w:val="Compact"/>
        <w:numPr>
          <w:ilvl w:val="0"/>
          <w:numId w:val="1016"/>
        </w:numPr>
      </w:pPr>
      <w:r>
        <w:t xml:space="preserve">Be documented.</w:t>
      </w:r>
    </w:p>
    <w:p>
      <w:pPr>
        <w:pStyle w:val="Compact"/>
        <w:numPr>
          <w:ilvl w:val="0"/>
          <w:numId w:val="1016"/>
        </w:numPr>
      </w:pPr>
      <w:r>
        <w:t xml:space="preserve">Be maintained.</w:t>
      </w:r>
    </w:p>
    <w:p>
      <w:pPr>
        <w:pStyle w:val="Compact"/>
        <w:numPr>
          <w:ilvl w:val="0"/>
          <w:numId w:val="1016"/>
        </w:numPr>
      </w:pPr>
      <w:r>
        <w:t xml:space="preserve">Be secured.</w:t>
      </w:r>
    </w:p>
    <w:p>
      <w:pPr>
        <w:pStyle w:val="Compact"/>
        <w:numPr>
          <w:ilvl w:val="0"/>
          <w:numId w:val="1016"/>
        </w:numPr>
      </w:pPr>
      <w:r>
        <w:t xml:space="preserve">Produce value directly or indirectly.</w:t>
      </w:r>
    </w:p>
    <w:p>
      <w:pPr>
        <w:pStyle w:val="FirstParagraph"/>
      </w:pPr>
      <w:r>
        <w:t xml:space="preserve">Whenever practical:</w:t>
      </w:r>
    </w:p>
    <w:p>
      <w:pPr>
        <w:pStyle w:val="Compact"/>
        <w:numPr>
          <w:ilvl w:val="0"/>
          <w:numId w:val="1017"/>
        </w:numPr>
      </w:pPr>
      <w:r>
        <w:t xml:space="preserve">Own rather than rent.</w:t>
      </w:r>
    </w:p>
    <w:p>
      <w:pPr>
        <w:pStyle w:val="Compact"/>
        <w:numPr>
          <w:ilvl w:val="0"/>
          <w:numId w:val="1017"/>
        </w:numPr>
      </w:pPr>
      <w:r>
        <w:t xml:space="preserve">Build rather than duplicate.</w:t>
      </w:r>
    </w:p>
    <w:p>
      <w:pPr>
        <w:pStyle w:val="Compact"/>
        <w:numPr>
          <w:ilvl w:val="0"/>
          <w:numId w:val="1017"/>
        </w:numPr>
      </w:pPr>
      <w:r>
        <w:t xml:space="preserve">Reuse rather than recreate.</w:t>
      </w:r>
    </w:p>
    <w:p>
      <w:pPr>
        <w:pStyle w:val="Compact"/>
        <w:numPr>
          <w:ilvl w:val="0"/>
          <w:numId w:val="1017"/>
        </w:numPr>
      </w:pPr>
      <w:r>
        <w:t xml:space="preserve">Simplify rather than complicate.</w:t>
      </w:r>
    </w:p>
    <w:p>
      <w:r>
        <w:pict>
          <v:rect style="width:0;height:1.5pt" o:hralign="center" o:hrstd="t" o:hr="t"/>
        </w:pict>
      </w:r>
    </w:p>
    <w:bookmarkEnd w:id="47"/>
    <w:bookmarkStart w:id="48" w:name="closing-principle"/>
    <w:p>
      <w:pPr>
        <w:pStyle w:val="Heading1"/>
      </w:pPr>
      <w:r>
        <w:t xml:space="preserve">Closing Principle</w:t>
      </w:r>
    </w:p>
    <w:p>
      <w:pPr>
        <w:pStyle w:val="FirstParagraph"/>
      </w:pPr>
      <w:r>
        <w:t xml:space="preserve">The value of Flat Cap Enterprises is measured not only by today’s revenue, but by the quality, durability, and usefulness of the assets it builds over time.</w:t>
      </w:r>
    </w:p>
    <w:p>
      <w:pPr>
        <w:pStyle w:val="BodyText"/>
      </w:pPr>
      <w:r>
        <w:t xml:space="preserve">Every well-managed digital asset strengthens the company’s future.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2026-07-09T23:29:47Z</dcterms:created>
  <dcterms:modified xsi:type="dcterms:W3CDTF">2026-07-09T23:29:47Z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