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880"/>
      </w:pPr>
      <w:r>
        <w:rPr>
          <w:rFonts w:ascii="Arial" w:cs="Arial" w:eastAsia="Arial" w:hAnsi="Arial"/>
          <w:b/>
          <w:bCs/>
          <w:color w:val="17181a"/>
          <w:sz w:val="72"/>
          <w:szCs w:val="72"/>
        </w:rPr>
        <w:t xml:space="preserve">FlatFinder™</w:t>
      </w:r>
    </w:p>
    <w:p>
      <w:pPr>
        <w:spacing w:after="60" w:before="0"/>
      </w:pPr>
      <w:r>
        <w:rPr>
          <w:rFonts w:ascii="Arial" w:cs="Arial" w:eastAsia="Arial" w:hAnsi="Arial"/>
          <w:color w:val="1b65a5"/>
          <w:sz w:val="36"/>
          <w:szCs w:val="36"/>
        </w:rPr>
        <w:t xml:space="preserve">Housing Revolutionised</w:t>
      </w:r>
    </w:p>
    <w:p>
      <w:pPr>
        <w:pBdr>
          <w:bottom w:val="single" w:color="17181a" w:sz="12"/>
        </w:pBdr>
        <w:spacing w:after="0" w:before="0"/>
      </w:pPr>
      <w:r>
        <w:t xml:space="preserve"/>
      </w:r>
    </w:p>
    <w:p>
      <w:pPr>
        <w:spacing w:after="100" w:before="0"/>
      </w:pPr>
      <w:r>
        <w:t xml:space="preserve"/>
      </w:r>
    </w:p>
    <w:p>
      <w:pPr>
        <w:spacing w:after="80" w:before="0"/>
      </w:pPr>
      <w:r>
        <w:rPr>
          <w:rFonts w:ascii="Arial" w:cs="Arial" w:eastAsia="Arial" w:hAnsi="Arial"/>
          <w:b/>
          <w:bCs/>
          <w:color w:val="17181a"/>
          <w:sz w:val="32"/>
          <w:szCs w:val="32"/>
        </w:rPr>
        <w:t xml:space="preserve">Product Requirements Document Library</w:t>
      </w:r>
    </w:p>
    <w:p>
      <w:r>
        <w:rPr>
          <w:rFonts w:ascii="Arial" w:cs="Arial" w:eastAsia="Arial" w:hAnsi="Arial"/>
          <w:color w:val="7a7670"/>
          <w:sz w:val="24"/>
          <w:szCs w:val="24"/>
        </w:rPr>
        <w:t xml:space="preserve">Version 1.0  ·  April 2026</w:t>
      </w:r>
    </w:p>
    <w:p>
      <w:pPr>
        <w:spacing w:after="200" w:before="0"/>
      </w:pPr>
      <w:r>
        <w:t xml:space="preserve"/>
      </w:r>
    </w:p>
    <w:p>
      <w:r>
        <w:rPr>
          <w:rFonts w:ascii="Arial" w:cs="Arial" w:eastAsia="Arial" w:hAnsi="Arial"/>
          <w:b/>
          <w:bCs/>
          <w:color w:val="17181a"/>
          <w:sz w:val="22"/>
          <w:szCs w:val="22"/>
        </w:rPr>
        <w:t xml:space="preserve">Documents in this release</w:t>
      </w:r>
    </w:p>
    <w:p>
      <w:pPr>
        <w:spacing w:after="100" w:before="0"/>
      </w:pPr>
      <w:r>
        <w:t xml:space="preserve"/>
      </w:r>
    </w:p>
    <w:p>
      <w:pPr>
        <w:pStyle w:val="ListParagraph"/>
        <w:numPr>
          <w:ilvl w:val="0"/>
          <w:numId w:val="2"/>
        </w:numPr>
        <w:spacing w:after="40" w:before="40"/>
      </w:pPr>
      <w:r>
        <w:rPr>
          <w:rFonts w:ascii="Arial" w:cs="Arial" w:eastAsia="Arial" w:hAnsi="Arial"/>
          <w:b/>
          <w:bCs/>
          <w:color w:val="1b65a5"/>
          <w:sz w:val="22"/>
          <w:szCs w:val="22"/>
        </w:rPr>
        <w:t xml:space="preserve">FF-CORE-007  </w:t>
      </w:r>
      <w:r>
        <w:rPr>
          <w:rFonts w:ascii="Arial" w:cs="Arial" w:eastAsia="Arial" w:hAnsi="Arial"/>
          <w:color w:val="17181a"/>
          <w:sz w:val="22"/>
          <w:szCs w:val="22"/>
        </w:rPr>
        <w:t xml:space="preserve">Verified Match Conversation</w:t>
      </w:r>
      <w:r>
        <w:rPr>
          <w:rFonts w:ascii="Arial" w:cs="Arial" w:eastAsia="Arial" w:hAnsi="Arial"/>
          <w:i/>
          <w:iCs/>
          <w:color w:val="7a7670"/>
          <w:sz w:val="20"/>
          <w:szCs w:val="20"/>
        </w:rPr>
        <w:t xml:space="preserve">  ·  Platform Integrity</w:t>
      </w:r>
    </w:p>
    <w:p>
      <w:pPr>
        <w:pStyle w:val="ListParagraph"/>
        <w:numPr>
          <w:ilvl w:val="0"/>
          <w:numId w:val="2"/>
        </w:numPr>
        <w:spacing w:after="40" w:before="40"/>
      </w:pPr>
      <w:r>
        <w:rPr>
          <w:rFonts w:ascii="Arial" w:cs="Arial" w:eastAsia="Arial" w:hAnsi="Arial"/>
          <w:b/>
          <w:bCs/>
          <w:color w:val="1b65a5"/>
          <w:sz w:val="22"/>
          <w:szCs w:val="22"/>
        </w:rPr>
        <w:t xml:space="preserve">FF-CORE-008  </w:t>
      </w:r>
      <w:r>
        <w:rPr>
          <w:rFonts w:ascii="Arial" w:cs="Arial" w:eastAsia="Arial" w:hAnsi="Arial"/>
          <w:color w:val="17181a"/>
          <w:sz w:val="22"/>
          <w:szCs w:val="22"/>
        </w:rPr>
        <w:t xml:space="preserve">Human Review Framework</w:t>
      </w:r>
      <w:r>
        <w:rPr>
          <w:rFonts w:ascii="Arial" w:cs="Arial" w:eastAsia="Arial" w:hAnsi="Arial"/>
          <w:i/>
          <w:iCs/>
          <w:color w:val="7a7670"/>
          <w:sz w:val="20"/>
          <w:szCs w:val="20"/>
        </w:rPr>
        <w:t xml:space="preserve">  ·  Platform Integrity</w:t>
      </w:r>
    </w:p>
    <w:p>
      <w:pPr>
        <w:pStyle w:val="ListParagraph"/>
        <w:numPr>
          <w:ilvl w:val="0"/>
          <w:numId w:val="2"/>
        </w:numPr>
        <w:spacing w:after="40" w:before="40"/>
      </w:pPr>
      <w:r>
        <w:rPr>
          <w:rFonts w:ascii="Arial" w:cs="Arial" w:eastAsia="Arial" w:hAnsi="Arial"/>
          <w:b/>
          <w:bCs/>
          <w:color w:val="1b65a5"/>
          <w:sz w:val="22"/>
          <w:szCs w:val="22"/>
        </w:rPr>
        <w:t xml:space="preserve">FF-CORE-008-S7  </w:t>
      </w:r>
      <w:r>
        <w:rPr>
          <w:rFonts w:ascii="Arial" w:cs="Arial" w:eastAsia="Arial" w:hAnsi="Arial"/>
          <w:color w:val="17181a"/>
          <w:sz w:val="22"/>
          <w:szCs w:val="22"/>
        </w:rPr>
        <w:t xml:space="preserve">Discriminatory &amp; Predatory Listings — Zero Tolerance</w:t>
      </w:r>
      <w:r>
        <w:rPr>
          <w:rFonts w:ascii="Arial" w:cs="Arial" w:eastAsia="Arial" w:hAnsi="Arial"/>
          <w:i/>
          <w:iCs/>
          <w:color w:val="7a7670"/>
          <w:sz w:val="20"/>
          <w:szCs w:val="20"/>
        </w:rPr>
        <w:t xml:space="preserve">  ·  Amendment · Platform Integrity</w:t>
      </w:r>
    </w:p>
    <w:p>
      <w:pPr>
        <w:pStyle w:val="ListParagraph"/>
        <w:numPr>
          <w:ilvl w:val="0"/>
          <w:numId w:val="2"/>
        </w:numPr>
        <w:spacing w:after="40" w:before="40"/>
      </w:pPr>
      <w:r>
        <w:rPr>
          <w:rFonts w:ascii="Arial" w:cs="Arial" w:eastAsia="Arial" w:hAnsi="Arial"/>
          <w:b/>
          <w:bCs/>
          <w:color w:val="1b65a5"/>
          <w:sz w:val="22"/>
          <w:szCs w:val="22"/>
        </w:rPr>
        <w:t xml:space="preserve">FF-CORE-009  </w:t>
      </w:r>
      <w:r>
        <w:rPr>
          <w:rFonts w:ascii="Arial" w:cs="Arial" w:eastAsia="Arial" w:hAnsi="Arial"/>
          <w:color w:val="17181a"/>
          <w:sz w:val="22"/>
          <w:szCs w:val="22"/>
        </w:rPr>
        <w:t xml:space="preserve">Tenant Verification &amp; Financial Standing</w:t>
      </w:r>
      <w:r>
        <w:rPr>
          <w:rFonts w:ascii="Arial" w:cs="Arial" w:eastAsia="Arial" w:hAnsi="Arial"/>
          <w:i/>
          <w:iCs/>
          <w:color w:val="7a7670"/>
          <w:sz w:val="20"/>
          <w:szCs w:val="20"/>
        </w:rPr>
        <w:t xml:space="preserve">  ·  Verification</w:t>
      </w:r>
    </w:p>
    <w:p>
      <w:pPr>
        <w:pStyle w:val="ListParagraph"/>
        <w:numPr>
          <w:ilvl w:val="0"/>
          <w:numId w:val="2"/>
        </w:numPr>
        <w:spacing w:after="40" w:before="40"/>
      </w:pPr>
      <w:r>
        <w:rPr>
          <w:rFonts w:ascii="Arial" w:cs="Arial" w:eastAsia="Arial" w:hAnsi="Arial"/>
          <w:b/>
          <w:bCs/>
          <w:color w:val="1b65a5"/>
          <w:sz w:val="22"/>
          <w:szCs w:val="22"/>
        </w:rPr>
        <w:t xml:space="preserve">FF-CORE-010  </w:t>
      </w:r>
      <w:r>
        <w:rPr>
          <w:rFonts w:ascii="Arial" w:cs="Arial" w:eastAsia="Arial" w:hAnsi="Arial"/>
          <w:color w:val="17181a"/>
          <w:sz w:val="22"/>
          <w:szCs w:val="22"/>
        </w:rPr>
        <w:t xml:space="preserve">Landlord Verification &amp; Listing Standards</w:t>
      </w:r>
      <w:r>
        <w:rPr>
          <w:rFonts w:ascii="Arial" w:cs="Arial" w:eastAsia="Arial" w:hAnsi="Arial"/>
          <w:i/>
          <w:iCs/>
          <w:color w:val="7a7670"/>
          <w:sz w:val="20"/>
          <w:szCs w:val="20"/>
        </w:rPr>
        <w:t xml:space="preserve">  ·  Verification · Listing Standards</w:t>
      </w:r>
    </w:p>
    <w:p>
      <w:pPr>
        <w:pStyle w:val="ListParagraph"/>
        <w:numPr>
          <w:ilvl w:val="0"/>
          <w:numId w:val="2"/>
        </w:numPr>
        <w:spacing w:after="40" w:before="40"/>
      </w:pPr>
      <w:r>
        <w:rPr>
          <w:rFonts w:ascii="Arial" w:cs="Arial" w:eastAsia="Arial" w:hAnsi="Arial"/>
          <w:b/>
          <w:bCs/>
          <w:color w:val="1b65a5"/>
          <w:sz w:val="22"/>
          <w:szCs w:val="22"/>
        </w:rPr>
        <w:t xml:space="preserve">FF-CORE-011  </w:t>
      </w:r>
      <w:r>
        <w:rPr>
          <w:rFonts w:ascii="Arial" w:cs="Arial" w:eastAsia="Arial" w:hAnsi="Arial"/>
          <w:color w:val="17181a"/>
          <w:sz w:val="22"/>
          <w:szCs w:val="22"/>
        </w:rPr>
        <w:t xml:space="preserve">Matching Logic &amp; Filter Hierarchy</w:t>
      </w:r>
      <w:r>
        <w:rPr>
          <w:rFonts w:ascii="Arial" w:cs="Arial" w:eastAsia="Arial" w:hAnsi="Arial"/>
          <w:i/>
          <w:iCs/>
          <w:color w:val="7a7670"/>
          <w:sz w:val="20"/>
          <w:szCs w:val="20"/>
        </w:rPr>
        <w:t xml:space="preserve">  ·  Core Algorithm</w:t>
      </w:r>
    </w:p>
    <w:p>
      <w:pPr>
        <w:spacing w:after="300" w:before="0"/>
      </w:pPr>
      <w:r>
        <w:t xml:space="preserve"/>
      </w:r>
    </w:p>
    <w:p>
      <w:r>
        <w:rPr>
          <w:rFonts w:ascii="Arial" w:cs="Arial" w:eastAsia="Arial" w:hAnsi="Arial"/>
          <w:color w:val="7a7670"/>
          <w:sz w:val="18"/>
          <w:szCs w:val="18"/>
        </w:rPr>
        <w:t xml:space="preserve">© 2024–2026 Lila Inglis Abegunrin · FlatFinder Inc. · Trademarks and Patents Pending (CIPO) · Proprietary and Confidential</w:t>
      </w:r>
    </w:p>
    <w:p>
      <w:r>
        <w:br w:type="page"/>
      </w:r>
    </w:p>
    <w:p>
      <w:pPr>
        <w:spacing w:after="60" w:before="360"/>
      </w:pPr>
      <w:r>
        <w:rPr>
          <w:rFonts w:ascii="Arial" w:cs="Arial" w:eastAsia="Arial" w:hAnsi="Arial"/>
          <w:b/>
          <w:bCs/>
          <w:caps/>
          <w:color w:val="1b65a5"/>
          <w:spacing w:val="50"/>
          <w:sz w:val="18"/>
          <w:szCs w:val="18"/>
        </w:rPr>
        <w:t xml:space="preserve">FF-CORE-007  ·  Platform Integrity  ·  Version 1.0</w:t>
      </w:r>
    </w:p>
    <w:p>
      <w:pPr>
        <w:pBdr>
          <w:bottom w:val="single" w:color="17181a" w:sz="12" w:space="6"/>
        </w:pBdr>
        <w:spacing w:after="40" w:before="0"/>
      </w:pPr>
      <w:r>
        <w:rPr>
          <w:rFonts w:ascii="Arial" w:cs="Arial" w:eastAsia="Arial" w:hAnsi="Arial"/>
          <w:b/>
          <w:bCs/>
          <w:caps/>
          <w:color w:val="7a7670"/>
          <w:spacing w:val="40"/>
          <w:sz w:val="20"/>
          <w:szCs w:val="20"/>
        </w:rPr>
        <w:t xml:space="preserve">FF-CORE-007</w:t>
      </w:r>
      <w:r>
        <w:rPr>
          <w:rFonts w:ascii="Arial" w:cs="Arial" w:eastAsia="Arial" w:hAnsi="Arial"/>
          <w:color w:val="ddd7cc"/>
          <w:sz w:val="20"/>
          <w:szCs w:val="20"/>
        </w:rPr>
        <w:t xml:space="preserve">  —  </w:t>
      </w:r>
      <w:r>
        <w:rPr>
          <w:rFonts w:ascii="Arial" w:cs="Arial" w:eastAsia="Arial" w:hAnsi="Arial"/>
          <w:color w:val="7a7670"/>
          <w:sz w:val="20"/>
          <w:szCs w:val="20"/>
        </w:rPr>
        <w:t xml:space="preserve">Verified Match Conversation</w:t>
      </w:r>
    </w:p>
    <w:p>
      <w:pPr>
        <w:spacing w:after="160" w:before="0"/>
      </w:pPr>
      <w:r>
        <w:rPr>
          <w:rFonts w:ascii="Arial" w:cs="Arial" w:eastAsia="Arial" w:hAnsi="Arial"/>
          <w:b/>
          <w:bCs/>
          <w:color w:val="17181a"/>
          <w:sz w:val="56"/>
          <w:szCs w:val="56"/>
        </w:rPr>
        <w:t xml:space="preserve">Verified Match Conversation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Status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Live · Version 1.0 · April 2026</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Category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Platform Integrity</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Owner</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Lila Inglis Abegunrin, Founder</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Linked PRDs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FF-CORE-008 (Human Review) · FF-CORE-008-S7 (Zero Tolerance) · FF-CORE-011 (Matching Logic)</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Summary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The mandatory communication gate between a confirmed match and any financial instrument. Neither party receives a payment link, lease offer, or deposit request until this gate is fully cleared. It cannot be bypassed by any user tier, platform operator, or technical override.</w:t>
            </w:r>
          </w:p>
        </w:tc>
      </w:tr>
    </w:tbl>
    <w:p>
      <w:pPr>
        <w:spacing w:after="2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1.  Purpose &amp; Founding Rationale</w:t>
      </w:r>
    </w:p>
    <w:p>
      <w:pPr>
        <w:spacing w:after="80" w:before="40"/>
      </w:pPr>
      <w:r>
        <w:rPr>
          <w:rFonts w:ascii="Arial" w:cs="Arial" w:eastAsia="Arial" w:hAnsi="Arial"/>
          <w:b w:val="false"/>
          <w:bCs w:val="false"/>
          <w:i w:val="false"/>
          <w:iCs w:val="false"/>
          <w:color w:val="17181a"/>
          <w:sz w:val="22"/>
          <w:szCs w:val="22"/>
        </w:rPr>
        <w:t xml:space="preserve">The Verified Match Conversation (VMC) exists to solve three problems simultaneously.</w:t>
      </w:r>
    </w:p>
    <w:p>
      <w:pPr>
        <w:spacing w:after="80" w:before="40"/>
      </w:pPr>
      <w:r>
        <w:rPr>
          <w:rFonts w:ascii="Arial" w:cs="Arial" w:eastAsia="Arial" w:hAnsi="Arial"/>
          <w:b w:val="false"/>
          <w:bCs w:val="false"/>
          <w:i w:val="false"/>
          <w:iCs w:val="false"/>
          <w:color w:val="17181a"/>
          <w:sz w:val="22"/>
          <w:szCs w:val="22"/>
        </w:rPr>
        <w:t xml:space="preserve">First: incompatibilities between tenant and landlord surface before money changes hands, not after. A tenant who cannot tolerate a landlord's communication style, or a landlord whose expectations are incompatible with the tenant's circumstances, is better discovered in a 40-word exchange than in a dispute three months into a tenancy.</w:t>
      </w:r>
    </w:p>
    <w:p>
      <w:pPr>
        <w:spacing w:after="80" w:before="40"/>
      </w:pPr>
      <w:r>
        <w:rPr>
          <w:rFonts w:ascii="Arial" w:cs="Arial" w:eastAsia="Arial" w:hAnsi="Arial"/>
          <w:b w:val="false"/>
          <w:bCs w:val="false"/>
          <w:i w:val="false"/>
          <w:iCs w:val="false"/>
          <w:color w:val="17181a"/>
          <w:sz w:val="22"/>
          <w:szCs w:val="22"/>
        </w:rPr>
        <w:t xml:space="preserve">Second: the VMC creates a timestamped, logged, server-side evidence trail. Every message is an auditable record. If a dispute arises — about what was said, when it was said, or whether a party was responsive — the VMC log is the record of truth.</w:t>
      </w:r>
    </w:p>
    <w:p>
      <w:pPr>
        <w:spacing w:after="80" w:before="40"/>
      </w:pPr>
      <w:r>
        <w:rPr>
          <w:rFonts w:ascii="Arial" w:cs="Arial" w:eastAsia="Arial" w:hAnsi="Arial"/>
          <w:b w:val="false"/>
          <w:bCs w:val="false"/>
          <w:i w:val="false"/>
          <w:iCs w:val="false"/>
          <w:color w:val="17181a"/>
          <w:sz w:val="22"/>
          <w:szCs w:val="22"/>
        </w:rPr>
        <w:t xml:space="preserve">Third: the VMC filters bad actors before they can cause financial or personal harm. A landlord running a ghost listing cannot complete a VMC. A tenant submitting random strings cannot complete a VMC. The gate exists precisely because bad actors exist.</w:t>
      </w:r>
    </w:p>
    <w:p>
      <w:pPr>
        <w:pStyle w:val="Heading2"/>
        <w:pBdr>
          <w:bottom w:val="single" w:color="ddd7cc" w:sz="2" w:space="4"/>
        </w:pBdr>
        <w:spacing w:after="80" w:before="320"/>
      </w:pPr>
      <w:r>
        <w:rPr>
          <w:rFonts w:ascii="Arial" w:cs="Arial" w:eastAsia="Arial" w:hAnsi="Arial"/>
          <w:b/>
          <w:bCs/>
          <w:color w:val="17181a"/>
          <w:sz w:val="28"/>
          <w:szCs w:val="28"/>
        </w:rPr>
        <w:t xml:space="preserve">2.  Trigger Conditions</w:t>
      </w:r>
    </w:p>
    <w:p>
      <w:pPr>
        <w:spacing w:after="80" w:before="40"/>
      </w:pPr>
      <w:r>
        <w:rPr>
          <w:rFonts w:ascii="Arial" w:cs="Arial" w:eastAsia="Arial" w:hAnsi="Arial"/>
          <w:b w:val="false"/>
          <w:bCs w:val="false"/>
          <w:i w:val="false"/>
          <w:iCs w:val="false"/>
          <w:color w:val="17181a"/>
          <w:sz w:val="22"/>
          <w:szCs w:val="22"/>
        </w:rPr>
        <w:t xml:space="preserve">The VMC thread opens automatically under the following conditions, all of which must be true simultaneously:</w:t>
      </w:r>
    </w:p>
    <w:p>
      <w:pPr>
        <w:pStyle w:val="ListParagraph"/>
        <w:numPr>
          <w:ilvl w:val="0"/>
          <w:numId w:val="2"/>
        </w:numPr>
        <w:spacing w:after="40" w:before="40"/>
      </w:pPr>
      <w:r>
        <w:rPr>
          <w:rFonts w:ascii="Arial" w:cs="Arial" w:eastAsia="Arial" w:hAnsi="Arial"/>
          <w:color w:val="17181a"/>
          <w:sz w:val="22"/>
          <w:szCs w:val="22"/>
        </w:rPr>
        <w:t xml:space="preserve">Both the landlord and the tenant have confirmed the match from their respective dashboards.</w:t>
      </w:r>
    </w:p>
    <w:p>
      <w:pPr>
        <w:pStyle w:val="ListParagraph"/>
        <w:numPr>
          <w:ilvl w:val="0"/>
          <w:numId w:val="2"/>
        </w:numPr>
        <w:spacing w:after="40" w:before="40"/>
      </w:pPr>
      <w:r>
        <w:rPr>
          <w:rFonts w:ascii="Arial" w:cs="Arial" w:eastAsia="Arial" w:hAnsi="Arial"/>
          <w:color w:val="17181a"/>
          <w:sz w:val="22"/>
          <w:szCs w:val="22"/>
        </w:rPr>
        <w:t xml:space="preserve">The landlord's profile holds a verified status across all five forms defined in FF-CORE-010.</w:t>
      </w:r>
    </w:p>
    <w:p>
      <w:pPr>
        <w:pStyle w:val="ListParagraph"/>
        <w:numPr>
          <w:ilvl w:val="0"/>
          <w:numId w:val="2"/>
        </w:numPr>
        <w:spacing w:after="40" w:before="40"/>
      </w:pPr>
      <w:r>
        <w:rPr>
          <w:rFonts w:ascii="Arial" w:cs="Arial" w:eastAsia="Arial" w:hAnsi="Arial"/>
          <w:color w:val="17181a"/>
          <w:sz w:val="22"/>
          <w:szCs w:val="22"/>
        </w:rPr>
        <w:t xml:space="preserve">The tenant's profile holds a verified status at one of the six documentation tiers defined in FF-CORE-009.</w:t>
      </w:r>
    </w:p>
    <w:p>
      <w:pPr>
        <w:pStyle w:val="ListParagraph"/>
        <w:numPr>
          <w:ilvl w:val="0"/>
          <w:numId w:val="2"/>
        </w:numPr>
        <w:spacing w:after="40" w:before="40"/>
      </w:pPr>
      <w:r>
        <w:rPr>
          <w:rFonts w:ascii="Arial" w:cs="Arial" w:eastAsia="Arial" w:hAnsi="Arial"/>
          <w:color w:val="17181a"/>
          <w:sz w:val="22"/>
          <w:szCs w:val="22"/>
        </w:rPr>
        <w:t xml:space="preserve">The listing has not been flagged under FF-CORE-008-S7 at the time of match confirmation.</w:t>
      </w:r>
    </w:p>
    <w:p>
      <w:pPr>
        <w:pStyle w:val="ListParagraph"/>
        <w:numPr>
          <w:ilvl w:val="0"/>
          <w:numId w:val="2"/>
        </w:numPr>
        <w:spacing w:after="40" w:before="40"/>
      </w:pPr>
      <w:r>
        <w:rPr>
          <w:rFonts w:ascii="Arial" w:cs="Arial" w:eastAsia="Arial" w:hAnsi="Arial"/>
          <w:color w:val="17181a"/>
          <w:sz w:val="22"/>
          <w:szCs w:val="22"/>
        </w:rPr>
        <w:t xml:space="preserve">Neither party has an active suspension or investigation on their account.</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If any of these conditions is not met, the match confirmation is held in a pending state. The party whose condition is unmet receives a specific notification explaining what is required. The other party is informed that the match is pending verification completion.</w:t>
      </w:r>
    </w:p>
    <w:p>
      <w:pPr>
        <w:pStyle w:val="Heading2"/>
        <w:pBdr>
          <w:bottom w:val="single" w:color="ddd7cc" w:sz="2" w:space="4"/>
        </w:pBdr>
        <w:spacing w:after="80" w:before="320"/>
      </w:pPr>
      <w:r>
        <w:rPr>
          <w:rFonts w:ascii="Arial" w:cs="Arial" w:eastAsia="Arial" w:hAnsi="Arial"/>
          <w:b/>
          <w:bCs/>
          <w:color w:val="17181a"/>
          <w:sz w:val="28"/>
          <w:szCs w:val="28"/>
        </w:rPr>
        <w:t xml:space="preserve">3.  Gate Rules — Non-Negotiable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No payment link, lease offer, deposit request, or financial instrument of any kind is sent to either party until the VMC gate is fully cleared. This rule has no exceptions. It cannot be overridden by user tier (Basic, Pro, Max, Ultra), by a platform operator, or by any technical configuration. The VMC gate is the integrity of the platform.</w:t>
            </w:r>
          </w:p>
        </w:tc>
      </w:tr>
    </w:tbl>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Attempts to route financial instruments outside the platform — via direct message, email, or any other channel — are treated as predatory behaviour under FF-CORE-008-S7. The VMC is not a courtesy feature. It is the gate.</w:t>
      </w:r>
    </w:p>
    <w:p>
      <w:pPr>
        <w:pStyle w:val="Heading2"/>
        <w:pBdr>
          <w:bottom w:val="single" w:color="ddd7cc" w:sz="2" w:space="4"/>
        </w:pBdr>
        <w:spacing w:after="80" w:before="320"/>
      </w:pPr>
      <w:r>
        <w:rPr>
          <w:rFonts w:ascii="Arial" w:cs="Arial" w:eastAsia="Arial" w:hAnsi="Arial"/>
          <w:b/>
          <w:bCs/>
          <w:color w:val="17181a"/>
          <w:sz w:val="28"/>
          <w:szCs w:val="28"/>
        </w:rPr>
        <w:t xml:space="preserve">4.  Completion Criteria</w:t>
      </w:r>
    </w:p>
    <w:p>
      <w:pPr>
        <w:spacing w:after="80" w:before="40"/>
      </w:pPr>
      <w:r>
        <w:rPr>
          <w:rFonts w:ascii="Arial" w:cs="Arial" w:eastAsia="Arial" w:hAnsi="Arial"/>
          <w:b w:val="false"/>
          <w:bCs w:val="false"/>
          <w:i w:val="false"/>
          <w:iCs w:val="false"/>
          <w:color w:val="17181a"/>
          <w:sz w:val="22"/>
          <w:szCs w:val="22"/>
        </w:rPr>
        <w:t xml:space="preserve">A VMC is considered complete only when all of the following conditions are simultaneously and independently true. Each condition is assessed server-side at the moment of each message submission. A message that fails any check is rejected at submission with a specific, plain-language explanation of why.</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4.1  Message Count</w:t>
      </w:r>
    </w:p>
    <w:p>
      <w:pPr>
        <w:spacing w:after="80" w:before="40"/>
      </w:pPr>
      <w:r>
        <w:rPr>
          <w:rFonts w:ascii="Arial" w:cs="Arial" w:eastAsia="Arial" w:hAnsi="Arial"/>
          <w:b w:val="false"/>
          <w:bCs w:val="false"/>
          <w:i w:val="false"/>
          <w:iCs w:val="false"/>
          <w:color w:val="17181a"/>
          <w:sz w:val="22"/>
          <w:szCs w:val="22"/>
        </w:rPr>
        <w:t xml:space="preserve">Each party must send a minimum of three messages that have passed all validation checks below. Messages that are rejected do not count toward the minimum. A party who has submitted ten messages of which seven were rejected has three valid messages — not ten.</w:t>
      </w:r>
    </w:p>
    <w:p>
      <w:pPr>
        <w:pStyle w:val="Heading3"/>
        <w:spacing w:after="60" w:before="220"/>
      </w:pPr>
      <w:r>
        <w:rPr>
          <w:rFonts w:ascii="Arial" w:cs="Arial" w:eastAsia="Arial" w:hAnsi="Arial"/>
          <w:b/>
          <w:bCs/>
          <w:color w:val="1b65a5"/>
          <w:sz w:val="24"/>
          <w:szCs w:val="24"/>
        </w:rPr>
        <w:t xml:space="preserve">4.2  Minimum Length — 40 Words</w:t>
      </w:r>
    </w:p>
    <w:p>
      <w:pPr>
        <w:spacing w:after="80" w:before="40"/>
      </w:pPr>
      <w:r>
        <w:rPr>
          <w:rFonts w:ascii="Arial" w:cs="Arial" w:eastAsia="Arial" w:hAnsi="Arial"/>
          <w:b w:val="false"/>
          <w:bCs w:val="false"/>
          <w:i w:val="false"/>
          <w:iCs w:val="false"/>
          <w:color w:val="17181a"/>
          <w:sz w:val="22"/>
          <w:szCs w:val="22"/>
        </w:rPr>
        <w:t xml:space="preserve">Each message must contain a minimum of 40 words as counted by the platform's tokeniser after stripping whitespace, punctuation, and formatting characters. A message of 39 words is rejected. The rejection notice specifies the word count and the shortfall. There is no grace margin. The 40-word floor exists because meaningful communication requires meaningful content.</w:t>
      </w:r>
    </w:p>
    <w:p>
      <w:pPr>
        <w:spacing w:after="80" w:before="40"/>
      </w:pPr>
      <w:r>
        <w:rPr>
          <w:rFonts w:ascii="Arial" w:cs="Arial" w:eastAsia="Arial" w:hAnsi="Arial"/>
          <w:b w:val="false"/>
          <w:bCs w:val="false"/>
          <w:i w:val="false"/>
          <w:iCs w:val="false"/>
          <w:color w:val="17181a"/>
          <w:sz w:val="22"/>
          <w:szCs w:val="22"/>
        </w:rPr>
        <w:t xml:space="preserve">The word count is displayed to the user in real time as they type, so the requirement is visible before submission and rejections are rare in good-faith use.</w:t>
      </w:r>
    </w:p>
    <w:p>
      <w:pPr>
        <w:pStyle w:val="Heading3"/>
        <w:spacing w:after="60" w:before="220"/>
      </w:pPr>
      <w:r>
        <w:rPr>
          <w:rFonts w:ascii="Arial" w:cs="Arial" w:eastAsia="Arial" w:hAnsi="Arial"/>
          <w:b/>
          <w:bCs/>
          <w:color w:val="1b65a5"/>
          <w:sz w:val="24"/>
          <w:szCs w:val="24"/>
        </w:rPr>
        <w:t xml:space="preserve">4.3  Dictionary Integrity — 85% Threshold</w:t>
      </w:r>
    </w:p>
    <w:p>
      <w:pPr>
        <w:spacing w:after="80" w:before="40"/>
      </w:pPr>
      <w:r>
        <w:rPr>
          <w:rFonts w:ascii="Arial" w:cs="Arial" w:eastAsia="Arial" w:hAnsi="Arial"/>
          <w:b w:val="false"/>
          <w:bCs w:val="false"/>
          <w:i w:val="false"/>
          <w:iCs w:val="false"/>
          <w:color w:val="17181a"/>
          <w:sz w:val="22"/>
          <w:szCs w:val="22"/>
        </w:rPr>
        <w:t xml:space="preserve">A minimum of 85% of submitted words must resolve to valid dictionary entries in English or French. The dictionary check runs server-side against a combined OED/Larousse corpus at the point of submission.</w:t>
      </w:r>
    </w:p>
    <w:p>
      <w:pPr>
        <w:spacing w:after="80" w:before="40"/>
      </w:pPr>
      <w:r>
        <w:rPr>
          <w:rFonts w:ascii="Arial" w:cs="Arial" w:eastAsia="Arial" w:hAnsi="Arial"/>
          <w:b w:val="false"/>
          <w:bCs w:val="false"/>
          <w:i w:val="false"/>
          <w:iCs w:val="false"/>
          <w:color w:val="17181a"/>
          <w:sz w:val="22"/>
          <w:szCs w:val="22"/>
        </w:rPr>
        <w:t xml:space="preserve">The following are detected and blocked at submission:</w:t>
      </w:r>
    </w:p>
    <w:p>
      <w:pPr>
        <w:pStyle w:val="ListParagraph"/>
        <w:numPr>
          <w:ilvl w:val="0"/>
          <w:numId w:val="2"/>
        </w:numPr>
        <w:spacing w:after="40" w:before="40"/>
      </w:pPr>
      <w:r>
        <w:rPr>
          <w:rFonts w:ascii="Arial" w:cs="Arial" w:eastAsia="Arial" w:hAnsi="Arial"/>
          <w:color w:val="17181a"/>
          <w:sz w:val="22"/>
          <w:szCs w:val="22"/>
        </w:rPr>
        <w:t xml:space="preserve">Random character strings (e.g. "asdfghjkl", "qwerty123").</w:t>
      </w:r>
    </w:p>
    <w:p>
      <w:pPr>
        <w:pStyle w:val="ListParagraph"/>
        <w:numPr>
          <w:ilvl w:val="0"/>
          <w:numId w:val="2"/>
        </w:numPr>
        <w:spacing w:after="40" w:before="40"/>
      </w:pPr>
      <w:r>
        <w:rPr>
          <w:rFonts w:ascii="Arial" w:cs="Arial" w:eastAsia="Arial" w:hAnsi="Arial"/>
          <w:color w:val="17181a"/>
          <w:sz w:val="22"/>
          <w:szCs w:val="22"/>
        </w:rPr>
        <w:t xml:space="preserve">Keyboard runs and sequential character repetition (e.g. "aaaaaaa", "zzzzzzz").</w:t>
      </w:r>
    </w:p>
    <w:p>
      <w:pPr>
        <w:pStyle w:val="ListParagraph"/>
        <w:numPr>
          <w:ilvl w:val="0"/>
          <w:numId w:val="2"/>
        </w:numPr>
        <w:spacing w:after="40" w:before="40"/>
      </w:pPr>
      <w:r>
        <w:rPr>
          <w:rFonts w:ascii="Arial" w:cs="Arial" w:eastAsia="Arial" w:hAnsi="Arial"/>
          <w:color w:val="17181a"/>
          <w:sz w:val="22"/>
          <w:szCs w:val="22"/>
        </w:rPr>
        <w:t xml:space="preserve">Single-character repetition sequences used to pad word count.</w:t>
      </w:r>
    </w:p>
    <w:p>
      <w:pPr>
        <w:pStyle w:val="ListParagraph"/>
        <w:numPr>
          <w:ilvl w:val="0"/>
          <w:numId w:val="2"/>
        </w:numPr>
        <w:spacing w:after="40" w:before="40"/>
      </w:pPr>
      <w:r>
        <w:rPr>
          <w:rFonts w:ascii="Arial" w:cs="Arial" w:eastAsia="Arial" w:hAnsi="Arial"/>
          <w:color w:val="17181a"/>
          <w:sz w:val="22"/>
          <w:szCs w:val="22"/>
        </w:rPr>
        <w:t xml:space="preserve">Non-word numeric sequences used to inflate count (e.g. "1 2 3 4 5 6 7 8").</w:t>
      </w:r>
    </w:p>
    <w:p>
      <w:pPr>
        <w:spacing w:after="80" w:before="40"/>
      </w:pPr>
      <w:r>
        <w:rPr>
          <w:rFonts w:ascii="Arial" w:cs="Arial" w:eastAsia="Arial" w:hAnsi="Arial"/>
          <w:b w:val="false"/>
          <w:bCs w:val="false"/>
          <w:i w:val="false"/>
          <w:iCs w:val="false"/>
          <w:color w:val="17181a"/>
          <w:sz w:val="22"/>
          <w:szCs w:val="22"/>
        </w:rPr>
        <w:t xml:space="preserve">A message that contains 30 real words and 10 random strings fails the 85% threshold and is rejected. The rejection notice explains the threshold and the approximate failure count without quoting the flagged strings back to the user.</w:t>
      </w:r>
    </w:p>
    <w:p>
      <w:pPr>
        <w:pStyle w:val="Heading3"/>
        <w:spacing w:after="60" w:before="220"/>
      </w:pPr>
      <w:r>
        <w:rPr>
          <w:rFonts w:ascii="Arial" w:cs="Arial" w:eastAsia="Arial" w:hAnsi="Arial"/>
          <w:b/>
          <w:bCs/>
          <w:color w:val="1b65a5"/>
          <w:sz w:val="24"/>
          <w:szCs w:val="24"/>
        </w:rPr>
        <w:t xml:space="preserve">4.4  Semantic Coherence Scoring</w:t>
      </w:r>
    </w:p>
    <w:p>
      <w:pPr>
        <w:spacing w:after="80" w:before="40"/>
      </w:pPr>
      <w:r>
        <w:rPr>
          <w:rFonts w:ascii="Arial" w:cs="Arial" w:eastAsia="Arial" w:hAnsi="Arial"/>
          <w:b w:val="false"/>
          <w:bCs w:val="false"/>
          <w:i w:val="false"/>
          <w:iCs w:val="false"/>
          <w:color w:val="17181a"/>
          <w:sz w:val="22"/>
          <w:szCs w:val="22"/>
        </w:rPr>
        <w:t xml:space="preserve">Each message is scored for topical relevance to the listing context. The scoring model is seeded with the listing's confirmed data: property address, move-in date, rent amount, property type, and tenancy terms. A message must demonstrate a minimum semantic coherence score of 0.60 (on a 0.0–1.0 scale) to be accepted.</w:t>
      </w:r>
    </w:p>
    <w:p>
      <w:pPr>
        <w:spacing w:after="80" w:before="40"/>
      </w:pPr>
      <w:r>
        <w:rPr>
          <w:rFonts w:ascii="Arial" w:cs="Arial" w:eastAsia="Arial" w:hAnsi="Arial"/>
          <w:b w:val="false"/>
          <w:bCs w:val="false"/>
          <w:i w:val="false"/>
          <w:iCs w:val="false"/>
          <w:color w:val="17181a"/>
          <w:sz w:val="22"/>
          <w:szCs w:val="22"/>
        </w:rPr>
        <w:t xml:space="preserve">Messages that pass the dictionary check but fail the coherence check include:</w:t>
      </w:r>
    </w:p>
    <w:p>
      <w:pPr>
        <w:pStyle w:val="ListParagraph"/>
        <w:numPr>
          <w:ilvl w:val="0"/>
          <w:numId w:val="2"/>
        </w:numPr>
        <w:spacing w:after="40" w:before="40"/>
      </w:pPr>
      <w:r>
        <w:rPr>
          <w:rFonts w:ascii="Arial" w:cs="Arial" w:eastAsia="Arial" w:hAnsi="Arial"/>
          <w:color w:val="17181a"/>
          <w:sz w:val="22"/>
          <w:szCs w:val="22"/>
        </w:rPr>
        <w:t xml:space="preserve">Copy-pasted text from unrelated sources (news articles, recipe sites, song lyrics).</w:t>
      </w:r>
    </w:p>
    <w:p>
      <w:pPr>
        <w:pStyle w:val="ListParagraph"/>
        <w:numPr>
          <w:ilvl w:val="0"/>
          <w:numId w:val="2"/>
        </w:numPr>
        <w:spacing w:after="40" w:before="40"/>
      </w:pPr>
      <w:r>
        <w:rPr>
          <w:rFonts w:ascii="Arial" w:cs="Arial" w:eastAsia="Arial" w:hAnsi="Arial"/>
          <w:color w:val="17181a"/>
          <w:sz w:val="22"/>
          <w:szCs w:val="22"/>
        </w:rPr>
        <w:t xml:space="preserve">Lorem ipsum and known placeholder text variants.</w:t>
      </w:r>
    </w:p>
    <w:p>
      <w:pPr>
        <w:pStyle w:val="ListParagraph"/>
        <w:numPr>
          <w:ilvl w:val="0"/>
          <w:numId w:val="2"/>
        </w:numPr>
        <w:spacing w:after="40" w:before="40"/>
      </w:pPr>
      <w:r>
        <w:rPr>
          <w:rFonts w:ascii="Arial" w:cs="Arial" w:eastAsia="Arial" w:hAnsi="Arial"/>
          <w:color w:val="17181a"/>
          <w:sz w:val="22"/>
          <w:szCs w:val="22"/>
        </w:rPr>
        <w:t xml:space="preserve">Off-topic monologues with no reference to rental, the property, or the tenancy.</w:t>
      </w:r>
    </w:p>
    <w:p>
      <w:pPr>
        <w:pStyle w:val="ListParagraph"/>
        <w:numPr>
          <w:ilvl w:val="0"/>
          <w:numId w:val="2"/>
        </w:numPr>
        <w:spacing w:after="40" w:before="40"/>
      </w:pPr>
      <w:r>
        <w:rPr>
          <w:rFonts w:ascii="Arial" w:cs="Arial" w:eastAsia="Arial" w:hAnsi="Arial"/>
          <w:color w:val="17181a"/>
          <w:sz w:val="22"/>
          <w:szCs w:val="22"/>
        </w:rPr>
        <w:t xml:space="preserve">Automated filler sequences generated to satisfy length requirements while avoiding substance.</w:t>
      </w:r>
    </w:p>
    <w:p>
      <w:pPr>
        <w:spacing w:after="80" w:before="40"/>
      </w:pPr>
      <w:r>
        <w:rPr>
          <w:rFonts w:ascii="Arial" w:cs="Arial" w:eastAsia="Arial" w:hAnsi="Arial"/>
          <w:b w:val="false"/>
          <w:bCs w:val="false"/>
          <w:i w:val="false"/>
          <w:iCs w:val="false"/>
          <w:color w:val="17181a"/>
          <w:sz w:val="22"/>
          <w:szCs w:val="22"/>
        </w:rPr>
        <w:t xml:space="preserve">The coherence check is not a grammar check. Informal language, spelling errors, and casual phrasing are not penalised. The check assesses whether the message is about renting the property in question.</w:t>
      </w:r>
    </w:p>
    <w:p>
      <w:pPr>
        <w:pStyle w:val="Heading3"/>
        <w:spacing w:after="60" w:before="220"/>
      </w:pPr>
      <w:r>
        <w:rPr>
          <w:rFonts w:ascii="Arial" w:cs="Arial" w:eastAsia="Arial" w:hAnsi="Arial"/>
          <w:b/>
          <w:bCs/>
          <w:color w:val="1b65a5"/>
          <w:sz w:val="24"/>
          <w:szCs w:val="24"/>
        </w:rPr>
        <w:t xml:space="preserve">4.5  Uniqueness Enforcement — 60% Similarity Cap</w:t>
      </w:r>
    </w:p>
    <w:p>
      <w:pPr>
        <w:spacing w:after="80" w:before="40"/>
      </w:pPr>
      <w:r>
        <w:rPr>
          <w:rFonts w:ascii="Arial" w:cs="Arial" w:eastAsia="Arial" w:hAnsi="Arial"/>
          <w:b w:val="false"/>
          <w:bCs w:val="false"/>
          <w:i w:val="false"/>
          <w:iCs w:val="false"/>
          <w:color w:val="17181a"/>
          <w:sz w:val="22"/>
          <w:szCs w:val="22"/>
        </w:rPr>
        <w:t xml:space="preserve">No party may submit a message with greater than 60% similarity (measured by cosine similarity on tokenised content) to any of their own previous messages in the same VMC thread. Copy-pasting the same message repeatedly to reach the three-message minimum is detected and blocked.</w:t>
      </w:r>
    </w:p>
    <w:p>
      <w:pPr>
        <w:spacing w:after="80" w:before="40"/>
      </w:pPr>
      <w:r>
        <w:rPr>
          <w:rFonts w:ascii="Arial" w:cs="Arial" w:eastAsia="Arial" w:hAnsi="Arial"/>
          <w:b w:val="false"/>
          <w:bCs w:val="false"/>
          <w:i w:val="false"/>
          <w:iCs w:val="false"/>
          <w:color w:val="17181a"/>
          <w:sz w:val="22"/>
          <w:szCs w:val="22"/>
        </w:rPr>
        <w:t xml:space="preserve">This applies to:</w:t>
      </w:r>
    </w:p>
    <w:p>
      <w:pPr>
        <w:pStyle w:val="ListParagraph"/>
        <w:numPr>
          <w:ilvl w:val="0"/>
          <w:numId w:val="2"/>
        </w:numPr>
        <w:spacing w:after="40" w:before="40"/>
      </w:pPr>
      <w:r>
        <w:rPr>
          <w:rFonts w:ascii="Arial" w:cs="Arial" w:eastAsia="Arial" w:hAnsi="Arial"/>
          <w:color w:val="17181a"/>
          <w:sz w:val="22"/>
          <w:szCs w:val="22"/>
        </w:rPr>
        <w:t xml:space="preserve">Identical messages submitted more than once.</w:t>
      </w:r>
    </w:p>
    <w:p>
      <w:pPr>
        <w:pStyle w:val="ListParagraph"/>
        <w:numPr>
          <w:ilvl w:val="0"/>
          <w:numId w:val="2"/>
        </w:numPr>
        <w:spacing w:after="40" w:before="40"/>
      </w:pPr>
      <w:r>
        <w:rPr>
          <w:rFonts w:ascii="Arial" w:cs="Arial" w:eastAsia="Arial" w:hAnsi="Arial"/>
          <w:color w:val="17181a"/>
          <w:sz w:val="22"/>
          <w:szCs w:val="22"/>
        </w:rPr>
        <w:t xml:space="preserve">Messages that rephrase a previous message with minor word substitutions.</w:t>
      </w:r>
    </w:p>
    <w:p>
      <w:pPr>
        <w:pStyle w:val="ListParagraph"/>
        <w:numPr>
          <w:ilvl w:val="0"/>
          <w:numId w:val="2"/>
        </w:numPr>
        <w:spacing w:after="40" w:before="40"/>
      </w:pPr>
      <w:r>
        <w:rPr>
          <w:rFonts w:ascii="Arial" w:cs="Arial" w:eastAsia="Arial" w:hAnsi="Arial"/>
          <w:color w:val="17181a"/>
          <w:sz w:val="22"/>
          <w:szCs w:val="22"/>
        </w:rPr>
        <w:t xml:space="preserve">Templated messages that change only a proper noun or number between submissions.</w:t>
      </w:r>
    </w:p>
    <w:p>
      <w:pPr>
        <w:pStyle w:val="Heading3"/>
        <w:spacing w:after="60" w:before="220"/>
      </w:pPr>
      <w:r>
        <w:rPr>
          <w:rFonts w:ascii="Arial" w:cs="Arial" w:eastAsia="Arial" w:hAnsi="Arial"/>
          <w:b/>
          <w:bCs/>
          <w:color w:val="1b65a5"/>
          <w:sz w:val="24"/>
          <w:szCs w:val="24"/>
        </w:rPr>
        <w:t xml:space="preserve">4.6  No Template Bypass</w:t>
      </w:r>
    </w:p>
    <w:p>
      <w:pPr>
        <w:spacing w:after="80" w:before="40"/>
      </w:pPr>
      <w:r>
        <w:rPr>
          <w:rFonts w:ascii="Arial" w:cs="Arial" w:eastAsia="Arial" w:hAnsi="Arial"/>
          <w:b w:val="false"/>
          <w:bCs w:val="false"/>
          <w:i w:val="false"/>
          <w:iCs w:val="false"/>
          <w:color w:val="17181a"/>
          <w:sz w:val="22"/>
          <w:szCs w:val="22"/>
        </w:rPr>
        <w:t xml:space="preserve">The system maintains a continuously updated fingerprint library of known filler phrases and template patterns. A message composed entirely or predominantly of phrases from this library does not count toward the completion threshold, regardless of length or dictionary integrity score.</w:t>
      </w:r>
    </w:p>
    <w:p>
      <w:pPr>
        <w:spacing w:after="80" w:before="40"/>
      </w:pPr>
      <w:r>
        <w:rPr>
          <w:rFonts w:ascii="Arial" w:cs="Arial" w:eastAsia="Arial" w:hAnsi="Arial"/>
          <w:b w:val="false"/>
          <w:bCs w:val="false"/>
          <w:i w:val="false"/>
          <w:iCs w:val="false"/>
          <w:color w:val="17181a"/>
          <w:sz w:val="22"/>
          <w:szCs w:val="22"/>
        </w:rPr>
        <w:t xml:space="preserve">Examples of known filler patterns that do not qualify:</w:t>
      </w:r>
    </w:p>
    <w:p>
      <w:pPr>
        <w:pStyle w:val="ListParagraph"/>
        <w:numPr>
          <w:ilvl w:val="0"/>
          <w:numId w:val="2"/>
        </w:numPr>
        <w:spacing w:after="40" w:before="40"/>
      </w:pPr>
      <w:r>
        <w:rPr>
          <w:rFonts w:ascii="Arial" w:cs="Arial" w:eastAsia="Arial" w:hAnsi="Arial"/>
          <w:color w:val="17181a"/>
          <w:sz w:val="22"/>
          <w:szCs w:val="22"/>
        </w:rPr>
        <w:t xml:space="preserve">"Sounds good, looking forward to it."</w:t>
      </w:r>
    </w:p>
    <w:p>
      <w:pPr>
        <w:pStyle w:val="ListParagraph"/>
        <w:numPr>
          <w:ilvl w:val="0"/>
          <w:numId w:val="2"/>
        </w:numPr>
        <w:spacing w:after="40" w:before="40"/>
      </w:pPr>
      <w:r>
        <w:rPr>
          <w:rFonts w:ascii="Arial" w:cs="Arial" w:eastAsia="Arial" w:hAnsi="Arial"/>
          <w:color w:val="17181a"/>
          <w:sz w:val="22"/>
          <w:szCs w:val="22"/>
        </w:rPr>
        <w:t xml:space="preserve">"As discussed, please confirm."</w:t>
      </w:r>
    </w:p>
    <w:p>
      <w:pPr>
        <w:pStyle w:val="ListParagraph"/>
        <w:numPr>
          <w:ilvl w:val="0"/>
          <w:numId w:val="2"/>
        </w:numPr>
        <w:spacing w:after="40" w:before="40"/>
      </w:pPr>
      <w:r>
        <w:rPr>
          <w:rFonts w:ascii="Arial" w:cs="Arial" w:eastAsia="Arial" w:hAnsi="Arial"/>
          <w:color w:val="17181a"/>
          <w:sz w:val="22"/>
          <w:szCs w:val="22"/>
        </w:rPr>
        <w:t xml:space="preserve">"Thank you for your message."</w:t>
      </w:r>
    </w:p>
    <w:p>
      <w:pPr>
        <w:pStyle w:val="ListParagraph"/>
        <w:numPr>
          <w:ilvl w:val="0"/>
          <w:numId w:val="2"/>
        </w:numPr>
        <w:spacing w:after="40" w:before="40"/>
      </w:pPr>
      <w:r>
        <w:rPr>
          <w:rFonts w:ascii="Arial" w:cs="Arial" w:eastAsia="Arial" w:hAnsi="Arial"/>
          <w:color w:val="17181a"/>
          <w:sz w:val="22"/>
          <w:szCs w:val="22"/>
        </w:rPr>
        <w:t xml:space="preserve">Any message that is a standalone affirmative or standalone pleasantry with no substantive content.</w:t>
      </w:r>
    </w:p>
    <w:p>
      <w:pPr>
        <w:spacing w:after="80" w:before="40"/>
      </w:pPr>
      <w:r>
        <w:rPr>
          <w:rFonts w:ascii="Arial" w:cs="Arial" w:eastAsia="Arial" w:hAnsi="Arial"/>
          <w:b w:val="false"/>
          <w:bCs w:val="false"/>
          <w:i w:val="false"/>
          <w:iCs w:val="false"/>
          <w:color w:val="17181a"/>
          <w:sz w:val="22"/>
          <w:szCs w:val="22"/>
        </w:rPr>
        <w:t xml:space="preserve">A message may contain these phrases as part of a longer, substantive message and still qualify. The rejection applies only to messages that are composed predominantly or entirely of template content.</w:t>
      </w:r>
    </w:p>
    <w:p>
      <w:pPr>
        <w:pStyle w:val="Heading3"/>
        <w:spacing w:after="60" w:before="220"/>
      </w:pPr>
      <w:r>
        <w:rPr>
          <w:rFonts w:ascii="Arial" w:cs="Arial" w:eastAsia="Arial" w:hAnsi="Arial"/>
          <w:b/>
          <w:bCs/>
          <w:color w:val="1b65a5"/>
          <w:sz w:val="24"/>
          <w:szCs w:val="24"/>
        </w:rPr>
        <w:t xml:space="preserve">4.7  Response Pairing</w:t>
      </w:r>
    </w:p>
    <w:p>
      <w:pPr>
        <w:spacing w:after="80" w:before="40"/>
      </w:pPr>
      <w:r>
        <w:rPr>
          <w:rFonts w:ascii="Arial" w:cs="Arial" w:eastAsia="Arial" w:hAnsi="Arial"/>
          <w:b w:val="false"/>
          <w:bCs w:val="false"/>
          <w:i w:val="false"/>
          <w:iCs w:val="false"/>
          <w:color w:val="17181a"/>
          <w:sz w:val="22"/>
          <w:szCs w:val="22"/>
        </w:rPr>
        <w:t xml:space="preserve">At least one message from each party must be demonstrably responsive — submitted after having received and (by inference of timestamp) read the other party's message. The platform infers readability by requiring a minimum 90-second gap between the other party's message timestamp and the submission of the responsive message.</w:t>
      </w:r>
    </w:p>
    <w:p>
      <w:pPr>
        <w:spacing w:after="80" w:before="40"/>
      </w:pPr>
      <w:r>
        <w:rPr>
          <w:rFonts w:ascii="Arial" w:cs="Arial" w:eastAsia="Arial" w:hAnsi="Arial"/>
          <w:b w:val="false"/>
          <w:bCs w:val="false"/>
          <w:i w:val="false"/>
          <w:iCs w:val="false"/>
          <w:color w:val="17181a"/>
          <w:sz w:val="22"/>
          <w:szCs w:val="22"/>
        </w:rPr>
        <w:t xml:space="preserve">This prevents one party from pre-loading three messages before the other party has engaged, which would technically satisfy the count but would not constitute a conversation.</w:t>
      </w:r>
    </w:p>
    <w:p>
      <w:pPr>
        <w:pStyle w:val="Heading2"/>
        <w:pBdr>
          <w:bottom w:val="single" w:color="ddd7cc" w:sz="2" w:space="4"/>
        </w:pBdr>
        <w:spacing w:after="80" w:before="320"/>
      </w:pPr>
      <w:r>
        <w:rPr>
          <w:rFonts w:ascii="Arial" w:cs="Arial" w:eastAsia="Arial" w:hAnsi="Arial"/>
          <w:b/>
          <w:bCs/>
          <w:color w:val="17181a"/>
          <w:sz w:val="28"/>
          <w:szCs w:val="28"/>
        </w:rPr>
        <w:t xml:space="preserve">5.  Landlord Response Window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24 hours. Flat. No exceptions. No business-day carve-outs. No time-zone adjustments. No platform tier exemptions. No appeals against the window itself.</w:t>
            </w:r>
          </w:p>
        </w:tc>
      </w:tr>
    </w:tbl>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24-hour clock starts from the moment the tenant sends their first VMC message that passes all validation checks in Section 4. The clock does not start from match confirmation. It starts from the first valid tenant message.</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5.1  Notification Sequence</w:t>
      </w:r>
    </w:p>
    <w:p>
      <w:pPr>
        <w:pStyle w:val="ListParagraph"/>
        <w:numPr>
          <w:ilvl w:val="0"/>
          <w:numId w:val="2"/>
        </w:numPr>
        <w:spacing w:after="40" w:before="40"/>
      </w:pPr>
      <w:r>
        <w:rPr>
          <w:rFonts w:ascii="Arial" w:cs="Arial" w:eastAsia="Arial" w:hAnsi="Arial"/>
          <w:color w:val="17181a"/>
          <w:sz w:val="22"/>
          <w:szCs w:val="22"/>
        </w:rPr>
        <w:t xml:space="preserve">At 12 hours elapsed: the landlord receives an automated push notification and email notification. The notification states the exact time remaining and links directly to the VMC thread.</w:t>
      </w:r>
    </w:p>
    <w:p>
      <w:pPr>
        <w:pStyle w:val="ListParagraph"/>
        <w:numPr>
          <w:ilvl w:val="0"/>
          <w:numId w:val="2"/>
        </w:numPr>
        <w:spacing w:after="40" w:before="40"/>
      </w:pPr>
      <w:r>
        <w:rPr>
          <w:rFonts w:ascii="Arial" w:cs="Arial" w:eastAsia="Arial" w:hAnsi="Arial"/>
          <w:color w:val="17181a"/>
          <w:sz w:val="22"/>
          <w:szCs w:val="22"/>
        </w:rPr>
        <w:t xml:space="preserve">At 20 hours elapsed: the landlord receives a final warning push notification and email notification. The notification states that the match will be cancelled in 4 hours if no valid response is submitted.</w:t>
      </w:r>
    </w:p>
    <w:p>
      <w:pPr>
        <w:pStyle w:val="ListParagraph"/>
        <w:numPr>
          <w:ilvl w:val="0"/>
          <w:numId w:val="2"/>
        </w:numPr>
        <w:spacing w:after="40" w:before="40"/>
      </w:pPr>
      <w:r>
        <w:rPr>
          <w:rFonts w:ascii="Arial" w:cs="Arial" w:eastAsia="Arial" w:hAnsi="Arial"/>
          <w:color w:val="17181a"/>
          <w:sz w:val="22"/>
          <w:szCs w:val="22"/>
        </w:rPr>
        <w:t xml:space="preserve">At 24 hours elapsed: the match is automatically cancelled by the system. No manual intervention is required or permitted.</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5.2  Consequences of Non-Response</w:t>
      </w:r>
    </w:p>
    <w:p>
      <w:pPr>
        <w:pStyle w:val="ListParagraph"/>
        <w:numPr>
          <w:ilvl w:val="0"/>
          <w:numId w:val="2"/>
        </w:numPr>
        <w:spacing w:after="40" w:before="40"/>
      </w:pPr>
      <w:r>
        <w:rPr>
          <w:rFonts w:ascii="Arial" w:cs="Arial" w:eastAsia="Arial" w:hAnsi="Arial"/>
          <w:color w:val="17181a"/>
          <w:sz w:val="22"/>
          <w:szCs w:val="22"/>
        </w:rPr>
        <w:t xml:space="preserve">The match is cancelled and removed from both parties' active match lists.</w:t>
      </w:r>
    </w:p>
    <w:p>
      <w:pPr>
        <w:pStyle w:val="ListParagraph"/>
        <w:numPr>
          <w:ilvl w:val="0"/>
          <w:numId w:val="2"/>
        </w:numPr>
        <w:spacing w:after="40" w:before="40"/>
      </w:pPr>
      <w:r>
        <w:rPr>
          <w:rFonts w:ascii="Arial" w:cs="Arial" w:eastAsia="Arial" w:hAnsi="Arial"/>
          <w:color w:val="17181a"/>
          <w:sz w:val="22"/>
          <w:szCs w:val="22"/>
        </w:rPr>
        <w:t xml:space="preserve">The landlord's account receives a non-response flag. Three non-response flags within a 12-month period result in automatic account suspension pending review.</w:t>
      </w:r>
    </w:p>
    <w:p>
      <w:pPr>
        <w:pStyle w:val="ListParagraph"/>
        <w:numPr>
          <w:ilvl w:val="0"/>
          <w:numId w:val="2"/>
        </w:numPr>
        <w:spacing w:after="40" w:before="40"/>
      </w:pPr>
      <w:r>
        <w:rPr>
          <w:rFonts w:ascii="Arial" w:cs="Arial" w:eastAsia="Arial" w:hAnsi="Arial"/>
          <w:color w:val="17181a"/>
          <w:sz w:val="22"/>
          <w:szCs w:val="22"/>
        </w:rPr>
        <w:t xml:space="preserve">The tenant is notified of the cancellation with an explanation that the landlord did not respond within the required window.</w:t>
      </w:r>
    </w:p>
    <w:p>
      <w:pPr>
        <w:pStyle w:val="ListParagraph"/>
        <w:numPr>
          <w:ilvl w:val="0"/>
          <w:numId w:val="2"/>
        </w:numPr>
        <w:spacing w:after="40" w:before="40"/>
      </w:pPr>
      <w:r>
        <w:rPr>
          <w:rFonts w:ascii="Arial" w:cs="Arial" w:eastAsia="Arial" w:hAnsi="Arial"/>
          <w:color w:val="17181a"/>
          <w:sz w:val="22"/>
          <w:szCs w:val="22"/>
        </w:rPr>
        <w:t xml:space="preserve">The tenant is returned to the active match pool with priority weighting — meaning they are surfaced higher in subsequent matching cycles for comparable listings.</w:t>
      </w:r>
    </w:p>
    <w:p>
      <w:pPr>
        <w:pStyle w:val="ListParagraph"/>
        <w:numPr>
          <w:ilvl w:val="0"/>
          <w:numId w:val="2"/>
        </w:numPr>
        <w:spacing w:after="40" w:before="40"/>
      </w:pPr>
      <w:r>
        <w:rPr>
          <w:rFonts w:ascii="Arial" w:cs="Arial" w:eastAsia="Arial" w:hAnsi="Arial"/>
          <w:color w:val="17181a"/>
          <w:sz w:val="22"/>
          <w:szCs w:val="22"/>
        </w:rPr>
        <w:t xml:space="preserve">The listing remains active but the landlord's non-response record is visible to the FlatFinder Human Review team.</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A landlord who has accepted a match has already signalled availability and intent. A tenant in an active housing search cannot be held in limbo. The 24-hour rule is not a courtesy request. It is a platform commitment to the tenant.</w:t>
      </w:r>
    </w:p>
    <w:p>
      <w:pPr>
        <w:pStyle w:val="Heading2"/>
        <w:pBdr>
          <w:bottom w:val="single" w:color="ddd7cc" w:sz="2" w:space="4"/>
        </w:pBdr>
        <w:spacing w:after="80" w:before="320"/>
      </w:pPr>
      <w:r>
        <w:rPr>
          <w:rFonts w:ascii="Arial" w:cs="Arial" w:eastAsia="Arial" w:hAnsi="Arial"/>
          <w:b/>
          <w:bCs/>
          <w:color w:val="17181a"/>
          <w:sz w:val="28"/>
          <w:szCs w:val="28"/>
        </w:rPr>
        <w:t xml:space="preserve">6.  Evidence Trail &amp; Data Retention</w:t>
      </w:r>
    </w:p>
    <w:p>
      <w:pPr>
        <w:spacing w:after="80" w:before="40"/>
      </w:pPr>
      <w:r>
        <w:rPr>
          <w:rFonts w:ascii="Arial" w:cs="Arial" w:eastAsia="Arial" w:hAnsi="Arial"/>
          <w:b w:val="false"/>
          <w:bCs w:val="false"/>
          <w:i w:val="false"/>
          <w:iCs w:val="false"/>
          <w:color w:val="17181a"/>
          <w:sz w:val="22"/>
          <w:szCs w:val="22"/>
        </w:rPr>
        <w:t xml:space="preserve">All VMC activity is logged server-side with the following data points for each event:</w:t>
      </w:r>
    </w:p>
    <w:p>
      <w:pPr>
        <w:pStyle w:val="ListParagraph"/>
        <w:numPr>
          <w:ilvl w:val="0"/>
          <w:numId w:val="2"/>
        </w:numPr>
        <w:spacing w:after="40" w:before="40"/>
      </w:pPr>
      <w:r>
        <w:rPr>
          <w:rFonts w:ascii="Arial" w:cs="Arial" w:eastAsia="Arial" w:hAnsi="Arial"/>
          <w:color w:val="17181a"/>
          <w:sz w:val="22"/>
          <w:szCs w:val="22"/>
        </w:rPr>
        <w:t xml:space="preserve">Timestamp (UTC, to the second).</w:t>
      </w:r>
    </w:p>
    <w:p>
      <w:pPr>
        <w:pStyle w:val="ListParagraph"/>
        <w:numPr>
          <w:ilvl w:val="0"/>
          <w:numId w:val="2"/>
        </w:numPr>
        <w:spacing w:after="40" w:before="40"/>
      </w:pPr>
      <w:r>
        <w:rPr>
          <w:rFonts w:ascii="Arial" w:cs="Arial" w:eastAsia="Arial" w:hAnsi="Arial"/>
          <w:color w:val="17181a"/>
          <w:sz w:val="22"/>
          <w:szCs w:val="22"/>
        </w:rPr>
        <w:t xml:space="preserve">Party identifier (landlord or tenant, by internal user ID — not by name or contact detail in the log).</w:t>
      </w:r>
    </w:p>
    <w:p>
      <w:pPr>
        <w:pStyle w:val="ListParagraph"/>
        <w:numPr>
          <w:ilvl w:val="0"/>
          <w:numId w:val="2"/>
        </w:numPr>
        <w:spacing w:after="40" w:before="40"/>
      </w:pPr>
      <w:r>
        <w:rPr>
          <w:rFonts w:ascii="Arial" w:cs="Arial" w:eastAsia="Arial" w:hAnsi="Arial"/>
          <w:color w:val="17181a"/>
          <w:sz w:val="22"/>
          <w:szCs w:val="22"/>
        </w:rPr>
        <w:t xml:space="preserve">Message content (encrypted at rest, accessible only to Human Review team and legal process).</w:t>
      </w:r>
    </w:p>
    <w:p>
      <w:pPr>
        <w:pStyle w:val="ListParagraph"/>
        <w:numPr>
          <w:ilvl w:val="0"/>
          <w:numId w:val="2"/>
        </w:numPr>
        <w:spacing w:after="40" w:before="40"/>
      </w:pPr>
      <w:r>
        <w:rPr>
          <w:rFonts w:ascii="Arial" w:cs="Arial" w:eastAsia="Arial" w:hAnsi="Arial"/>
          <w:color w:val="17181a"/>
          <w:sz w:val="22"/>
          <w:szCs w:val="22"/>
        </w:rPr>
        <w:t xml:space="preserve">Validation result for each message: pass or fail, and which specific check failed.</w:t>
      </w:r>
    </w:p>
    <w:p>
      <w:pPr>
        <w:pStyle w:val="ListParagraph"/>
        <w:numPr>
          <w:ilvl w:val="0"/>
          <w:numId w:val="2"/>
        </w:numPr>
        <w:spacing w:after="40" w:before="40"/>
      </w:pPr>
      <w:r>
        <w:rPr>
          <w:rFonts w:ascii="Arial" w:cs="Arial" w:eastAsia="Arial" w:hAnsi="Arial"/>
          <w:color w:val="17181a"/>
          <w:sz w:val="22"/>
          <w:szCs w:val="22"/>
        </w:rPr>
        <w:t xml:space="preserve">Notification delivery confirmations for the 12-hour and 20-hour alerts.</w:t>
      </w:r>
    </w:p>
    <w:p>
      <w:pPr>
        <w:pStyle w:val="ListParagraph"/>
        <w:numPr>
          <w:ilvl w:val="0"/>
          <w:numId w:val="2"/>
        </w:numPr>
        <w:spacing w:after="40" w:before="40"/>
      </w:pPr>
      <w:r>
        <w:rPr>
          <w:rFonts w:ascii="Arial" w:cs="Arial" w:eastAsia="Arial" w:hAnsi="Arial"/>
          <w:color w:val="17181a"/>
          <w:sz w:val="22"/>
          <w:szCs w:val="22"/>
        </w:rPr>
        <w:t xml:space="preserve">Final gate outcome: complete, cancelled (non-response), cancelled (mutual withdrawal), or cancelled (platform action).</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VMC logs are retained for a minimum of 24 months from the date of the gate outcome. Logs for VMC threads that resulted in a tenancy agreement are retained for the duration of the tenancy plus 24 months. Logs for VMC threads that preceded a Human Review investigation are retained until the investigation is formally closed, plus 36 months.</w:t>
      </w:r>
    </w:p>
    <w:p>
      <w:pPr>
        <w:pStyle w:val="Heading2"/>
        <w:pBdr>
          <w:bottom w:val="single" w:color="ddd7cc" w:sz="2" w:space="4"/>
        </w:pBdr>
        <w:spacing w:after="80" w:before="320"/>
      </w:pPr>
      <w:r>
        <w:rPr>
          <w:rFonts w:ascii="Arial" w:cs="Arial" w:eastAsia="Arial" w:hAnsi="Arial"/>
          <w:b/>
          <w:bCs/>
          <w:color w:val="17181a"/>
          <w:sz w:val="28"/>
          <w:szCs w:val="28"/>
        </w:rPr>
        <w:t xml:space="preserve">7.  Mutual Withdrawal</w:t>
      </w:r>
    </w:p>
    <w:p>
      <w:pPr>
        <w:spacing w:after="80" w:before="40"/>
      </w:pPr>
      <w:r>
        <w:rPr>
          <w:rFonts w:ascii="Arial" w:cs="Arial" w:eastAsia="Arial" w:hAnsi="Arial"/>
          <w:b w:val="false"/>
          <w:bCs w:val="false"/>
          <w:i w:val="false"/>
          <w:iCs w:val="false"/>
          <w:color w:val="17181a"/>
          <w:sz w:val="22"/>
          <w:szCs w:val="22"/>
        </w:rPr>
        <w:t xml:space="preserve">Either party may withdraw from a VMC thread before completion. Withdrawal does not count as a non-response against the withdrawing party, provided the withdrawal is submitted through the platform's withdrawal function rather than by simply not responding.</w:t>
      </w:r>
    </w:p>
    <w:p>
      <w:pPr>
        <w:spacing w:after="80" w:before="40"/>
      </w:pPr>
      <w:r>
        <w:rPr>
          <w:rFonts w:ascii="Arial" w:cs="Arial" w:eastAsia="Arial" w:hAnsi="Arial"/>
          <w:b w:val="false"/>
          <w:bCs w:val="false"/>
          <w:i w:val="false"/>
          <w:iCs w:val="false"/>
          <w:color w:val="17181a"/>
          <w:sz w:val="22"/>
          <w:szCs w:val="22"/>
        </w:rPr>
        <w:t xml:space="preserve">Upon withdrawal:</w:t>
      </w:r>
    </w:p>
    <w:p>
      <w:pPr>
        <w:pStyle w:val="ListParagraph"/>
        <w:numPr>
          <w:ilvl w:val="0"/>
          <w:numId w:val="2"/>
        </w:numPr>
        <w:spacing w:after="40" w:before="40"/>
      </w:pPr>
      <w:r>
        <w:rPr>
          <w:rFonts w:ascii="Arial" w:cs="Arial" w:eastAsia="Arial" w:hAnsi="Arial"/>
          <w:color w:val="17181a"/>
          <w:sz w:val="22"/>
          <w:szCs w:val="22"/>
        </w:rPr>
        <w:t xml:space="preserve">The match is cancelled.</w:t>
      </w:r>
    </w:p>
    <w:p>
      <w:pPr>
        <w:pStyle w:val="ListParagraph"/>
        <w:numPr>
          <w:ilvl w:val="0"/>
          <w:numId w:val="2"/>
        </w:numPr>
        <w:spacing w:after="40" w:before="40"/>
      </w:pPr>
      <w:r>
        <w:rPr>
          <w:rFonts w:ascii="Arial" w:cs="Arial" w:eastAsia="Arial" w:hAnsi="Arial"/>
          <w:color w:val="17181a"/>
          <w:sz w:val="22"/>
          <w:szCs w:val="22"/>
        </w:rPr>
        <w:t xml:space="preserve">Both parties are notified.</w:t>
      </w:r>
    </w:p>
    <w:p>
      <w:pPr>
        <w:pStyle w:val="ListParagraph"/>
        <w:numPr>
          <w:ilvl w:val="0"/>
          <w:numId w:val="2"/>
        </w:numPr>
        <w:spacing w:after="40" w:before="40"/>
      </w:pPr>
      <w:r>
        <w:rPr>
          <w:rFonts w:ascii="Arial" w:cs="Arial" w:eastAsia="Arial" w:hAnsi="Arial"/>
          <w:color w:val="17181a"/>
          <w:sz w:val="22"/>
          <w:szCs w:val="22"/>
        </w:rPr>
        <w:t xml:space="preserve">The withdrawing party is prompted (but not required) to state a reason. Reasons are stored internally and used to improve matching logic over time.</w:t>
      </w:r>
    </w:p>
    <w:p>
      <w:pPr>
        <w:pStyle w:val="ListParagraph"/>
        <w:numPr>
          <w:ilvl w:val="0"/>
          <w:numId w:val="2"/>
        </w:numPr>
        <w:spacing w:after="40" w:before="40"/>
      </w:pPr>
      <w:r>
        <w:rPr>
          <w:rFonts w:ascii="Arial" w:cs="Arial" w:eastAsia="Arial" w:hAnsi="Arial"/>
          <w:color w:val="17181a"/>
          <w:sz w:val="22"/>
          <w:szCs w:val="22"/>
        </w:rPr>
        <w:t xml:space="preserve">The tenant is returned to the active match pool. The listing is returned to the active listing pool.</w:t>
      </w:r>
    </w:p>
    <w:p>
      <w:pPr>
        <w:pStyle w:val="ListParagraph"/>
        <w:numPr>
          <w:ilvl w:val="0"/>
          <w:numId w:val="2"/>
        </w:numPr>
        <w:spacing w:after="40" w:before="40"/>
      </w:pPr>
      <w:r>
        <w:rPr>
          <w:rFonts w:ascii="Arial" w:cs="Arial" w:eastAsia="Arial" w:hAnsi="Arial"/>
          <w:color w:val="17181a"/>
          <w:sz w:val="22"/>
          <w:szCs w:val="22"/>
        </w:rPr>
        <w:t xml:space="preserve">No financial penalty applies to either party for a mutual withdrawal.</w:t>
      </w:r>
    </w:p>
    <w:p>
      <w:pPr>
        <w:spacing w:after="100" w:before="0"/>
      </w:pPr>
      <w:r>
        <w:t xml:space="preserve"/>
      </w:r>
    </w:p>
    <w:p>
      <w:pPr>
        <w:spacing w:after="60" w:before="60"/>
      </w:pPr>
      <w:r>
        <w:rPr>
          <w:rFonts w:ascii="Arial" w:cs="Arial" w:eastAsia="Arial" w:hAnsi="Arial"/>
          <w:i/>
          <w:iCs/>
          <w:color w:val="7a7670"/>
          <w:sz w:val="16"/>
          <w:szCs w:val="16"/>
        </w:rPr>
        <w:t xml:space="preserve">© 2024–2026 Lila Inglis Abegunrin · FlatFinder Inc. · Trademarks and Patents Pending (CIPO) · Proprietary and Confidential</w:t>
      </w:r>
    </w:p>
    <w:p>
      <w:r>
        <w:br w:type="page"/>
      </w:r>
    </w:p>
    <w:p>
      <w:pPr>
        <w:spacing w:after="60" w:before="360"/>
      </w:pPr>
      <w:r>
        <w:rPr>
          <w:rFonts w:ascii="Arial" w:cs="Arial" w:eastAsia="Arial" w:hAnsi="Arial"/>
          <w:b/>
          <w:bCs/>
          <w:caps/>
          <w:color w:val="1b65a5"/>
          <w:spacing w:val="50"/>
          <w:sz w:val="18"/>
          <w:szCs w:val="18"/>
        </w:rPr>
        <w:t xml:space="preserve">FF-CORE-008  ·  Platform Integrity  ·  Version 1.0</w:t>
      </w:r>
    </w:p>
    <w:p>
      <w:pPr>
        <w:pBdr>
          <w:bottom w:val="single" w:color="17181a" w:sz="12" w:space="6"/>
        </w:pBdr>
        <w:spacing w:after="40" w:before="0"/>
      </w:pPr>
      <w:r>
        <w:rPr>
          <w:rFonts w:ascii="Arial" w:cs="Arial" w:eastAsia="Arial" w:hAnsi="Arial"/>
          <w:b/>
          <w:bCs/>
          <w:caps/>
          <w:color w:val="7a7670"/>
          <w:spacing w:val="40"/>
          <w:sz w:val="20"/>
          <w:szCs w:val="20"/>
        </w:rPr>
        <w:t xml:space="preserve">FF-CORE-008</w:t>
      </w:r>
      <w:r>
        <w:rPr>
          <w:rFonts w:ascii="Arial" w:cs="Arial" w:eastAsia="Arial" w:hAnsi="Arial"/>
          <w:color w:val="ddd7cc"/>
          <w:sz w:val="20"/>
          <w:szCs w:val="20"/>
        </w:rPr>
        <w:t xml:space="preserve">  —  </w:t>
      </w:r>
      <w:r>
        <w:rPr>
          <w:rFonts w:ascii="Arial" w:cs="Arial" w:eastAsia="Arial" w:hAnsi="Arial"/>
          <w:color w:val="7a7670"/>
          <w:sz w:val="20"/>
          <w:szCs w:val="20"/>
        </w:rPr>
        <w:t xml:space="preserve">Human Review Framework</w:t>
      </w:r>
    </w:p>
    <w:p>
      <w:pPr>
        <w:spacing w:after="160" w:before="0"/>
      </w:pPr>
      <w:r>
        <w:rPr>
          <w:rFonts w:ascii="Arial" w:cs="Arial" w:eastAsia="Arial" w:hAnsi="Arial"/>
          <w:b/>
          <w:bCs/>
          <w:color w:val="17181a"/>
          <w:sz w:val="56"/>
          <w:szCs w:val="56"/>
        </w:rPr>
        <w:t xml:space="preserve">Human Review Framework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Status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Live · Version 1.0 · April 2026</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Category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Platform Integrity</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Amendment</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FF-CORE-008-S7 supersedes Section 7 of this document in its entirety. Where any conflict exists, the amendment prevails.</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Linked PRDs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FF-CORE-007 · FF-CORE-008-S7 · FF-CORE-009 · FF-CORE-010 · FF-CORE-011</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Summary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The conditions, process, and boundaries governing manual human review of listings, landlord profiles, and tenant profiles on the FlatFinder platform. Automated systems catch the obvious. Human reviewers catch the subtle. The algorithm's logic is not one of the things they catch — or see.</w:t>
            </w:r>
          </w:p>
        </w:tc>
      </w:tr>
    </w:tbl>
    <w:p>
      <w:pPr>
        <w:spacing w:after="2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1.  Purpose</w:t>
      </w:r>
    </w:p>
    <w:p>
      <w:pPr>
        <w:spacing w:after="80" w:before="40"/>
      </w:pPr>
      <w:r>
        <w:rPr>
          <w:rFonts w:ascii="Arial" w:cs="Arial" w:eastAsia="Arial" w:hAnsi="Arial"/>
          <w:b w:val="false"/>
          <w:bCs w:val="false"/>
          <w:i w:val="false"/>
          <w:iCs w:val="false"/>
          <w:color w:val="17181a"/>
          <w:sz w:val="22"/>
          <w:szCs w:val="22"/>
        </w:rPr>
        <w:t xml:space="preserve">No automated system is perfect. Patterns that defeat a rule-based filter, edge cases that fall between defined categories, and bad actors who learn to game the automation all require human judgement. The Human Review Framework defines when that judgement is applied, by whom, under what constraints, and with what authority.</w:t>
      </w:r>
    </w:p>
    <w:p>
      <w:pPr>
        <w:spacing w:after="80" w:before="40"/>
      </w:pPr>
      <w:r>
        <w:rPr>
          <w:rFonts w:ascii="Arial" w:cs="Arial" w:eastAsia="Arial" w:hAnsi="Arial"/>
          <w:b w:val="false"/>
          <w:bCs w:val="false"/>
          <w:i w:val="false"/>
          <w:iCs w:val="false"/>
          <w:color w:val="17181a"/>
          <w:sz w:val="22"/>
          <w:szCs w:val="22"/>
        </w:rPr>
        <w:t xml:space="preserve">The framework also defines the hard boundary that human reviewers will never cross: the internal logic of the Anti-Gatekeeping Affordability Algorithm™ is not accessible to any human reviewer, contractor, or external party under any circumstance.</w:t>
      </w:r>
    </w:p>
    <w:p>
      <w:pPr>
        <w:pStyle w:val="Heading2"/>
        <w:pBdr>
          <w:bottom w:val="single" w:color="ddd7cc" w:sz="2" w:space="4"/>
        </w:pBdr>
        <w:spacing w:after="80" w:before="320"/>
      </w:pPr>
      <w:r>
        <w:rPr>
          <w:rFonts w:ascii="Arial" w:cs="Arial" w:eastAsia="Arial" w:hAnsi="Arial"/>
          <w:b/>
          <w:bCs/>
          <w:color w:val="17181a"/>
          <w:sz w:val="28"/>
          <w:szCs w:val="28"/>
        </w:rPr>
        <w:t xml:space="preserve">2.  Trigger Conditions</w:t>
      </w:r>
    </w:p>
    <w:p>
      <w:pPr>
        <w:spacing w:after="80" w:before="40"/>
      </w:pPr>
      <w:r>
        <w:rPr>
          <w:rFonts w:ascii="Arial" w:cs="Arial" w:eastAsia="Arial" w:hAnsi="Arial"/>
          <w:b w:val="false"/>
          <w:bCs w:val="false"/>
          <w:i w:val="false"/>
          <w:iCs w:val="false"/>
          <w:color w:val="17181a"/>
          <w:sz w:val="22"/>
          <w:szCs w:val="22"/>
        </w:rPr>
        <w:t xml:space="preserve">A human review is assigned automatically when any of the following conditions are detected:</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2.1  Listing Triggers</w:t>
      </w:r>
    </w:p>
    <w:p>
      <w:pPr>
        <w:pStyle w:val="ListParagraph"/>
        <w:numPr>
          <w:ilvl w:val="0"/>
          <w:numId w:val="2"/>
        </w:numPr>
        <w:spacing w:after="40" w:before="40"/>
      </w:pPr>
      <w:r>
        <w:rPr>
          <w:rFonts w:ascii="Arial" w:cs="Arial" w:eastAsia="Arial" w:hAnsi="Arial"/>
          <w:color w:val="17181a"/>
          <w:sz w:val="22"/>
          <w:szCs w:val="22"/>
        </w:rPr>
        <w:t xml:space="preserve">A listing is flagged by the discrimination and predatory listings detection system (see FF-CORE-008-S7) but the automatic action threshold has not been met — i.e., the flag score is above the alert threshold but below the immediate-ban threshold.</w:t>
      </w:r>
    </w:p>
    <w:p>
      <w:pPr>
        <w:pStyle w:val="ListParagraph"/>
        <w:numPr>
          <w:ilvl w:val="0"/>
          <w:numId w:val="2"/>
        </w:numPr>
        <w:spacing w:after="40" w:before="40"/>
      </w:pPr>
      <w:r>
        <w:rPr>
          <w:rFonts w:ascii="Arial" w:cs="Arial" w:eastAsia="Arial" w:hAnsi="Arial"/>
          <w:color w:val="17181a"/>
          <w:sz w:val="22"/>
          <w:szCs w:val="22"/>
        </w:rPr>
        <w:t xml:space="preserve">A listing's photographs are flagged as potentially misrepresenting the property (reverse image search match to a different address or a stock photo service).</w:t>
      </w:r>
    </w:p>
    <w:p>
      <w:pPr>
        <w:pStyle w:val="ListParagraph"/>
        <w:numPr>
          <w:ilvl w:val="0"/>
          <w:numId w:val="2"/>
        </w:numPr>
        <w:spacing w:after="40" w:before="40"/>
      </w:pPr>
      <w:r>
        <w:rPr>
          <w:rFonts w:ascii="Arial" w:cs="Arial" w:eastAsia="Arial" w:hAnsi="Arial"/>
          <w:color w:val="17181a"/>
          <w:sz w:val="22"/>
          <w:szCs w:val="22"/>
        </w:rPr>
        <w:t xml:space="preserve">A listing's declared move-in date is in the past or less than 48 hours from publication.</w:t>
      </w:r>
    </w:p>
    <w:p>
      <w:pPr>
        <w:pStyle w:val="ListParagraph"/>
        <w:numPr>
          <w:ilvl w:val="0"/>
          <w:numId w:val="2"/>
        </w:numPr>
        <w:spacing w:after="40" w:before="40"/>
      </w:pPr>
      <w:r>
        <w:rPr>
          <w:rFonts w:ascii="Arial" w:cs="Arial" w:eastAsia="Arial" w:hAnsi="Arial"/>
          <w:color w:val="17181a"/>
          <w:sz w:val="22"/>
          <w:szCs w:val="22"/>
        </w:rPr>
        <w:t xml:space="preserve">A listing's rent is more than 40% below or 80% above the verified median rent for the declared property type and neighbourhood. Both ends of this range are fraud signals.</w:t>
      </w:r>
    </w:p>
    <w:p>
      <w:pPr>
        <w:pStyle w:val="ListParagraph"/>
        <w:numPr>
          <w:ilvl w:val="0"/>
          <w:numId w:val="2"/>
        </w:numPr>
        <w:spacing w:after="40" w:before="40"/>
      </w:pPr>
      <w:r>
        <w:rPr>
          <w:rFonts w:ascii="Arial" w:cs="Arial" w:eastAsia="Arial" w:hAnsi="Arial"/>
          <w:color w:val="17181a"/>
          <w:sz w:val="22"/>
          <w:szCs w:val="22"/>
        </w:rPr>
        <w:t xml:space="preserve">A listing for a property that has appeared on the platform under a different landlord account within the preceding 6 months.</w:t>
      </w:r>
    </w:p>
    <w:p>
      <w:pPr>
        <w:pStyle w:val="Heading3"/>
        <w:spacing w:after="60" w:before="220"/>
      </w:pPr>
      <w:r>
        <w:rPr>
          <w:rFonts w:ascii="Arial" w:cs="Arial" w:eastAsia="Arial" w:hAnsi="Arial"/>
          <w:b/>
          <w:bCs/>
          <w:color w:val="1b65a5"/>
          <w:sz w:val="24"/>
          <w:szCs w:val="24"/>
        </w:rPr>
        <w:t xml:space="preserve">2.2  Landlord Profile Triggers</w:t>
      </w:r>
    </w:p>
    <w:p>
      <w:pPr>
        <w:pStyle w:val="ListParagraph"/>
        <w:numPr>
          <w:ilvl w:val="0"/>
          <w:numId w:val="2"/>
        </w:numPr>
        <w:spacing w:after="40" w:before="40"/>
      </w:pPr>
      <w:r>
        <w:rPr>
          <w:rFonts w:ascii="Arial" w:cs="Arial" w:eastAsia="Arial" w:hAnsi="Arial"/>
          <w:color w:val="17181a"/>
          <w:sz w:val="22"/>
          <w:szCs w:val="22"/>
        </w:rPr>
        <w:t xml:space="preserve">A landlord's KYC documents cannot be automatically cross-referenced against the declared identity (name mismatch, address mismatch, or document quality below the automated verification threshold).</w:t>
      </w:r>
    </w:p>
    <w:p>
      <w:pPr>
        <w:pStyle w:val="ListParagraph"/>
        <w:numPr>
          <w:ilvl w:val="0"/>
          <w:numId w:val="2"/>
        </w:numPr>
        <w:spacing w:after="40" w:before="40"/>
      </w:pPr>
      <w:r>
        <w:rPr>
          <w:rFonts w:ascii="Arial" w:cs="Arial" w:eastAsia="Arial" w:hAnsi="Arial"/>
          <w:color w:val="17181a"/>
          <w:sz w:val="22"/>
          <w:szCs w:val="22"/>
        </w:rPr>
        <w:t xml:space="preserve">A landlord's Authority to List (Form 2, FF-CORE-010) cannot be verified against Crown/Council records within the automated verification window.</w:t>
      </w:r>
    </w:p>
    <w:p>
      <w:pPr>
        <w:pStyle w:val="ListParagraph"/>
        <w:numPr>
          <w:ilvl w:val="0"/>
          <w:numId w:val="2"/>
        </w:numPr>
        <w:spacing w:after="40" w:before="40"/>
      </w:pPr>
      <w:r>
        <w:rPr>
          <w:rFonts w:ascii="Arial" w:cs="Arial" w:eastAsia="Arial" w:hAnsi="Arial"/>
          <w:color w:val="17181a"/>
          <w:sz w:val="22"/>
          <w:szCs w:val="22"/>
        </w:rPr>
        <w:t xml:space="preserve">A landlord has received two non-response flags under FF-CORE-007 within a 12-month period.</w:t>
      </w:r>
    </w:p>
    <w:p>
      <w:pPr>
        <w:pStyle w:val="ListParagraph"/>
        <w:numPr>
          <w:ilvl w:val="0"/>
          <w:numId w:val="2"/>
        </w:numPr>
        <w:spacing w:after="40" w:before="40"/>
      </w:pPr>
      <w:r>
        <w:rPr>
          <w:rFonts w:ascii="Arial" w:cs="Arial" w:eastAsia="Arial" w:hAnsi="Arial"/>
          <w:color w:val="17181a"/>
          <w:sz w:val="22"/>
          <w:szCs w:val="22"/>
        </w:rPr>
        <w:t xml:space="preserve">A landlord's account shows unusual activity patterns: multiple listings published and withdrawn within short windows, repeated KYC re-submissions, or access from an unusual number of geographic locations.</w:t>
      </w:r>
    </w:p>
    <w:p>
      <w:pPr>
        <w:pStyle w:val="Heading3"/>
        <w:spacing w:after="60" w:before="220"/>
      </w:pPr>
      <w:r>
        <w:rPr>
          <w:rFonts w:ascii="Arial" w:cs="Arial" w:eastAsia="Arial" w:hAnsi="Arial"/>
          <w:b/>
          <w:bCs/>
          <w:color w:val="1b65a5"/>
          <w:sz w:val="24"/>
          <w:szCs w:val="24"/>
        </w:rPr>
        <w:t xml:space="preserve">2.3  Tenant Profile Triggers</w:t>
      </w:r>
    </w:p>
    <w:p>
      <w:pPr>
        <w:pStyle w:val="ListParagraph"/>
        <w:numPr>
          <w:ilvl w:val="0"/>
          <w:numId w:val="2"/>
        </w:numPr>
        <w:spacing w:after="40" w:before="40"/>
      </w:pPr>
      <w:r>
        <w:rPr>
          <w:rFonts w:ascii="Arial" w:cs="Arial" w:eastAsia="Arial" w:hAnsi="Arial"/>
          <w:color w:val="17181a"/>
          <w:sz w:val="22"/>
          <w:szCs w:val="22"/>
        </w:rPr>
        <w:t xml:space="preserve">A tenant's documentation tier contains internal inconsistencies that cannot be resolved by automated cross-check (e.g. employment letter from a company that does not match the payslip employer name).</w:t>
      </w:r>
    </w:p>
    <w:p>
      <w:pPr>
        <w:pStyle w:val="ListParagraph"/>
        <w:numPr>
          <w:ilvl w:val="0"/>
          <w:numId w:val="2"/>
        </w:numPr>
        <w:spacing w:after="40" w:before="40"/>
      </w:pPr>
      <w:r>
        <w:rPr>
          <w:rFonts w:ascii="Arial" w:cs="Arial" w:eastAsia="Arial" w:hAnsi="Arial"/>
          <w:color w:val="17181a"/>
          <w:sz w:val="22"/>
          <w:szCs w:val="22"/>
        </w:rPr>
        <w:t xml:space="preserve">A tenant's submitted bank statements show irregular patterns consistent with document manipulation (e.g. round-number deposits immediately before the statement period, identical transactions across multiple months).</w:t>
      </w:r>
    </w:p>
    <w:p>
      <w:pPr>
        <w:pStyle w:val="ListParagraph"/>
        <w:numPr>
          <w:ilvl w:val="0"/>
          <w:numId w:val="2"/>
        </w:numPr>
        <w:spacing w:after="40" w:before="40"/>
      </w:pPr>
      <w:r>
        <w:rPr>
          <w:rFonts w:ascii="Arial" w:cs="Arial" w:eastAsia="Arial" w:hAnsi="Arial"/>
          <w:color w:val="17181a"/>
          <w:sz w:val="22"/>
          <w:szCs w:val="22"/>
        </w:rPr>
        <w:t xml:space="preserve">A tenant submits a formal dispute against a landlord.</w:t>
      </w:r>
    </w:p>
    <w:p>
      <w:pPr>
        <w:pStyle w:val="ListParagraph"/>
        <w:numPr>
          <w:ilvl w:val="0"/>
          <w:numId w:val="2"/>
        </w:numPr>
        <w:spacing w:after="40" w:before="40"/>
      </w:pPr>
      <w:r>
        <w:rPr>
          <w:rFonts w:ascii="Arial" w:cs="Arial" w:eastAsia="Arial" w:hAnsi="Arial"/>
          <w:color w:val="17181a"/>
          <w:sz w:val="22"/>
          <w:szCs w:val="22"/>
        </w:rPr>
        <w:t xml:space="preserve">A tenant account shows access patterns inconsistent with normal use.</w:t>
      </w:r>
    </w:p>
    <w:p>
      <w:pPr>
        <w:pStyle w:val="Heading3"/>
        <w:spacing w:after="60" w:before="220"/>
      </w:pPr>
      <w:r>
        <w:rPr>
          <w:rFonts w:ascii="Arial" w:cs="Arial" w:eastAsia="Arial" w:hAnsi="Arial"/>
          <w:b/>
          <w:bCs/>
          <w:color w:val="1b65a5"/>
          <w:sz w:val="24"/>
          <w:szCs w:val="24"/>
        </w:rPr>
        <w:t xml:space="preserve">2.4  VMC Triggers</w:t>
      </w:r>
    </w:p>
    <w:p>
      <w:pPr>
        <w:pStyle w:val="ListParagraph"/>
        <w:numPr>
          <w:ilvl w:val="0"/>
          <w:numId w:val="2"/>
        </w:numPr>
        <w:spacing w:after="40" w:before="40"/>
      </w:pPr>
      <w:r>
        <w:rPr>
          <w:rFonts w:ascii="Arial" w:cs="Arial" w:eastAsia="Arial" w:hAnsi="Arial"/>
          <w:color w:val="17181a"/>
          <w:sz w:val="22"/>
          <w:szCs w:val="22"/>
        </w:rPr>
        <w:t xml:space="preserve">Either party submits a formal report against the other party's behaviour in a VMC thread.</w:t>
      </w:r>
    </w:p>
    <w:p>
      <w:pPr>
        <w:pStyle w:val="ListParagraph"/>
        <w:numPr>
          <w:ilvl w:val="0"/>
          <w:numId w:val="2"/>
        </w:numPr>
        <w:spacing w:after="40" w:before="40"/>
      </w:pPr>
      <w:r>
        <w:rPr>
          <w:rFonts w:ascii="Arial" w:cs="Arial" w:eastAsia="Arial" w:hAnsi="Arial"/>
          <w:color w:val="17181a"/>
          <w:sz w:val="22"/>
          <w:szCs w:val="22"/>
        </w:rPr>
        <w:t xml:space="preserve">Automated analysis of a VMC thread detects language patterns consistent with harassment, coercion, or discriminatory behaviour, below the threshold for automatic action.</w:t>
      </w:r>
    </w:p>
    <w:p>
      <w:pPr>
        <w:pStyle w:val="Heading2"/>
        <w:pBdr>
          <w:bottom w:val="single" w:color="ddd7cc" w:sz="2" w:space="4"/>
        </w:pBdr>
        <w:spacing w:after="80" w:before="320"/>
      </w:pPr>
      <w:r>
        <w:rPr>
          <w:rFonts w:ascii="Arial" w:cs="Arial" w:eastAsia="Arial" w:hAnsi="Arial"/>
          <w:b/>
          <w:bCs/>
          <w:color w:val="17181a"/>
          <w:sz w:val="28"/>
          <w:szCs w:val="28"/>
        </w:rPr>
        <w:t xml:space="preserve">3.  What Reviewers Can Access</w:t>
      </w:r>
    </w:p>
    <w:p>
      <w:pPr>
        <w:spacing w:after="80" w:before="40"/>
      </w:pPr>
      <w:r>
        <w:rPr>
          <w:rFonts w:ascii="Arial" w:cs="Arial" w:eastAsia="Arial" w:hAnsi="Arial"/>
          <w:b w:val="false"/>
          <w:bCs w:val="false"/>
          <w:i w:val="false"/>
          <w:iCs w:val="false"/>
          <w:color w:val="17181a"/>
          <w:sz w:val="22"/>
          <w:szCs w:val="22"/>
        </w:rPr>
        <w:t xml:space="preserve">Human reviewers have access to the following, and only the following:</w:t>
      </w:r>
    </w:p>
    <w:p>
      <w:pPr>
        <w:pStyle w:val="ListParagraph"/>
        <w:numPr>
          <w:ilvl w:val="0"/>
          <w:numId w:val="2"/>
        </w:numPr>
        <w:spacing w:after="40" w:before="40"/>
      </w:pPr>
      <w:r>
        <w:rPr>
          <w:rFonts w:ascii="Arial" w:cs="Arial" w:eastAsia="Arial" w:hAnsi="Arial"/>
          <w:color w:val="17181a"/>
          <w:sz w:val="22"/>
          <w:szCs w:val="22"/>
        </w:rPr>
        <w:t xml:space="preserve">The listing's published content, photographs, and all landlord-submitted documents.</w:t>
      </w:r>
    </w:p>
    <w:p>
      <w:pPr>
        <w:pStyle w:val="ListParagraph"/>
        <w:numPr>
          <w:ilvl w:val="0"/>
          <w:numId w:val="2"/>
        </w:numPr>
        <w:spacing w:after="40" w:before="40"/>
      </w:pPr>
      <w:r>
        <w:rPr>
          <w:rFonts w:ascii="Arial" w:cs="Arial" w:eastAsia="Arial" w:hAnsi="Arial"/>
          <w:color w:val="17181a"/>
          <w:sz w:val="22"/>
          <w:szCs w:val="22"/>
        </w:rPr>
        <w:t xml:space="preserve">The landlord's verification record: which forms have been submitted, the current verification status of each, any prior flags on the account, and the outcome of any prior reviews.</w:t>
      </w:r>
    </w:p>
    <w:p>
      <w:pPr>
        <w:pStyle w:val="ListParagraph"/>
        <w:numPr>
          <w:ilvl w:val="0"/>
          <w:numId w:val="2"/>
        </w:numPr>
        <w:spacing w:after="40" w:before="40"/>
      </w:pPr>
      <w:r>
        <w:rPr>
          <w:rFonts w:ascii="Arial" w:cs="Arial" w:eastAsia="Arial" w:hAnsi="Arial"/>
          <w:color w:val="17181a"/>
          <w:sz w:val="22"/>
          <w:szCs w:val="22"/>
        </w:rPr>
        <w:t xml:space="preserve">The VMC thread in full, including timestamps, message content, and all validation results.</w:t>
      </w:r>
    </w:p>
    <w:p>
      <w:pPr>
        <w:pStyle w:val="ListParagraph"/>
        <w:numPr>
          <w:ilvl w:val="0"/>
          <w:numId w:val="2"/>
        </w:numPr>
        <w:spacing w:after="40" w:before="40"/>
      </w:pPr>
      <w:r>
        <w:rPr>
          <w:rFonts w:ascii="Arial" w:cs="Arial" w:eastAsia="Arial" w:hAnsi="Arial"/>
          <w:color w:val="17181a"/>
          <w:sz w:val="22"/>
          <w:szCs w:val="22"/>
        </w:rPr>
        <w:t xml:space="preserve">Tenant documentation as submitted, within the tier relevant to the review. A reviewer assigned to investigate a listing dispute does not have access to tenant financial documentation unless the review specifically concerns the tenant.</w:t>
      </w:r>
    </w:p>
    <w:p>
      <w:pPr>
        <w:pStyle w:val="ListParagraph"/>
        <w:numPr>
          <w:ilvl w:val="0"/>
          <w:numId w:val="2"/>
        </w:numPr>
        <w:spacing w:after="40" w:before="40"/>
      </w:pPr>
      <w:r>
        <w:rPr>
          <w:rFonts w:ascii="Arial" w:cs="Arial" w:eastAsia="Arial" w:hAnsi="Arial"/>
          <w:color w:val="17181a"/>
          <w:sz w:val="22"/>
          <w:szCs w:val="22"/>
        </w:rPr>
        <w:t xml:space="preserve">The human-readable output of the matching and filtering process: whether a match was made, which filters were applied, and what the outcome was. Expressed as: "Tenant met Filter 3 (location and property type): Yes / No."</w:t>
      </w:r>
    </w:p>
    <w:p>
      <w:pPr>
        <w:pStyle w:val="ListParagraph"/>
        <w:numPr>
          <w:ilvl w:val="0"/>
          <w:numId w:val="2"/>
        </w:numPr>
        <w:spacing w:after="40" w:before="40"/>
      </w:pPr>
      <w:r>
        <w:rPr>
          <w:rFonts w:ascii="Arial" w:cs="Arial" w:eastAsia="Arial" w:hAnsi="Arial"/>
          <w:color w:val="17181a"/>
          <w:sz w:val="22"/>
          <w:szCs w:val="22"/>
        </w:rPr>
        <w:t xml:space="preserve">The full history of any prior Human Review decisions affecting either party on the account.</w:t>
      </w:r>
    </w:p>
    <w:p>
      <w:pPr>
        <w:pStyle w:val="Heading2"/>
        <w:pBdr>
          <w:bottom w:val="single" w:color="ddd7cc" w:sz="2" w:space="4"/>
        </w:pBdr>
        <w:spacing w:after="80" w:before="320"/>
      </w:pPr>
      <w:r>
        <w:rPr>
          <w:rFonts w:ascii="Arial" w:cs="Arial" w:eastAsia="Arial" w:hAnsi="Arial"/>
          <w:b/>
          <w:bCs/>
          <w:color w:val="17181a"/>
          <w:sz w:val="28"/>
          <w:szCs w:val="28"/>
        </w:rPr>
        <w:t xml:space="preserve">4.  What Reviewers Cannot Access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The Anti-Gatekeeping Affordability Algorithm™ — its internal logic, methodology, weighting criteria, scoring model, intermediate calculations, or source code — is never accessible to human reviewers, contractors, partner organisations, regulatory bodies (absent a valid court order), or any external party. This rule is absolute, permanent, and not subject to override by any person or process below the level of a court of competent jurisdiction.</w:t>
            </w:r>
          </w:p>
        </w:tc>
      </w:tr>
    </w:tbl>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Reviewers receive human-readable outputs only. An output reads: "Affordability check: passed" or "Affordability check: not passed." It does not explain why. The reason is proprietary and protected under CIPO patent pending status.</w:t>
      </w:r>
    </w:p>
    <w:p>
      <w:pPr>
        <w:spacing w:after="80" w:before="40"/>
      </w:pPr>
      <w:r>
        <w:rPr>
          <w:rFonts w:ascii="Arial" w:cs="Arial" w:eastAsia="Arial" w:hAnsi="Arial"/>
          <w:b w:val="false"/>
          <w:bCs w:val="false"/>
          <w:i w:val="false"/>
          <w:iCs w:val="false"/>
          <w:color w:val="17181a"/>
          <w:sz w:val="22"/>
          <w:szCs w:val="22"/>
        </w:rPr>
        <w:t xml:space="preserve">Any reviewer who requests access to algorithm internals is to be informed that the request cannot be fulfilled and that the request itself is logged.</w:t>
      </w:r>
    </w:p>
    <w:p>
      <w:pPr>
        <w:pStyle w:val="Heading2"/>
        <w:pBdr>
          <w:bottom w:val="single" w:color="ddd7cc" w:sz="2" w:space="4"/>
        </w:pBdr>
        <w:spacing w:after="80" w:before="320"/>
      </w:pPr>
      <w:r>
        <w:rPr>
          <w:rFonts w:ascii="Arial" w:cs="Arial" w:eastAsia="Arial" w:hAnsi="Arial"/>
          <w:b/>
          <w:bCs/>
          <w:color w:val="17181a"/>
          <w:sz w:val="28"/>
          <w:szCs w:val="28"/>
        </w:rPr>
        <w:t xml:space="preserve">5.  The Double-Down Cost Model</w:t>
      </w:r>
    </w:p>
    <w:p>
      <w:pPr>
        <w:spacing w:after="80" w:before="40"/>
      </w:pPr>
      <w:r>
        <w:rPr>
          <w:rFonts w:ascii="Arial" w:cs="Arial" w:eastAsia="Arial" w:hAnsi="Arial"/>
          <w:b w:val="false"/>
          <w:bCs w:val="false"/>
          <w:i w:val="false"/>
          <w:iCs w:val="false"/>
          <w:color w:val="17181a"/>
          <w:sz w:val="22"/>
          <w:szCs w:val="22"/>
        </w:rPr>
        <w:t xml:space="preserve">Human review consumes platform resources. The cost model is designed to deter bad-faith behaviour that generates unnecessary reviews, while protecting good-faith users from bearing the cost of reviews triggered by others' behaviour.</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5.1  No-Cost Review</w:t>
      </w:r>
    </w:p>
    <w:p>
      <w:pPr>
        <w:spacing w:after="80" w:before="40"/>
      </w:pPr>
      <w:r>
        <w:rPr>
          <w:rFonts w:ascii="Arial" w:cs="Arial" w:eastAsia="Arial" w:hAnsi="Arial"/>
          <w:b w:val="false"/>
          <w:bCs w:val="false"/>
          <w:i w:val="false"/>
          <w:iCs w:val="false"/>
          <w:color w:val="17181a"/>
          <w:sz w:val="22"/>
          <w:szCs w:val="22"/>
        </w:rPr>
        <w:t xml:space="preserve">A review is conducted at no cost to the reviewed party when:</w:t>
      </w:r>
    </w:p>
    <w:p>
      <w:pPr>
        <w:pStyle w:val="ListParagraph"/>
        <w:numPr>
          <w:ilvl w:val="0"/>
          <w:numId w:val="2"/>
        </w:numPr>
        <w:spacing w:after="40" w:before="40"/>
      </w:pPr>
      <w:r>
        <w:rPr>
          <w:rFonts w:ascii="Arial" w:cs="Arial" w:eastAsia="Arial" w:hAnsi="Arial"/>
          <w:color w:val="17181a"/>
          <w:sz w:val="22"/>
          <w:szCs w:val="22"/>
        </w:rPr>
        <w:t xml:space="preserve">The review was triggered by a platform-side flag, not by the party's own behaviour (e.g. a listing flag triggered by reverse image search returning a mismatch).</w:t>
      </w:r>
    </w:p>
    <w:p>
      <w:pPr>
        <w:pStyle w:val="ListParagraph"/>
        <w:numPr>
          <w:ilvl w:val="0"/>
          <w:numId w:val="2"/>
        </w:numPr>
        <w:spacing w:after="40" w:before="40"/>
      </w:pPr>
      <w:r>
        <w:rPr>
          <w:rFonts w:ascii="Arial" w:cs="Arial" w:eastAsia="Arial" w:hAnsi="Arial"/>
          <w:color w:val="17181a"/>
          <w:sz w:val="22"/>
          <w:szCs w:val="22"/>
        </w:rPr>
        <w:t xml:space="preserve">The review clears the party without any finding against them.</w:t>
      </w:r>
    </w:p>
    <w:p>
      <w:pPr>
        <w:pStyle w:val="ListParagraph"/>
        <w:numPr>
          <w:ilvl w:val="0"/>
          <w:numId w:val="2"/>
        </w:numPr>
        <w:spacing w:after="40" w:before="40"/>
      </w:pPr>
      <w:r>
        <w:rPr>
          <w:rFonts w:ascii="Arial" w:cs="Arial" w:eastAsia="Arial" w:hAnsi="Arial"/>
          <w:color w:val="17181a"/>
          <w:sz w:val="22"/>
          <w:szCs w:val="22"/>
        </w:rPr>
        <w:t xml:space="preserve">The review was triggered by the other party's formal report, and the report is found to be unsubstantiated.</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Where a no-cost review clears the party, the cleared party receives a platform credit applied to their next billing cycle. The credit amount is fixed at the equivalent of one month's platform subscription fee at their tier.</w:t>
      </w:r>
    </w:p>
    <w:p>
      <w:pPr>
        <w:pStyle w:val="Heading3"/>
        <w:spacing w:after="60" w:before="220"/>
      </w:pPr>
      <w:r>
        <w:rPr>
          <w:rFonts w:ascii="Arial" w:cs="Arial" w:eastAsia="Arial" w:hAnsi="Arial"/>
          <w:b/>
          <w:bCs/>
          <w:color w:val="1b65a5"/>
          <w:sz w:val="24"/>
          <w:szCs w:val="24"/>
        </w:rPr>
        <w:t xml:space="preserve">5.2  Cost-Recovery Review</w:t>
      </w:r>
    </w:p>
    <w:p>
      <w:pPr>
        <w:spacing w:after="80" w:before="40"/>
      </w:pPr>
      <w:r>
        <w:rPr>
          <w:rFonts w:ascii="Arial" w:cs="Arial" w:eastAsia="Arial" w:hAnsi="Arial"/>
          <w:b w:val="false"/>
          <w:bCs w:val="false"/>
          <w:i w:val="false"/>
          <w:iCs w:val="false"/>
          <w:color w:val="17181a"/>
          <w:sz w:val="22"/>
          <w:szCs w:val="22"/>
        </w:rPr>
        <w:t xml:space="preserve">A processing fee is applied when:</w:t>
      </w:r>
    </w:p>
    <w:p>
      <w:pPr>
        <w:pStyle w:val="ListParagraph"/>
        <w:numPr>
          <w:ilvl w:val="0"/>
          <w:numId w:val="2"/>
        </w:numPr>
        <w:spacing w:after="40" w:before="40"/>
      </w:pPr>
      <w:r>
        <w:rPr>
          <w:rFonts w:ascii="Arial" w:cs="Arial" w:eastAsia="Arial" w:hAnsi="Arial"/>
          <w:color w:val="17181a"/>
          <w:sz w:val="22"/>
          <w:szCs w:val="22"/>
        </w:rPr>
        <w:t xml:space="preserve">The review was triggered by the reviewed party's own behaviour or submissions.</w:t>
      </w:r>
    </w:p>
    <w:p>
      <w:pPr>
        <w:pStyle w:val="ListParagraph"/>
        <w:numPr>
          <w:ilvl w:val="0"/>
          <w:numId w:val="2"/>
        </w:numPr>
        <w:spacing w:after="40" w:before="40"/>
      </w:pPr>
      <w:r>
        <w:rPr>
          <w:rFonts w:ascii="Arial" w:cs="Arial" w:eastAsia="Arial" w:hAnsi="Arial"/>
          <w:color w:val="17181a"/>
          <w:sz w:val="22"/>
          <w:szCs w:val="22"/>
        </w:rPr>
        <w:t xml:space="preserve">The review finds against the reviewed party on any point, regardless of severity.</w:t>
      </w:r>
    </w:p>
    <w:p>
      <w:pPr>
        <w:pStyle w:val="ListParagraph"/>
        <w:numPr>
          <w:ilvl w:val="0"/>
          <w:numId w:val="2"/>
        </w:numPr>
        <w:spacing w:after="40" w:before="40"/>
      </w:pPr>
      <w:r>
        <w:rPr>
          <w:rFonts w:ascii="Arial" w:cs="Arial" w:eastAsia="Arial" w:hAnsi="Arial"/>
          <w:color w:val="17181a"/>
          <w:sz w:val="22"/>
          <w:szCs w:val="22"/>
        </w:rPr>
        <w:t xml:space="preserve">The review was triggered by a formal report that is found to be substantially accurate.</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processing fee scales with the severity and frequency of the behaviour. The fee schedule is defined in the Platform Agreement (Form 5, FF-CORE-010) and is subject to annual review.</w:t>
      </w:r>
    </w:p>
    <w:p>
      <w:pPr>
        <w:pStyle w:val="Heading3"/>
        <w:spacing w:after="60" w:before="220"/>
      </w:pPr>
      <w:r>
        <w:rPr>
          <w:rFonts w:ascii="Arial" w:cs="Arial" w:eastAsia="Arial" w:hAnsi="Arial"/>
          <w:b/>
          <w:bCs/>
          <w:color w:val="1b65a5"/>
          <w:sz w:val="24"/>
          <w:szCs w:val="24"/>
        </w:rPr>
        <w:t xml:space="preserve">5.3  Suspension-Trigger Review</w:t>
      </w:r>
    </w:p>
    <w:p>
      <w:pPr>
        <w:spacing w:after="80" w:before="40"/>
      </w:pPr>
      <w:r>
        <w:rPr>
          <w:rFonts w:ascii="Arial" w:cs="Arial" w:eastAsia="Arial" w:hAnsi="Arial"/>
          <w:b w:val="false"/>
          <w:bCs w:val="false"/>
          <w:i w:val="false"/>
          <w:iCs w:val="false"/>
          <w:color w:val="17181a"/>
          <w:sz w:val="22"/>
          <w:szCs w:val="22"/>
        </w:rPr>
        <w:t xml:space="preserve">A review that finds evidence of deliberate bad-faith behaviour — including but not limited to: deliberately triggering review as a delay tactic, submitting false documentation, or manipulating the VMC process — results in:</w:t>
      </w:r>
    </w:p>
    <w:p>
      <w:pPr>
        <w:pStyle w:val="ListParagraph"/>
        <w:numPr>
          <w:ilvl w:val="0"/>
          <w:numId w:val="2"/>
        </w:numPr>
        <w:spacing w:after="40" w:before="40"/>
      </w:pPr>
      <w:r>
        <w:rPr>
          <w:rFonts w:ascii="Arial" w:cs="Arial" w:eastAsia="Arial" w:hAnsi="Arial"/>
          <w:color w:val="17181a"/>
          <w:sz w:val="22"/>
          <w:szCs w:val="22"/>
        </w:rPr>
        <w:t xml:space="preserve">Immediate account suspension pending the outcome of the full review.</w:t>
      </w:r>
    </w:p>
    <w:p>
      <w:pPr>
        <w:pStyle w:val="ListParagraph"/>
        <w:numPr>
          <w:ilvl w:val="0"/>
          <w:numId w:val="2"/>
        </w:numPr>
        <w:spacing w:after="40" w:before="40"/>
      </w:pPr>
      <w:r>
        <w:rPr>
          <w:rFonts w:ascii="Arial" w:cs="Arial" w:eastAsia="Arial" w:hAnsi="Arial"/>
          <w:color w:val="17181a"/>
          <w:sz w:val="22"/>
          <w:szCs w:val="22"/>
        </w:rPr>
        <w:t xml:space="preserve">A suspension fee applied in addition to the processing fee.</w:t>
      </w:r>
    </w:p>
    <w:p>
      <w:pPr>
        <w:pStyle w:val="ListParagraph"/>
        <w:numPr>
          <w:ilvl w:val="0"/>
          <w:numId w:val="2"/>
        </w:numPr>
        <w:spacing w:after="40" w:before="40"/>
      </w:pPr>
      <w:r>
        <w:rPr>
          <w:rFonts w:ascii="Arial" w:cs="Arial" w:eastAsia="Arial" w:hAnsi="Arial"/>
          <w:color w:val="17181a"/>
          <w:sz w:val="22"/>
          <w:szCs w:val="22"/>
        </w:rPr>
        <w:t xml:space="preserve">Where the behaviour constitutes fraud or harassment, referral to the appropriate authority (see FF-CORE-008-S7).</w:t>
      </w:r>
    </w:p>
    <w:p>
      <w:pPr>
        <w:pStyle w:val="Heading2"/>
        <w:pBdr>
          <w:bottom w:val="single" w:color="ddd7cc" w:sz="2" w:space="4"/>
        </w:pBdr>
        <w:spacing w:after="80" w:before="320"/>
      </w:pPr>
      <w:r>
        <w:rPr>
          <w:rFonts w:ascii="Arial" w:cs="Arial" w:eastAsia="Arial" w:hAnsi="Arial"/>
          <w:b/>
          <w:bCs/>
          <w:color w:val="17181a"/>
          <w:sz w:val="28"/>
          <w:szCs w:val="28"/>
        </w:rPr>
        <w:t xml:space="preserve">6.  Review Timeline &amp; Accountability</w:t>
      </w:r>
    </w:p>
    <w:p>
      <w:pPr>
        <w:pStyle w:val="ListParagraph"/>
        <w:numPr>
          <w:ilvl w:val="0"/>
          <w:numId w:val="2"/>
        </w:numPr>
        <w:spacing w:after="40" w:before="40"/>
      </w:pPr>
      <w:r>
        <w:rPr>
          <w:rFonts w:ascii="Arial" w:cs="Arial" w:eastAsia="Arial" w:hAnsi="Arial"/>
          <w:color w:val="17181a"/>
          <w:sz w:val="22"/>
          <w:szCs w:val="22"/>
        </w:rPr>
        <w:t xml:space="preserve">Tier 1 review (low complexity, single-flag trigger): completed within 48 hours of assignment.</w:t>
      </w:r>
    </w:p>
    <w:p>
      <w:pPr>
        <w:pStyle w:val="ListParagraph"/>
        <w:numPr>
          <w:ilvl w:val="0"/>
          <w:numId w:val="2"/>
        </w:numPr>
        <w:spacing w:after="40" w:before="40"/>
      </w:pPr>
      <w:r>
        <w:rPr>
          <w:rFonts w:ascii="Arial" w:cs="Arial" w:eastAsia="Arial" w:hAnsi="Arial"/>
          <w:color w:val="17181a"/>
          <w:sz w:val="22"/>
          <w:szCs w:val="22"/>
        </w:rPr>
        <w:t xml:space="preserve">Tier 2 review (moderate complexity, multiple triggers or disputed evidence): completed within 5 business days.</w:t>
      </w:r>
    </w:p>
    <w:p>
      <w:pPr>
        <w:pStyle w:val="ListParagraph"/>
        <w:numPr>
          <w:ilvl w:val="0"/>
          <w:numId w:val="2"/>
        </w:numPr>
        <w:spacing w:after="40" w:before="40"/>
      </w:pPr>
      <w:r>
        <w:rPr>
          <w:rFonts w:ascii="Arial" w:cs="Arial" w:eastAsia="Arial" w:hAnsi="Arial"/>
          <w:color w:val="17181a"/>
          <w:sz w:val="22"/>
          <w:szCs w:val="22"/>
        </w:rPr>
        <w:t xml:space="preserve">Tier 3 review (high complexity, potential legal referral or account termination): completed within 10 business days.</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Both parties are notified when a review opens and when it closes. Neither party is informed of the details of the other's record during an active review. The outcome is communicated in plain language: cleared, found against, or referred to authority.</w:t>
      </w:r>
    </w:p>
    <w:p>
      <w:pPr>
        <w:spacing w:after="100" w:before="0"/>
      </w:pPr>
      <w:r>
        <w:t xml:space="preserve"/>
      </w:r>
    </w:p>
    <w:p>
      <w:pPr>
        <w:spacing w:after="60" w:before="60"/>
      </w:pPr>
      <w:r>
        <w:rPr>
          <w:rFonts w:ascii="Arial" w:cs="Arial" w:eastAsia="Arial" w:hAnsi="Arial"/>
          <w:i/>
          <w:iCs/>
          <w:color w:val="7a7670"/>
          <w:sz w:val="16"/>
          <w:szCs w:val="16"/>
        </w:rPr>
        <w:t xml:space="preserve">© 2024–2026 Lila Inglis Abegunrin · FlatFinder Inc. · Trademarks and Patents Pending (CIPO) · Proprietary and Confidential</w:t>
      </w:r>
    </w:p>
    <w:p>
      <w:r>
        <w:br w:type="page"/>
      </w:r>
    </w:p>
    <w:p>
      <w:pPr>
        <w:spacing w:after="60" w:before="360"/>
      </w:pPr>
      <w:r>
        <w:rPr>
          <w:rFonts w:ascii="Arial" w:cs="Arial" w:eastAsia="Arial" w:hAnsi="Arial"/>
          <w:b/>
          <w:bCs/>
          <w:caps/>
          <w:color w:val="1b65a5"/>
          <w:spacing w:val="50"/>
          <w:sz w:val="18"/>
          <w:szCs w:val="18"/>
        </w:rPr>
        <w:t xml:space="preserve">FF-CORE-008-S7  ·  Zero Tolerance  ·  Amendment to FF-CORE-008 § 7</w:t>
      </w:r>
    </w:p>
    <w:p>
      <w:pPr>
        <w:pBdr>
          <w:bottom w:val="single" w:color="17181a" w:sz="12" w:space="6"/>
        </w:pBdr>
        <w:spacing w:after="40" w:before="0"/>
      </w:pPr>
      <w:r>
        <w:rPr>
          <w:rFonts w:ascii="Arial" w:cs="Arial" w:eastAsia="Arial" w:hAnsi="Arial"/>
          <w:b/>
          <w:bCs/>
          <w:caps/>
          <w:color w:val="7a7670"/>
          <w:spacing w:val="40"/>
          <w:sz w:val="20"/>
          <w:szCs w:val="20"/>
        </w:rPr>
        <w:t xml:space="preserve">FF-CORE-008-S7</w:t>
      </w:r>
      <w:r>
        <w:rPr>
          <w:rFonts w:ascii="Arial" w:cs="Arial" w:eastAsia="Arial" w:hAnsi="Arial"/>
          <w:color w:val="ddd7cc"/>
          <w:sz w:val="20"/>
          <w:szCs w:val="20"/>
        </w:rPr>
        <w:t xml:space="preserve">  —  </w:t>
      </w:r>
      <w:r>
        <w:rPr>
          <w:rFonts w:ascii="Arial" w:cs="Arial" w:eastAsia="Arial" w:hAnsi="Arial"/>
          <w:color w:val="7a7670"/>
          <w:sz w:val="20"/>
          <w:szCs w:val="20"/>
        </w:rPr>
        <w:t xml:space="preserve">Discriminatory &amp; Predatory Listings</w:t>
      </w:r>
    </w:p>
    <w:p>
      <w:pPr>
        <w:spacing w:after="160" w:before="0"/>
      </w:pPr>
      <w:r>
        <w:rPr>
          <w:rFonts w:ascii="Arial" w:cs="Arial" w:eastAsia="Arial" w:hAnsi="Arial"/>
          <w:b/>
          <w:bCs/>
          <w:color w:val="17181a"/>
          <w:sz w:val="56"/>
          <w:szCs w:val="56"/>
        </w:rPr>
        <w:t xml:space="preserve">Discriminatory &amp; Predatory Listings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AMENDMENT — This document supersedes Section 7 of FF-CORE-008 in its entirety. Where any conflict exists between this document and the parent PRD or any other platform document, this amendment prevails. It may only be superseded by a subsequent amendment bearing a higher version number and the founder's explicit written authorisation.</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Status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Live · Version 1.0 · April 2026</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Category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Zero Tolerance · Platform Integrity</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Enforcement</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Immediate and automatic on first detection. No human review step between detection and action for listings above the ban threshold.</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Summary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Immediate permanent ban on first confirmed detection of a discriminatory or predatory listing. Mandatory referral to the RCMP (Canada) or equivalent authority for predatory patterns. No appeals process for predatory listings. One written appeal permitted for discriminatory listings.</w:t>
            </w:r>
          </w:p>
        </w:tc>
      </w:tr>
    </w:tbl>
    <w:p>
      <w:pPr>
        <w:spacing w:after="2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1.  Discriminatory Listings — Definitions</w:t>
      </w:r>
    </w:p>
    <w:p>
      <w:pPr>
        <w:spacing w:after="80" w:before="40"/>
      </w:pPr>
      <w:r>
        <w:rPr>
          <w:rFonts w:ascii="Arial" w:cs="Arial" w:eastAsia="Arial" w:hAnsi="Arial"/>
          <w:b w:val="false"/>
          <w:bCs w:val="false"/>
          <w:i w:val="false"/>
          <w:iCs w:val="false"/>
          <w:color w:val="17181a"/>
          <w:sz w:val="22"/>
          <w:szCs w:val="22"/>
        </w:rPr>
        <w:t xml:space="preserve">A listing is classified as discriminatory if it contains, implies, or encodes — in listing text, photographs, metadata, or any communication made through the platform — any restriction, preference, or requirement based on any of the following grounds:</w:t>
      </w:r>
    </w:p>
    <w:p>
      <w:pPr>
        <w:spacing w:after="100" w:before="0"/>
      </w:pPr>
      <w:r>
        <w:t xml:space="preserve"/>
      </w:r>
    </w:p>
    <w:p>
      <w:pPr>
        <w:pStyle w:val="ListParagraph"/>
        <w:numPr>
          <w:ilvl w:val="0"/>
          <w:numId w:val="2"/>
        </w:numPr>
        <w:spacing w:after="40" w:before="40"/>
      </w:pPr>
      <w:r>
        <w:rPr>
          <w:rFonts w:ascii="Arial" w:cs="Arial" w:eastAsia="Arial" w:hAnsi="Arial"/>
          <w:color w:val="17181a"/>
          <w:sz w:val="22"/>
          <w:szCs w:val="22"/>
        </w:rPr>
        <w:t xml:space="preserve">Race, colour, ethnicity, or national origin.</w:t>
      </w:r>
    </w:p>
    <w:p>
      <w:pPr>
        <w:pStyle w:val="ListParagraph"/>
        <w:numPr>
          <w:ilvl w:val="0"/>
          <w:numId w:val="2"/>
        </w:numPr>
        <w:spacing w:after="40" w:before="40"/>
      </w:pPr>
      <w:r>
        <w:rPr>
          <w:rFonts w:ascii="Arial" w:cs="Arial" w:eastAsia="Arial" w:hAnsi="Arial"/>
          <w:color w:val="17181a"/>
          <w:sz w:val="22"/>
          <w:szCs w:val="22"/>
        </w:rPr>
        <w:t xml:space="preserve">Place of birth, ancestry, or citizenship status.</w:t>
      </w:r>
    </w:p>
    <w:p>
      <w:pPr>
        <w:pStyle w:val="ListParagraph"/>
        <w:numPr>
          <w:ilvl w:val="0"/>
          <w:numId w:val="2"/>
        </w:numPr>
        <w:spacing w:after="40" w:before="40"/>
      </w:pPr>
      <w:r>
        <w:rPr>
          <w:rFonts w:ascii="Arial" w:cs="Arial" w:eastAsia="Arial" w:hAnsi="Arial"/>
          <w:color w:val="17181a"/>
          <w:sz w:val="22"/>
          <w:szCs w:val="22"/>
        </w:rPr>
        <w:t xml:space="preserve">Religion, creed, or religious practice.</w:t>
      </w:r>
    </w:p>
    <w:p>
      <w:pPr>
        <w:pStyle w:val="ListParagraph"/>
        <w:numPr>
          <w:ilvl w:val="0"/>
          <w:numId w:val="2"/>
        </w:numPr>
        <w:spacing w:after="40" w:before="40"/>
      </w:pPr>
      <w:r>
        <w:rPr>
          <w:rFonts w:ascii="Arial" w:cs="Arial" w:eastAsia="Arial" w:hAnsi="Arial"/>
          <w:color w:val="17181a"/>
          <w:sz w:val="22"/>
          <w:szCs w:val="22"/>
        </w:rPr>
        <w:t xml:space="preserve">Sex, gender identity, or gender expression.</w:t>
      </w:r>
    </w:p>
    <w:p>
      <w:pPr>
        <w:pStyle w:val="ListParagraph"/>
        <w:numPr>
          <w:ilvl w:val="0"/>
          <w:numId w:val="2"/>
        </w:numPr>
        <w:spacing w:after="40" w:before="40"/>
      </w:pPr>
      <w:r>
        <w:rPr>
          <w:rFonts w:ascii="Arial" w:cs="Arial" w:eastAsia="Arial" w:hAnsi="Arial"/>
          <w:color w:val="17181a"/>
          <w:sz w:val="22"/>
          <w:szCs w:val="22"/>
        </w:rPr>
        <w:t xml:space="preserve">Sexual orientation.</w:t>
      </w:r>
    </w:p>
    <w:p>
      <w:pPr>
        <w:pStyle w:val="ListParagraph"/>
        <w:numPr>
          <w:ilvl w:val="0"/>
          <w:numId w:val="2"/>
        </w:numPr>
        <w:spacing w:after="40" w:before="40"/>
      </w:pPr>
      <w:r>
        <w:rPr>
          <w:rFonts w:ascii="Arial" w:cs="Arial" w:eastAsia="Arial" w:hAnsi="Arial"/>
          <w:color w:val="17181a"/>
          <w:sz w:val="22"/>
          <w:szCs w:val="22"/>
        </w:rPr>
        <w:t xml:space="preserve">Age — except where the property is a designated seniors' residence lawfully restricted to residents of a minimum age under applicable human rights legislation.</w:t>
      </w:r>
    </w:p>
    <w:p>
      <w:pPr>
        <w:pStyle w:val="ListParagraph"/>
        <w:numPr>
          <w:ilvl w:val="0"/>
          <w:numId w:val="2"/>
        </w:numPr>
        <w:spacing w:after="40" w:before="40"/>
      </w:pPr>
      <w:r>
        <w:rPr>
          <w:rFonts w:ascii="Arial" w:cs="Arial" w:eastAsia="Arial" w:hAnsi="Arial"/>
          <w:color w:val="17181a"/>
          <w:sz w:val="22"/>
          <w:szCs w:val="22"/>
        </w:rPr>
        <w:t xml:space="preserve">Physical or mental disability, including conditions that are perceived or assumed.</w:t>
      </w:r>
    </w:p>
    <w:p>
      <w:pPr>
        <w:pStyle w:val="ListParagraph"/>
        <w:numPr>
          <w:ilvl w:val="0"/>
          <w:numId w:val="2"/>
        </w:numPr>
        <w:spacing w:after="40" w:before="40"/>
      </w:pPr>
      <w:r>
        <w:rPr>
          <w:rFonts w:ascii="Arial" w:cs="Arial" w:eastAsia="Arial" w:hAnsi="Arial"/>
          <w:color w:val="17181a"/>
          <w:sz w:val="22"/>
          <w:szCs w:val="22"/>
        </w:rPr>
        <w:t xml:space="preserve">Family status — including the presence, number, or age of children, pregnancy, or intention to become pregnant.</w:t>
      </w:r>
    </w:p>
    <w:p>
      <w:pPr>
        <w:pStyle w:val="ListParagraph"/>
        <w:numPr>
          <w:ilvl w:val="0"/>
          <w:numId w:val="2"/>
        </w:numPr>
        <w:spacing w:after="40" w:before="40"/>
      </w:pPr>
      <w:r>
        <w:rPr>
          <w:rFonts w:ascii="Arial" w:cs="Arial" w:eastAsia="Arial" w:hAnsi="Arial"/>
          <w:color w:val="17181a"/>
          <w:sz w:val="22"/>
          <w:szCs w:val="22"/>
        </w:rPr>
        <w:t xml:space="preserve">Marital or partnership status.</w:t>
      </w:r>
    </w:p>
    <w:p>
      <w:pPr>
        <w:pStyle w:val="ListParagraph"/>
        <w:numPr>
          <w:ilvl w:val="0"/>
          <w:numId w:val="2"/>
        </w:numPr>
        <w:spacing w:after="40" w:before="40"/>
      </w:pPr>
      <w:r>
        <w:rPr>
          <w:rFonts w:ascii="Arial" w:cs="Arial" w:eastAsia="Arial" w:hAnsi="Arial"/>
          <w:color w:val="17181a"/>
          <w:sz w:val="22"/>
          <w:szCs w:val="22"/>
        </w:rPr>
        <w:t xml:space="preserve">Receipt of social assistance, housing benefit, disability benefit, or any form of government financial support.</w:t>
      </w:r>
    </w:p>
    <w:p>
      <w:pPr>
        <w:pStyle w:val="ListParagraph"/>
        <w:numPr>
          <w:ilvl w:val="0"/>
          <w:numId w:val="2"/>
        </w:numPr>
        <w:spacing w:after="40" w:before="40"/>
      </w:pPr>
      <w:r>
        <w:rPr>
          <w:rFonts w:ascii="Arial" w:cs="Arial" w:eastAsia="Arial" w:hAnsi="Arial"/>
          <w:color w:val="17181a"/>
          <w:sz w:val="22"/>
          <w:szCs w:val="22"/>
        </w:rPr>
        <w:t xml:space="preserve">Immigration status, refugee claimant status, or temporary resident status.</w:t>
      </w:r>
    </w:p>
    <w:p>
      <w:pPr>
        <w:pStyle w:val="ListParagraph"/>
        <w:numPr>
          <w:ilvl w:val="0"/>
          <w:numId w:val="2"/>
        </w:numPr>
        <w:spacing w:after="40" w:before="40"/>
      </w:pPr>
      <w:r>
        <w:rPr>
          <w:rFonts w:ascii="Arial" w:cs="Arial" w:eastAsia="Arial" w:hAnsi="Arial"/>
          <w:color w:val="17181a"/>
          <w:sz w:val="22"/>
          <w:szCs w:val="22"/>
        </w:rPr>
        <w:t xml:space="preserve">Record of offences for which a pardon or record suspension has been granted.</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Discriminatory language is detected at the point of listing submission and re-scanned continuously against all live listings. Detection is also triggered by user reports.</w:t>
      </w:r>
    </w:p>
    <w:p>
      <w:pPr>
        <w:spacing w:after="80" w:before="40"/>
      </w:pPr>
      <w:r>
        <w:rPr>
          <w:rFonts w:ascii="Arial" w:cs="Arial" w:eastAsia="Arial" w:hAnsi="Arial"/>
          <w:b w:val="false"/>
          <w:bCs w:val="false"/>
          <w:i w:val="false"/>
          <w:iCs w:val="false"/>
          <w:color w:val="17181a"/>
          <w:sz w:val="22"/>
          <w:szCs w:val="22"/>
        </w:rPr>
        <w:t xml:space="preserve">Encoding discrimination indirectly — for example, stating a preference for "young professionals" (age and family status), "couples only" (family status and marital status), or "no students" (age) — is treated identically to explicit discriminatory language.</w:t>
      </w:r>
    </w:p>
    <w:p>
      <w:pPr>
        <w:pStyle w:val="Heading2"/>
        <w:pBdr>
          <w:bottom w:val="single" w:color="ddd7cc" w:sz="2" w:space="4"/>
        </w:pBdr>
        <w:spacing w:after="80" w:before="320"/>
      </w:pPr>
      <w:r>
        <w:rPr>
          <w:rFonts w:ascii="Arial" w:cs="Arial" w:eastAsia="Arial" w:hAnsi="Arial"/>
          <w:b/>
          <w:bCs/>
          <w:color w:val="17181a"/>
          <w:sz w:val="28"/>
          <w:szCs w:val="28"/>
        </w:rPr>
        <w:t xml:space="preserve">2.  Predatory Listings — Definitions</w:t>
      </w:r>
    </w:p>
    <w:p>
      <w:pPr>
        <w:spacing w:after="80" w:before="40"/>
      </w:pPr>
      <w:r>
        <w:rPr>
          <w:rFonts w:ascii="Arial" w:cs="Arial" w:eastAsia="Arial" w:hAnsi="Arial"/>
          <w:b w:val="false"/>
          <w:bCs w:val="false"/>
          <w:i w:val="false"/>
          <w:iCs w:val="false"/>
          <w:color w:val="17181a"/>
          <w:sz w:val="22"/>
          <w:szCs w:val="22"/>
        </w:rPr>
        <w:t xml:space="preserve">A listing is classified as predatory if it exhibits any of the following patterns, individually or in combination:</w:t>
      </w:r>
    </w:p>
    <w:p>
      <w:pPr>
        <w:pStyle w:val="ListParagraph"/>
        <w:numPr>
          <w:ilvl w:val="0"/>
          <w:numId w:val="2"/>
        </w:numPr>
        <w:spacing w:after="40" w:before="40"/>
      </w:pPr>
      <w:r>
        <w:rPr>
          <w:rFonts w:ascii="Arial" w:cs="Arial" w:eastAsia="Arial" w:hAnsi="Arial"/>
          <w:color w:val="17181a"/>
          <w:sz w:val="22"/>
          <w:szCs w:val="22"/>
        </w:rPr>
        <w:t xml:space="preserve">The property described in the listing does not exist at the stated address.</w:t>
      </w:r>
    </w:p>
    <w:p>
      <w:pPr>
        <w:pStyle w:val="ListParagraph"/>
        <w:numPr>
          <w:ilvl w:val="0"/>
          <w:numId w:val="2"/>
        </w:numPr>
        <w:spacing w:after="40" w:before="40"/>
      </w:pPr>
      <w:r>
        <w:rPr>
          <w:rFonts w:ascii="Arial" w:cs="Arial" w:eastAsia="Arial" w:hAnsi="Arial"/>
          <w:color w:val="17181a"/>
          <w:sz w:val="22"/>
          <w:szCs w:val="22"/>
        </w:rPr>
        <w:t xml:space="preserve">The property exists but is not available for rent on the stated date, or at all.</w:t>
      </w:r>
    </w:p>
    <w:p>
      <w:pPr>
        <w:pStyle w:val="ListParagraph"/>
        <w:numPr>
          <w:ilvl w:val="0"/>
          <w:numId w:val="2"/>
        </w:numPr>
        <w:spacing w:after="40" w:before="40"/>
      </w:pPr>
      <w:r>
        <w:rPr>
          <w:rFonts w:ascii="Arial" w:cs="Arial" w:eastAsia="Arial" w:hAnsi="Arial"/>
          <w:color w:val="17181a"/>
          <w:sz w:val="22"/>
          <w:szCs w:val="22"/>
        </w:rPr>
        <w:t xml:space="preserve">The listing uses photographs that do not represent the property — including photographs of a different property, stock photography, digitally altered images, or images that are more than 12 months old without disclosure.</w:t>
      </w:r>
    </w:p>
    <w:p>
      <w:pPr>
        <w:pStyle w:val="ListParagraph"/>
        <w:numPr>
          <w:ilvl w:val="0"/>
          <w:numId w:val="2"/>
        </w:numPr>
        <w:spacing w:after="40" w:before="40"/>
      </w:pPr>
      <w:r>
        <w:rPr>
          <w:rFonts w:ascii="Arial" w:cs="Arial" w:eastAsia="Arial" w:hAnsi="Arial"/>
          <w:color w:val="17181a"/>
          <w:sz w:val="22"/>
          <w:szCs w:val="22"/>
        </w:rPr>
        <w:t xml:space="preserve">The landlord does not hold authority to list the property (see FF-CORE-010, Form 2).</w:t>
      </w:r>
    </w:p>
    <w:p>
      <w:pPr>
        <w:pStyle w:val="ListParagraph"/>
        <w:numPr>
          <w:ilvl w:val="0"/>
          <w:numId w:val="2"/>
        </w:numPr>
        <w:spacing w:after="40" w:before="40"/>
      </w:pPr>
      <w:r>
        <w:rPr>
          <w:rFonts w:ascii="Arial" w:cs="Arial" w:eastAsia="Arial" w:hAnsi="Arial"/>
          <w:color w:val="17181a"/>
          <w:sz w:val="22"/>
          <w:szCs w:val="22"/>
        </w:rPr>
        <w:t xml:space="preserve">A deposit, holding fee, application fee, or any other payment is requested before the VMC gate is cleared (see FF-CORE-007). There are no legitimate fees on this platform before VMC completion.</w:t>
      </w:r>
    </w:p>
    <w:p>
      <w:pPr>
        <w:pStyle w:val="ListParagraph"/>
        <w:numPr>
          <w:ilvl w:val="0"/>
          <w:numId w:val="2"/>
        </w:numPr>
        <w:spacing w:after="40" w:before="40"/>
      </w:pPr>
      <w:r>
        <w:rPr>
          <w:rFonts w:ascii="Arial" w:cs="Arial" w:eastAsia="Arial" w:hAnsi="Arial"/>
          <w:color w:val="17181a"/>
          <w:sz w:val="22"/>
          <w:szCs w:val="22"/>
        </w:rPr>
        <w:t xml:space="preserve">Payment is requested through any channel outside the FlatFinder platform — including bank transfer, wire transfer, cryptocurrency, cash, or third-party payment apps.</w:t>
      </w:r>
    </w:p>
    <w:p>
      <w:pPr>
        <w:pStyle w:val="ListParagraph"/>
        <w:numPr>
          <w:ilvl w:val="0"/>
          <w:numId w:val="2"/>
        </w:numPr>
        <w:spacing w:after="40" w:before="40"/>
      </w:pPr>
      <w:r>
        <w:rPr>
          <w:rFonts w:ascii="Arial" w:cs="Arial" w:eastAsia="Arial" w:hAnsi="Arial"/>
          <w:color w:val="17181a"/>
          <w:sz w:val="22"/>
          <w:szCs w:val="22"/>
        </w:rPr>
        <w:t xml:space="preserve">The listing requests identity documents (passport, SIN, driver's licence, or equivalent) from a prospective tenant before a match is confirmed.</w:t>
      </w:r>
    </w:p>
    <w:p>
      <w:pPr>
        <w:pStyle w:val="ListParagraph"/>
        <w:numPr>
          <w:ilvl w:val="0"/>
          <w:numId w:val="2"/>
        </w:numPr>
        <w:spacing w:after="40" w:before="40"/>
      </w:pPr>
      <w:r>
        <w:rPr>
          <w:rFonts w:ascii="Arial" w:cs="Arial" w:eastAsia="Arial" w:hAnsi="Arial"/>
          <w:color w:val="17181a"/>
          <w:sz w:val="22"/>
          <w:szCs w:val="22"/>
        </w:rPr>
        <w:t xml:space="preserve">The listing or landlord communication is designed to harvest personal data rather than to establish a tenancy — identifiable by requests for data that serve no legitimate rental purpose.</w:t>
      </w:r>
    </w:p>
    <w:p>
      <w:pPr>
        <w:pStyle w:val="ListParagraph"/>
        <w:numPr>
          <w:ilvl w:val="0"/>
          <w:numId w:val="2"/>
        </w:numPr>
        <w:spacing w:after="40" w:before="40"/>
      </w:pPr>
      <w:r>
        <w:rPr>
          <w:rFonts w:ascii="Arial" w:cs="Arial" w:eastAsia="Arial" w:hAnsi="Arial"/>
          <w:color w:val="17181a"/>
          <w:sz w:val="22"/>
          <w:szCs w:val="22"/>
        </w:rPr>
        <w:t xml:space="preserve">The landlord uses the listing or VMC thread to contact tenants for purposes unrelated to the listed property.</w:t>
      </w:r>
    </w:p>
    <w:p>
      <w:pPr>
        <w:pStyle w:val="ListParagraph"/>
        <w:numPr>
          <w:ilvl w:val="0"/>
          <w:numId w:val="2"/>
        </w:numPr>
        <w:spacing w:after="40" w:before="40"/>
      </w:pPr>
      <w:r>
        <w:rPr>
          <w:rFonts w:ascii="Arial" w:cs="Arial" w:eastAsia="Arial" w:hAnsi="Arial"/>
          <w:color w:val="17181a"/>
          <w:sz w:val="22"/>
          <w:szCs w:val="22"/>
        </w:rPr>
        <w:t xml:space="preserve">Multiple listings from the same account, or accounts with shared identifying characteristics, show coordinated phantom listing patterns.</w:t>
      </w:r>
    </w:p>
    <w:p>
      <w:pPr>
        <w:pStyle w:val="Heading2"/>
        <w:pBdr>
          <w:bottom w:val="single" w:color="ddd7cc" w:sz="2" w:space="4"/>
        </w:pBdr>
        <w:spacing w:after="80" w:before="320"/>
      </w:pPr>
      <w:r>
        <w:rPr>
          <w:rFonts w:ascii="Arial" w:cs="Arial" w:eastAsia="Arial" w:hAnsi="Arial"/>
          <w:b/>
          <w:bCs/>
          <w:color w:val="17181a"/>
          <w:sz w:val="28"/>
          <w:szCs w:val="28"/>
        </w:rPr>
        <w:t xml:space="preserve">3.  Enforcement — Discriminatory Listings</w:t>
      </w:r>
    </w:p>
    <w:p>
      <w:pPr>
        <w:pStyle w:val="Heading3"/>
        <w:spacing w:after="60" w:before="220"/>
      </w:pPr>
      <w:r>
        <w:rPr>
          <w:rFonts w:ascii="Arial" w:cs="Arial" w:eastAsia="Arial" w:hAnsi="Arial"/>
          <w:b/>
          <w:bCs/>
          <w:color w:val="1b65a5"/>
          <w:sz w:val="24"/>
          <w:szCs w:val="24"/>
        </w:rPr>
        <w:t xml:space="preserve">3.1  Below automatic-ban threshold</w:t>
      </w:r>
    </w:p>
    <w:p>
      <w:pPr>
        <w:spacing w:after="80" w:before="40"/>
      </w:pPr>
      <w:r>
        <w:rPr>
          <w:rFonts w:ascii="Arial" w:cs="Arial" w:eastAsia="Arial" w:hAnsi="Arial"/>
          <w:b w:val="false"/>
          <w:bCs w:val="false"/>
          <w:i w:val="false"/>
          <w:iCs w:val="false"/>
          <w:color w:val="17181a"/>
          <w:sz w:val="22"/>
          <w:szCs w:val="22"/>
        </w:rPr>
        <w:t xml:space="preserve">A discriminatory listing that is flagged but does not meet the automatic-ban confidence threshold (set by the detection model) is referred to Human Review (FF-CORE-008) for assessment within 24 hours. The listing is suspended pending the outcome. The landlord is notified that the listing is under review but is not told the specific language that triggered the flag, to prevent evasion.</w:t>
      </w:r>
    </w:p>
    <w:p>
      <w:pPr>
        <w:pStyle w:val="Heading3"/>
        <w:spacing w:after="60" w:before="220"/>
      </w:pPr>
      <w:r>
        <w:rPr>
          <w:rFonts w:ascii="Arial" w:cs="Arial" w:eastAsia="Arial" w:hAnsi="Arial"/>
          <w:b/>
          <w:bCs/>
          <w:color w:val="1b65a5"/>
          <w:sz w:val="24"/>
          <w:szCs w:val="24"/>
        </w:rPr>
        <w:t xml:space="preserve">3.2  Above automatic-ban threshold</w:t>
      </w:r>
    </w:p>
    <w:p>
      <w:pPr>
        <w:spacing w:after="80" w:before="40"/>
      </w:pPr>
      <w:r>
        <w:rPr>
          <w:rFonts w:ascii="Arial" w:cs="Arial" w:eastAsia="Arial" w:hAnsi="Arial"/>
          <w:b w:val="false"/>
          <w:bCs w:val="false"/>
          <w:i w:val="false"/>
          <w:iCs w:val="false"/>
          <w:color w:val="17181a"/>
          <w:sz w:val="22"/>
          <w:szCs w:val="22"/>
        </w:rPr>
        <w:t xml:space="preserve">A discriminatory listing that meets or exceeds the automatic-ban confidence threshold results in:</w:t>
      </w:r>
    </w:p>
    <w:p>
      <w:pPr>
        <w:pStyle w:val="ListParagraph"/>
        <w:numPr>
          <w:ilvl w:val="0"/>
          <w:numId w:val="2"/>
        </w:numPr>
        <w:spacing w:after="40" w:before="40"/>
      </w:pPr>
      <w:r>
        <w:rPr>
          <w:rFonts w:ascii="Arial" w:cs="Arial" w:eastAsia="Arial" w:hAnsi="Arial"/>
          <w:color w:val="17181a"/>
          <w:sz w:val="22"/>
          <w:szCs w:val="22"/>
        </w:rPr>
        <w:t xml:space="preserve">Immediate removal of the listing from the platform.</w:t>
      </w:r>
    </w:p>
    <w:p>
      <w:pPr>
        <w:pStyle w:val="ListParagraph"/>
        <w:numPr>
          <w:ilvl w:val="0"/>
          <w:numId w:val="2"/>
        </w:numPr>
        <w:spacing w:after="40" w:before="40"/>
      </w:pPr>
      <w:r>
        <w:rPr>
          <w:rFonts w:ascii="Arial" w:cs="Arial" w:eastAsia="Arial" w:hAnsi="Arial"/>
          <w:color w:val="17181a"/>
          <w:sz w:val="22"/>
          <w:szCs w:val="22"/>
        </w:rPr>
        <w:t xml:space="preserve">Immediate suspension of the landlord's account.</w:t>
      </w:r>
    </w:p>
    <w:p>
      <w:pPr>
        <w:pStyle w:val="ListParagraph"/>
        <w:numPr>
          <w:ilvl w:val="0"/>
          <w:numId w:val="2"/>
        </w:numPr>
        <w:spacing w:after="40" w:before="40"/>
      </w:pPr>
      <w:r>
        <w:rPr>
          <w:rFonts w:ascii="Arial" w:cs="Arial" w:eastAsia="Arial" w:hAnsi="Arial"/>
          <w:color w:val="17181a"/>
          <w:sz w:val="22"/>
          <w:szCs w:val="22"/>
        </w:rPr>
        <w:t xml:space="preserve">The landlord's details are added to the Do Not Fly List. They cannot create a new account on any FlatFinder platform.</w:t>
      </w:r>
    </w:p>
    <w:p>
      <w:pPr>
        <w:pStyle w:val="ListParagraph"/>
        <w:numPr>
          <w:ilvl w:val="0"/>
          <w:numId w:val="2"/>
        </w:numPr>
        <w:spacing w:after="40" w:before="40"/>
      </w:pPr>
      <w:r>
        <w:rPr>
          <w:rFonts w:ascii="Arial" w:cs="Arial" w:eastAsia="Arial" w:hAnsi="Arial"/>
          <w:color w:val="17181a"/>
          <w:sz w:val="22"/>
          <w:szCs w:val="22"/>
        </w:rPr>
        <w:t xml:space="preserve">A mandatory notification is sent to the relevant human rights authority in the landlord's jurisdiction within 5 business days.</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One written appeal is permitted. The appeal must be submitted within 14 days of the ban notification. The appeal is reviewed by a senior FlatFinder reviewer who was not involved in the original detection. The outcome of the appeal is final.</w:t>
      </w:r>
    </w:p>
    <w:p>
      <w:pPr>
        <w:pStyle w:val="Heading2"/>
        <w:pBdr>
          <w:bottom w:val="single" w:color="ddd7cc" w:sz="2" w:space="4"/>
        </w:pBdr>
        <w:spacing w:after="80" w:before="320"/>
      </w:pPr>
      <w:r>
        <w:rPr>
          <w:rFonts w:ascii="Arial" w:cs="Arial" w:eastAsia="Arial" w:hAnsi="Arial"/>
          <w:b/>
          <w:bCs/>
          <w:color w:val="17181a"/>
          <w:sz w:val="28"/>
          <w:szCs w:val="28"/>
        </w:rPr>
        <w:t xml:space="preserve">4.  Enforcement — Predatory Listings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First confirmed detection: immediate permanent ban. No warnings. No grace period. No appeal process. The listing is removed. The account is permanently terminated. The landlord's details are added to the Do Not Fly List.</w:t>
            </w:r>
          </w:p>
        </w:tc>
      </w:tr>
    </w:tbl>
    <w:p>
      <w:pPr>
        <w:spacing w:after="100" w:before="0"/>
      </w:pPr>
      <w:r>
        <w:t xml:space="preserve"/>
      </w:r>
    </w:p>
    <w:p>
      <w:pPr>
        <w:pStyle w:val="ListParagraph"/>
        <w:numPr>
          <w:ilvl w:val="0"/>
          <w:numId w:val="2"/>
        </w:numPr>
        <w:spacing w:after="40" w:before="40"/>
      </w:pPr>
      <w:r>
        <w:rPr>
          <w:rFonts w:ascii="Arial" w:cs="Arial" w:eastAsia="Arial" w:hAnsi="Arial"/>
          <w:color w:val="17181a"/>
          <w:sz w:val="22"/>
          <w:szCs w:val="22"/>
        </w:rPr>
        <w:t xml:space="preserve">A mandatory referral is made to the Royal Canadian Mounted Police (RCMP) Cybercrime unit, or the equivalent law enforcement authority in the jurisdiction of operation, within 24 hours of ban confirmation.</w:t>
      </w:r>
    </w:p>
    <w:p>
      <w:pPr>
        <w:pStyle w:val="ListParagraph"/>
        <w:numPr>
          <w:ilvl w:val="0"/>
          <w:numId w:val="2"/>
        </w:numPr>
        <w:spacing w:after="40" w:before="40"/>
      </w:pPr>
      <w:r>
        <w:rPr>
          <w:rFonts w:ascii="Arial" w:cs="Arial" w:eastAsia="Arial" w:hAnsi="Arial"/>
          <w:color w:val="17181a"/>
          <w:sz w:val="22"/>
          <w:szCs w:val="22"/>
        </w:rPr>
        <w:t xml:space="preserve">The affected tenant or tenants are notified of the listing's predatory classification, returned to the active match pool with priority weighting, and provided with a direct link to FlatFinder's partner legal resource directory.</w:t>
      </w:r>
    </w:p>
    <w:p>
      <w:pPr>
        <w:pStyle w:val="ListParagraph"/>
        <w:numPr>
          <w:ilvl w:val="0"/>
          <w:numId w:val="2"/>
        </w:numPr>
        <w:spacing w:after="40" w:before="40"/>
      </w:pPr>
      <w:r>
        <w:rPr>
          <w:rFonts w:ascii="Arial" w:cs="Arial" w:eastAsia="Arial" w:hAnsi="Arial"/>
          <w:color w:val="17181a"/>
          <w:sz w:val="22"/>
          <w:szCs w:val="22"/>
        </w:rPr>
        <w:t xml:space="preserve">Where a predatory listing has resulted in financial harm to a tenant — a payment made, data compromised, or identity stolen — FlatFinder coordinates with law enforcement and, where applicable, with the tenant's financial institution to support recovery.</w:t>
      </w:r>
    </w:p>
    <w:p>
      <w:pPr>
        <w:pStyle w:val="ListParagraph"/>
        <w:numPr>
          <w:ilvl w:val="0"/>
          <w:numId w:val="2"/>
        </w:numPr>
        <w:spacing w:after="40" w:before="40"/>
      </w:pPr>
      <w:r>
        <w:rPr>
          <w:rFonts w:ascii="Arial" w:cs="Arial" w:eastAsia="Arial" w:hAnsi="Arial"/>
          <w:color w:val="17181a"/>
          <w:sz w:val="22"/>
          <w:szCs w:val="22"/>
        </w:rPr>
        <w:t xml:space="preserve">There is no appeal process for a predatory listing. The classification is final.</w:t>
      </w:r>
    </w:p>
    <w:p>
      <w:pPr>
        <w:pStyle w:val="Heading2"/>
        <w:pBdr>
          <w:bottom w:val="single" w:color="ddd7cc" w:sz="2" w:space="4"/>
        </w:pBdr>
        <w:spacing w:after="80" w:before="320"/>
      </w:pPr>
      <w:r>
        <w:rPr>
          <w:rFonts w:ascii="Arial" w:cs="Arial" w:eastAsia="Arial" w:hAnsi="Arial"/>
          <w:b/>
          <w:bCs/>
          <w:color w:val="17181a"/>
          <w:sz w:val="28"/>
          <w:szCs w:val="28"/>
        </w:rPr>
        <w:t xml:space="preserve">5.  The Do Not Fly List</w:t>
      </w:r>
    </w:p>
    <w:p>
      <w:pPr>
        <w:spacing w:after="80" w:before="40"/>
      </w:pPr>
      <w:r>
        <w:rPr>
          <w:rFonts w:ascii="Arial" w:cs="Arial" w:eastAsia="Arial" w:hAnsi="Arial"/>
          <w:b w:val="false"/>
          <w:bCs w:val="false"/>
          <w:i w:val="false"/>
          <w:iCs w:val="false"/>
          <w:color w:val="17181a"/>
          <w:sz w:val="22"/>
          <w:szCs w:val="22"/>
        </w:rPr>
        <w:t xml:space="preserve">The Do Not Fly List is FlatFinder's internal permanent ban register. It operates as follows:</w:t>
      </w:r>
    </w:p>
    <w:p>
      <w:pPr>
        <w:pStyle w:val="ListParagraph"/>
        <w:numPr>
          <w:ilvl w:val="0"/>
          <w:numId w:val="2"/>
        </w:numPr>
        <w:spacing w:after="40" w:before="40"/>
      </w:pPr>
      <w:r>
        <w:rPr>
          <w:rFonts w:ascii="Arial" w:cs="Arial" w:eastAsia="Arial" w:hAnsi="Arial"/>
          <w:color w:val="17181a"/>
          <w:sz w:val="22"/>
          <w:szCs w:val="22"/>
        </w:rPr>
        <w:t xml:space="preserve">Entries are made automatically on account termination under this section.</w:t>
      </w:r>
    </w:p>
    <w:p>
      <w:pPr>
        <w:pStyle w:val="ListParagraph"/>
        <w:numPr>
          <w:ilvl w:val="0"/>
          <w:numId w:val="2"/>
        </w:numPr>
        <w:spacing w:after="40" w:before="40"/>
      </w:pPr>
      <w:r>
        <w:rPr>
          <w:rFonts w:ascii="Arial" w:cs="Arial" w:eastAsia="Arial" w:hAnsi="Arial"/>
          <w:color w:val="17181a"/>
          <w:sz w:val="22"/>
          <w:szCs w:val="22"/>
        </w:rPr>
        <w:t xml:space="preserve">Entries are matched against new account creation attempts by name, date of birth, government ID, device fingerprint, IP pattern, and payment method. A match blocks the account creation.</w:t>
      </w:r>
    </w:p>
    <w:p>
      <w:pPr>
        <w:pStyle w:val="ListParagraph"/>
        <w:numPr>
          <w:ilvl w:val="0"/>
          <w:numId w:val="2"/>
        </w:numPr>
        <w:spacing w:after="40" w:before="40"/>
      </w:pPr>
      <w:r>
        <w:rPr>
          <w:rFonts w:ascii="Arial" w:cs="Arial" w:eastAsia="Arial" w:hAnsi="Arial"/>
          <w:color w:val="17181a"/>
          <w:sz w:val="22"/>
          <w:szCs w:val="22"/>
        </w:rPr>
        <w:t xml:space="preserve">The list is never published or shared with third parties except law enforcement under valid legal process.</w:t>
      </w:r>
    </w:p>
    <w:p>
      <w:pPr>
        <w:pStyle w:val="ListParagraph"/>
        <w:numPr>
          <w:ilvl w:val="0"/>
          <w:numId w:val="2"/>
        </w:numPr>
        <w:spacing w:after="40" w:before="40"/>
      </w:pPr>
      <w:r>
        <w:rPr>
          <w:rFonts w:ascii="Arial" w:cs="Arial" w:eastAsia="Arial" w:hAnsi="Arial"/>
          <w:color w:val="17181a"/>
          <w:sz w:val="22"/>
          <w:szCs w:val="22"/>
        </w:rPr>
        <w:t xml:space="preserve">An entry on the Do Not Fly List is permanent. There is no expiry. There is no removal process.</w:t>
      </w:r>
    </w:p>
    <w:p>
      <w:pPr>
        <w:pStyle w:val="Heading2"/>
        <w:pBdr>
          <w:bottom w:val="single" w:color="ddd7cc" w:sz="2" w:space="4"/>
        </w:pBdr>
        <w:spacing w:after="80" w:before="320"/>
      </w:pPr>
      <w:r>
        <w:rPr>
          <w:rFonts w:ascii="Arial" w:cs="Arial" w:eastAsia="Arial" w:hAnsi="Arial"/>
          <w:b/>
          <w:bCs/>
          <w:color w:val="17181a"/>
          <w:sz w:val="28"/>
          <w:szCs w:val="28"/>
        </w:rPr>
        <w:t xml:space="preserve">6.  Internal Classification Reference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65a5" w:sz="8"/>
              <w:bottom w:val="none" w:color="FFFFFF" w:sz="0"/>
              <w:right w:val="none" w:color="FFFFFF" w:sz="0"/>
            </w:tcBorders>
            <w:shd w:fill="f0f5fb" w:val="clear"/>
            <w:tcMar>
              <w:top w:type="dxa" w:w="100"/>
              <w:left w:type="dxa" w:w="180"/>
              <w:bottom w:type="dxa" w:w="100"/>
              <w:right w:type="dxa" w:w="180"/>
            </w:tcMar>
          </w:tcPr>
          <w:p>
            <w:r>
              <w:rPr>
                <w:rFonts w:ascii="Arial" w:cs="Arial" w:eastAsia="Arial" w:hAnsi="Arial"/>
                <w:color w:val="17181a"/>
                <w:sz w:val="22"/>
                <w:szCs w:val="22"/>
              </w:rPr>
              <w:t xml:space="preserve">The system flag that fires when a landlord's behaviour patterns match discriminatory gatekeeping is an internal platform classification. Its designation is not visible to renters or landlords. It operates silently. When it fires at the ban threshold, the account is terminated and the listing is removed. When it fires below the ban threshold, the matter is referred to Human Review. Renters are never told the name of the flag. They are told the listing was removed for a platform standards violation.</w:t>
            </w:r>
          </w:p>
        </w:tc>
      </w:tr>
    </w:tbl>
    <w:p>
      <w:pPr>
        <w:spacing w:after="100" w:before="0"/>
      </w:pPr>
      <w:r>
        <w:t xml:space="preserve"/>
      </w:r>
    </w:p>
    <w:p>
      <w:pPr>
        <w:spacing w:after="60" w:before="60"/>
      </w:pPr>
      <w:r>
        <w:rPr>
          <w:rFonts w:ascii="Arial" w:cs="Arial" w:eastAsia="Arial" w:hAnsi="Arial"/>
          <w:i/>
          <w:iCs/>
          <w:color w:val="7a7670"/>
          <w:sz w:val="16"/>
          <w:szCs w:val="16"/>
        </w:rPr>
        <w:t xml:space="preserve">© 2024–2026 Lila Inglis Abegunrin · FlatFinder Inc. · Trademarks and Patents Pending (CIPO) · Proprietary and Confidential</w:t>
      </w:r>
    </w:p>
    <w:p>
      <w:r>
        <w:br w:type="page"/>
      </w:r>
    </w:p>
    <w:p>
      <w:pPr>
        <w:spacing w:after="60" w:before="360"/>
      </w:pPr>
      <w:r>
        <w:rPr>
          <w:rFonts w:ascii="Arial" w:cs="Arial" w:eastAsia="Arial" w:hAnsi="Arial"/>
          <w:b/>
          <w:bCs/>
          <w:caps/>
          <w:color w:val="1b65a5"/>
          <w:spacing w:val="50"/>
          <w:sz w:val="18"/>
          <w:szCs w:val="18"/>
        </w:rPr>
        <w:t xml:space="preserve">FF-CORE-009  ·  Verification  ·  Version 1.0</w:t>
      </w:r>
    </w:p>
    <w:p>
      <w:pPr>
        <w:pBdr>
          <w:bottom w:val="single" w:color="17181a" w:sz="12" w:space="6"/>
        </w:pBdr>
        <w:spacing w:after="40" w:before="0"/>
      </w:pPr>
      <w:r>
        <w:rPr>
          <w:rFonts w:ascii="Arial" w:cs="Arial" w:eastAsia="Arial" w:hAnsi="Arial"/>
          <w:b/>
          <w:bCs/>
          <w:caps/>
          <w:color w:val="7a7670"/>
          <w:spacing w:val="40"/>
          <w:sz w:val="20"/>
          <w:szCs w:val="20"/>
        </w:rPr>
        <w:t xml:space="preserve">FF-CORE-009</w:t>
      </w:r>
      <w:r>
        <w:rPr>
          <w:rFonts w:ascii="Arial" w:cs="Arial" w:eastAsia="Arial" w:hAnsi="Arial"/>
          <w:color w:val="ddd7cc"/>
          <w:sz w:val="20"/>
          <w:szCs w:val="20"/>
        </w:rPr>
        <w:t xml:space="preserve">  —  </w:t>
      </w:r>
      <w:r>
        <w:rPr>
          <w:rFonts w:ascii="Arial" w:cs="Arial" w:eastAsia="Arial" w:hAnsi="Arial"/>
          <w:color w:val="7a7670"/>
          <w:sz w:val="20"/>
          <w:szCs w:val="20"/>
        </w:rPr>
        <w:t xml:space="preserve">Tenant Verification &amp; Financial Standing</w:t>
      </w:r>
    </w:p>
    <w:p>
      <w:pPr>
        <w:spacing w:after="160" w:before="0"/>
      </w:pPr>
      <w:r>
        <w:rPr>
          <w:rFonts w:ascii="Arial" w:cs="Arial" w:eastAsia="Arial" w:hAnsi="Arial"/>
          <w:b/>
          <w:bCs/>
          <w:color w:val="17181a"/>
          <w:sz w:val="56"/>
          <w:szCs w:val="56"/>
        </w:rPr>
        <w:t xml:space="preserve">Tenant Verification &amp; Financial Standing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Status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Live · Version 1.0 · April 2026</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Category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Verification</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Linked PRDs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FF-CORE-010 · FF-CORE-011</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Summary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Six documentation tiers for tenant verification. Bank reserve statements carry the highest evidentiary weight. Credit score is never a matching gate. The system is income-type agnostic by design.</w:t>
            </w:r>
          </w:p>
        </w:tc>
      </w:tr>
    </w:tbl>
    <w:p>
      <w:pPr>
        <w:spacing w:after="2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1.  Founding Principle — Against Proxy Gatekeeping</w:t>
      </w:r>
    </w:p>
    <w:p>
      <w:pPr>
        <w:spacing w:after="80" w:before="40"/>
      </w:pPr>
      <w:r>
        <w:rPr>
          <w:rFonts w:ascii="Arial" w:cs="Arial" w:eastAsia="Arial" w:hAnsi="Arial"/>
          <w:b w:val="false"/>
          <w:bCs w:val="false"/>
          <w:i w:val="false"/>
          <w:iCs w:val="false"/>
          <w:color w:val="17181a"/>
          <w:sz w:val="22"/>
          <w:szCs w:val="22"/>
        </w:rPr>
        <w:t xml:space="preserve">The traditional rental market uses credit score and employment type as the primary gatekeeping tools. Both are proxies for financial reliability, not evidence of it. A retired civil servant with savings, a consistent payment history spanning decades, and zero debt can be rejected by a landlord's credit check because their credit card was closed two years ago. A full-time employee with recurring consumer debt, a missed payment, and no savings can be approved because they have an active credit account.</w:t>
      </w:r>
    </w:p>
    <w:p>
      <w:pPr>
        <w:spacing w:after="80" w:before="40"/>
      </w:pPr>
      <w:r>
        <w:rPr>
          <w:rFonts w:ascii="Arial" w:cs="Arial" w:eastAsia="Arial" w:hAnsi="Arial"/>
          <w:b w:val="false"/>
          <w:bCs w:val="false"/>
          <w:i w:val="false"/>
          <w:iCs w:val="false"/>
          <w:color w:val="17181a"/>
          <w:sz w:val="22"/>
          <w:szCs w:val="22"/>
        </w:rPr>
        <w:t xml:space="preserve">FlatFinder measures actual ability and intent to pay, using actual evidence. Credit score is one optional data point among many. It is never the sole reason a match is refused, and it is never a threshold gate.</w:t>
      </w:r>
    </w:p>
    <w:p>
      <w:pPr>
        <w:spacing w:after="80" w:before="40"/>
      </w:pPr>
      <w:r>
        <w:rPr>
          <w:rFonts w:ascii="Arial" w:cs="Arial" w:eastAsia="Arial" w:hAnsi="Arial"/>
          <w:b w:val="false"/>
          <w:bCs w:val="false"/>
          <w:i w:val="false"/>
          <w:iCs w:val="false"/>
          <w:color w:val="17181a"/>
          <w:sz w:val="22"/>
          <w:szCs w:val="22"/>
        </w:rPr>
        <w:t xml:space="preserve">This is not a policy choice. It is a design principle derived from the founding proof point: if the person who built the filter gets caught by the proxy gatekeeping system, everyone who doesn't understand how credit scoring works never had a chance.</w:t>
      </w:r>
    </w:p>
    <w:p>
      <w:pPr>
        <w:pStyle w:val="Heading2"/>
        <w:pBdr>
          <w:bottom w:val="single" w:color="ddd7cc" w:sz="2" w:space="4"/>
        </w:pBdr>
        <w:spacing w:after="80" w:before="320"/>
      </w:pPr>
      <w:r>
        <w:rPr>
          <w:rFonts w:ascii="Arial" w:cs="Arial" w:eastAsia="Arial" w:hAnsi="Arial"/>
          <w:b/>
          <w:bCs/>
          <w:color w:val="17181a"/>
          <w:sz w:val="28"/>
          <w:szCs w:val="28"/>
        </w:rPr>
        <w:t xml:space="preserve">2.  Standing Commitment — Lateral Thinking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65a5" w:sz="8"/>
              <w:bottom w:val="none" w:color="FFFFFF" w:sz="0"/>
              <w:right w:val="none" w:color="FFFFFF" w:sz="0"/>
            </w:tcBorders>
            <w:shd w:fill="f0f5fb" w:val="clear"/>
            <w:tcMar>
              <w:top w:type="dxa" w:w="100"/>
              <w:left w:type="dxa" w:w="180"/>
              <w:bottom w:type="dxa" w:w="100"/>
              <w:right w:type="dxa" w:w="180"/>
            </w:tcMar>
          </w:tcPr>
          <w:p>
            <w:r>
              <w:rPr>
                <w:rFonts w:ascii="Arial" w:cs="Arial" w:eastAsia="Arial" w:hAnsi="Arial"/>
                <w:color w:val="17181a"/>
                <w:sz w:val="22"/>
                <w:szCs w:val="22"/>
              </w:rPr>
              <w:t xml:space="preserve">Before any verification rule is enforced, the platform asks: is there a legitimate tenant whose circumstances would cause this rule to incorrectly exclude them? If the answer is yes, the rule must be amended before enforcement. This commitment applies to every section of this PRD. It is not a one-time check. It is a standing obligation that applies to every future amendment.</w:t>
            </w:r>
          </w:p>
        </w:tc>
      </w:tr>
    </w:tbl>
    <w:p>
      <w:pPr>
        <w:pStyle w:val="Heading2"/>
        <w:pBdr>
          <w:bottom w:val="single" w:color="ddd7cc" w:sz="2" w:space="4"/>
        </w:pBdr>
        <w:spacing w:after="80" w:before="320"/>
      </w:pPr>
      <w:r>
        <w:rPr>
          <w:rFonts w:ascii="Arial" w:cs="Arial" w:eastAsia="Arial" w:hAnsi="Arial"/>
          <w:b/>
          <w:bCs/>
          <w:color w:val="17181a"/>
          <w:sz w:val="28"/>
          <w:szCs w:val="28"/>
        </w:rPr>
        <w:t xml:space="preserve">3.  The Six Documentation Tiers</w:t>
      </w:r>
    </w:p>
    <w:p>
      <w:pPr>
        <w:spacing w:after="80" w:before="40"/>
      </w:pPr>
      <w:r>
        <w:rPr>
          <w:rFonts w:ascii="Arial" w:cs="Arial" w:eastAsia="Arial" w:hAnsi="Arial"/>
          <w:b w:val="false"/>
          <w:bCs w:val="false"/>
          <w:i w:val="false"/>
          <w:iCs w:val="false"/>
          <w:color w:val="17181a"/>
          <w:sz w:val="22"/>
          <w:szCs w:val="22"/>
        </w:rPr>
        <w:t xml:space="preserve">Tenants self-select their tier based on their circumstances. The platform does not assign tiers. All tiers are treated as equally valid pathways to verification. A Tier 1 tenant and a Tier 6 tenant are presented to the matching algorithm without any tier weighting visible to the landlord.</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Tier 1 — Bank Reserve Statements (Highest Evidentiary Weight)</w:t>
      </w:r>
    </w:p>
    <w:p>
      <w:pPr>
        <w:spacing w:after="80" w:before="40"/>
      </w:pPr>
      <w:r>
        <w:rPr>
          <w:rFonts w:ascii="Arial" w:cs="Arial" w:eastAsia="Arial" w:hAnsi="Arial"/>
          <w:b w:val="false"/>
          <w:bCs w:val="false"/>
          <w:i w:val="false"/>
          <w:iCs w:val="false"/>
          <w:color w:val="17181a"/>
          <w:sz w:val="22"/>
          <w:szCs w:val="22"/>
        </w:rPr>
        <w:t xml:space="preserve">Three consecutive months of bank statements from a current account held in the tenant's name, showing a reserve balance that represents a minimum ratio of 6:1 against the monthly rent of the property being sought.</w:t>
      </w:r>
    </w:p>
    <w:p>
      <w:pPr>
        <w:spacing w:after="80" w:before="40"/>
      </w:pPr>
      <w:r>
        <w:rPr>
          <w:rFonts w:ascii="Arial" w:cs="Arial" w:eastAsia="Arial" w:hAnsi="Arial"/>
          <w:b w:val="false"/>
          <w:bCs w:val="false"/>
          <w:i w:val="false"/>
          <w:iCs w:val="false"/>
          <w:color w:val="17181a"/>
          <w:sz w:val="22"/>
          <w:szCs w:val="22"/>
        </w:rPr>
        <w:t xml:space="preserve">For example: a tenant seeking a property at CAD $2,000/month must demonstrate a reserve balance of CAD $12,000 or above, maintained consistently across all three statement months. A reserve that appears in one month and not the others does not qualify.</w:t>
      </w:r>
    </w:p>
    <w:p>
      <w:pPr>
        <w:spacing w:after="80" w:before="40"/>
      </w:pPr>
      <w:r>
        <w:rPr>
          <w:rFonts w:ascii="Arial" w:cs="Arial" w:eastAsia="Arial" w:hAnsi="Arial"/>
          <w:b w:val="false"/>
          <w:bCs w:val="false"/>
          <w:i w:val="false"/>
          <w:iCs w:val="false"/>
          <w:color w:val="17181a"/>
          <w:sz w:val="22"/>
          <w:szCs w:val="22"/>
        </w:rPr>
        <w:t xml:space="preserve">Tier 1 carries the highest evidentiary weight on the platform because liquid reserves represent the most direct, most verifiable evidence that a tenant can sustain a tenancy regardless of income variability. A tenant with six months of rent in reserve is, by any practical measure, a lower financial risk than a tenant with three times the rent in monthly employment income but no savings.</w:t>
      </w:r>
    </w:p>
    <w:p>
      <w:pPr>
        <w:spacing w:after="80" w:before="40"/>
      </w:pPr>
      <w:r>
        <w:rPr>
          <w:rFonts w:ascii="Arial" w:cs="Arial" w:eastAsia="Arial" w:hAnsi="Arial"/>
          <w:b w:val="false"/>
          <w:bCs w:val="false"/>
          <w:i w:val="false"/>
          <w:iCs w:val="false"/>
          <w:color w:val="17181a"/>
          <w:sz w:val="22"/>
          <w:szCs w:val="22"/>
        </w:rPr>
        <w:t xml:space="preserve">Accepted statement formats: PDF statements downloaded directly from the bank's online banking portal. Screenshots are not accepted. Physical statements photographed and uploaded are accepted provided all account details, dates, and balances are legible.</w:t>
      </w:r>
    </w:p>
    <w:p>
      <w:pPr>
        <w:pStyle w:val="Heading3"/>
        <w:spacing w:after="60" w:before="220"/>
      </w:pPr>
      <w:r>
        <w:rPr>
          <w:rFonts w:ascii="Arial" w:cs="Arial" w:eastAsia="Arial" w:hAnsi="Arial"/>
          <w:b/>
          <w:bCs/>
          <w:color w:val="1b65a5"/>
          <w:sz w:val="24"/>
          <w:szCs w:val="24"/>
        </w:rPr>
        <w:t xml:space="preserve">Tier 2 — Employment Income</w:t>
      </w:r>
    </w:p>
    <w:p>
      <w:pPr>
        <w:spacing w:after="80" w:before="40"/>
      </w:pPr>
      <w:r>
        <w:rPr>
          <w:rFonts w:ascii="Arial" w:cs="Arial" w:eastAsia="Arial" w:hAnsi="Arial"/>
          <w:b w:val="false"/>
          <w:bCs w:val="false"/>
          <w:i w:val="false"/>
          <w:iCs w:val="false"/>
          <w:color w:val="17181a"/>
          <w:sz w:val="22"/>
          <w:szCs w:val="22"/>
        </w:rPr>
        <w:t xml:space="preserve">A current employment contract or a letter of employment issued within 90 days on the employer's letterhead, signed by an authorised HR representative or equivalent, stating: the tenant's name, job title, employment type (permanent, fixed-term, or contract), the commencement date of employment, and the gross annual or monthly salary.</w:t>
      </w:r>
    </w:p>
    <w:p>
      <w:pPr>
        <w:spacing w:after="80" w:before="40"/>
      </w:pPr>
      <w:r>
        <w:rPr>
          <w:rFonts w:ascii="Arial" w:cs="Arial" w:eastAsia="Arial" w:hAnsi="Arial"/>
          <w:b w:val="false"/>
          <w:bCs w:val="false"/>
          <w:i w:val="false"/>
          <w:iCs w:val="false"/>
          <w:color w:val="17181a"/>
          <w:sz w:val="22"/>
          <w:szCs w:val="22"/>
        </w:rPr>
        <w:t xml:space="preserve">Plus: two consecutive months of payslips or payroll deposit records demonstrating that the stated salary is actually being paid, in the stated amount, to the tenant's account.</w:t>
      </w:r>
    </w:p>
    <w:p>
      <w:pPr>
        <w:spacing w:after="80" w:before="40"/>
      </w:pPr>
      <w:r>
        <w:rPr>
          <w:rFonts w:ascii="Arial" w:cs="Arial" w:eastAsia="Arial" w:hAnsi="Arial"/>
          <w:b w:val="false"/>
          <w:bCs w:val="false"/>
          <w:i w:val="false"/>
          <w:iCs w:val="false"/>
          <w:color w:val="17181a"/>
          <w:sz w:val="22"/>
          <w:szCs w:val="22"/>
        </w:rPr>
        <w:t xml:space="preserve">Affordability under Tier 2 is assessed at 40% of net monthly income — not at 3x gross monthly rent. The 3x rent rule is a landlord heuristic derived from mortgage lending and has no validity as a rental affordability measure. A tenant earning CAD $4,000/month net qualifies for any property with a monthly rent of CAD $1,600 or below.</w:t>
      </w:r>
    </w:p>
    <w:p>
      <w:pPr>
        <w:pStyle w:val="Heading3"/>
        <w:spacing w:after="60" w:before="220"/>
      </w:pPr>
      <w:r>
        <w:rPr>
          <w:rFonts w:ascii="Arial" w:cs="Arial" w:eastAsia="Arial" w:hAnsi="Arial"/>
          <w:b/>
          <w:bCs/>
          <w:color w:val="1b65a5"/>
          <w:sz w:val="24"/>
          <w:szCs w:val="24"/>
        </w:rPr>
        <w:t xml:space="preserve">Tier 3 — Self-Employment Income</w:t>
      </w:r>
    </w:p>
    <w:p>
      <w:pPr>
        <w:spacing w:after="80" w:before="40"/>
      </w:pPr>
      <w:r>
        <w:rPr>
          <w:rFonts w:ascii="Arial" w:cs="Arial" w:eastAsia="Arial" w:hAnsi="Arial"/>
          <w:b w:val="false"/>
          <w:bCs w:val="false"/>
          <w:i w:val="false"/>
          <w:iCs w:val="false"/>
          <w:color w:val="17181a"/>
          <w:sz w:val="22"/>
          <w:szCs w:val="22"/>
        </w:rPr>
        <w:t xml:space="preserve">Two years of Notice of Assessment (NOA) documents from the Canada Revenue Agency (CRA), or equivalent tax authority documents in the relevant jurisdiction, confirming the tenant's declared net income for each year.</w:t>
      </w:r>
    </w:p>
    <w:p>
      <w:pPr>
        <w:spacing w:after="80" w:before="40"/>
      </w:pPr>
      <w:r>
        <w:rPr>
          <w:rFonts w:ascii="Arial" w:cs="Arial" w:eastAsia="Arial" w:hAnsi="Arial"/>
          <w:b w:val="false"/>
          <w:bCs w:val="false"/>
          <w:i w:val="false"/>
          <w:iCs w:val="false"/>
          <w:color w:val="17181a"/>
          <w:sz w:val="22"/>
          <w:szCs w:val="22"/>
        </w:rPr>
        <w:t xml:space="preserve">Plus: a letter from a qualified accountant (CPA designation or equivalent), issued within 90 days, confirming:</w:t>
      </w:r>
    </w:p>
    <w:p>
      <w:pPr>
        <w:pStyle w:val="ListParagraph"/>
        <w:numPr>
          <w:ilvl w:val="0"/>
          <w:numId w:val="2"/>
        </w:numPr>
        <w:spacing w:after="40" w:before="40"/>
      </w:pPr>
      <w:r>
        <w:rPr>
          <w:rFonts w:ascii="Arial" w:cs="Arial" w:eastAsia="Arial" w:hAnsi="Arial"/>
          <w:color w:val="17181a"/>
          <w:sz w:val="22"/>
          <w:szCs w:val="22"/>
        </w:rPr>
        <w:t xml:space="preserve">The tenant's current trading status (active, and not under any insolvency, restructuring, or creditor arrangement).</w:t>
      </w:r>
    </w:p>
    <w:p>
      <w:pPr>
        <w:pStyle w:val="ListParagraph"/>
        <w:numPr>
          <w:ilvl w:val="0"/>
          <w:numId w:val="2"/>
        </w:numPr>
        <w:spacing w:after="40" w:before="40"/>
      </w:pPr>
      <w:r>
        <w:rPr>
          <w:rFonts w:ascii="Arial" w:cs="Arial" w:eastAsia="Arial" w:hAnsi="Arial"/>
          <w:color w:val="17181a"/>
          <w:sz w:val="22"/>
          <w:szCs w:val="22"/>
        </w:rPr>
        <w:t xml:space="preserve">The accountant's professional opinion of the tenant's current income on an annualised basis.</w:t>
      </w:r>
    </w:p>
    <w:p>
      <w:pPr>
        <w:pStyle w:val="ListParagraph"/>
        <w:numPr>
          <w:ilvl w:val="0"/>
          <w:numId w:val="2"/>
        </w:numPr>
        <w:spacing w:after="40" w:before="40"/>
      </w:pPr>
      <w:r>
        <w:rPr>
          <w:rFonts w:ascii="Arial" w:cs="Arial" w:eastAsia="Arial" w:hAnsi="Arial"/>
          <w:color w:val="17181a"/>
          <w:sz w:val="22"/>
          <w:szCs w:val="22"/>
        </w:rPr>
        <w:t xml:space="preserve">The accountant's licence number and professional registration.</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A single strong year following a difficult year is assessed in context, not in isolation. The platform's assessment model weights trend over peak. A tenant whose income grew from CAD $40,000 to CAD $65,000 over two years is assessed more favourably than a tenant whose income was CAD $70,000 one year and CAD $30,000 the next.</w:t>
      </w:r>
    </w:p>
    <w:p>
      <w:pPr>
        <w:pStyle w:val="Heading3"/>
        <w:spacing w:after="60" w:before="220"/>
      </w:pPr>
      <w:r>
        <w:rPr>
          <w:rFonts w:ascii="Arial" w:cs="Arial" w:eastAsia="Arial" w:hAnsi="Arial"/>
          <w:b/>
          <w:bCs/>
          <w:color w:val="1b65a5"/>
          <w:sz w:val="24"/>
          <w:szCs w:val="24"/>
        </w:rPr>
        <w:t xml:space="preserve">Tier 4 — Pension or Fixed Income</w:t>
      </w:r>
    </w:p>
    <w:p>
      <w:pPr>
        <w:spacing w:after="80" w:before="40"/>
      </w:pPr>
      <w:r>
        <w:rPr>
          <w:rFonts w:ascii="Arial" w:cs="Arial" w:eastAsia="Arial" w:hAnsi="Arial"/>
          <w:b w:val="false"/>
          <w:bCs w:val="false"/>
          <w:i w:val="false"/>
          <w:iCs w:val="false"/>
          <w:color w:val="17181a"/>
          <w:sz w:val="22"/>
          <w:szCs w:val="22"/>
        </w:rPr>
        <w:t xml:space="preserve">A current pension statement, government benefit letter, or annuity confirmation document issued within 12 months, confirming:</w:t>
      </w:r>
    </w:p>
    <w:p>
      <w:pPr>
        <w:pStyle w:val="ListParagraph"/>
        <w:numPr>
          <w:ilvl w:val="0"/>
          <w:numId w:val="2"/>
        </w:numPr>
        <w:spacing w:after="40" w:before="40"/>
      </w:pPr>
      <w:r>
        <w:rPr>
          <w:rFonts w:ascii="Arial" w:cs="Arial" w:eastAsia="Arial" w:hAnsi="Arial"/>
          <w:color w:val="17181a"/>
          <w:sz w:val="22"/>
          <w:szCs w:val="22"/>
        </w:rPr>
        <w:t xml:space="preserve">The pension or benefit amount per month.</w:t>
      </w:r>
    </w:p>
    <w:p>
      <w:pPr>
        <w:pStyle w:val="ListParagraph"/>
        <w:numPr>
          <w:ilvl w:val="0"/>
          <w:numId w:val="2"/>
        </w:numPr>
        <w:spacing w:after="40" w:before="40"/>
      </w:pPr>
      <w:r>
        <w:rPr>
          <w:rFonts w:ascii="Arial" w:cs="Arial" w:eastAsia="Arial" w:hAnsi="Arial"/>
          <w:color w:val="17181a"/>
          <w:sz w:val="22"/>
          <w:szCs w:val="22"/>
        </w:rPr>
        <w:t xml:space="preserve">The income source (federal, provincial, employer, or private).</w:t>
      </w:r>
    </w:p>
    <w:p>
      <w:pPr>
        <w:pStyle w:val="ListParagraph"/>
        <w:numPr>
          <w:ilvl w:val="0"/>
          <w:numId w:val="2"/>
        </w:numPr>
        <w:spacing w:after="40" w:before="40"/>
      </w:pPr>
      <w:r>
        <w:rPr>
          <w:rFonts w:ascii="Arial" w:cs="Arial" w:eastAsia="Arial" w:hAnsi="Arial"/>
          <w:color w:val="17181a"/>
          <w:sz w:val="22"/>
          <w:szCs w:val="22"/>
        </w:rPr>
        <w:t xml:space="preserve">The scheduled end date of the income, if any. Open-ended or lifetime pensions require no end date.</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Fixed income tenants — pensioners, CPP/OAS recipients, disability benefit recipients — have by definition the most predictable and most verifiable income stream on the platform. Their income does not vary with market conditions, employer decisions, or business cycles. Tier 4 carries strong evidentiary weight precisely because of this predictability.</w:t>
      </w:r>
    </w:p>
    <w:p>
      <w:pPr>
        <w:pStyle w:val="Heading3"/>
        <w:spacing w:after="60" w:before="220"/>
      </w:pPr>
      <w:r>
        <w:rPr>
          <w:rFonts w:ascii="Arial" w:cs="Arial" w:eastAsia="Arial" w:hAnsi="Arial"/>
          <w:b/>
          <w:bCs/>
          <w:color w:val="1b65a5"/>
          <w:sz w:val="24"/>
          <w:szCs w:val="24"/>
        </w:rPr>
        <w:t xml:space="preserve">Tier 5 — Investment or Passive Income</w:t>
      </w:r>
    </w:p>
    <w:p>
      <w:pPr>
        <w:spacing w:after="80" w:before="40"/>
      </w:pPr>
      <w:r>
        <w:rPr>
          <w:rFonts w:ascii="Arial" w:cs="Arial" w:eastAsia="Arial" w:hAnsi="Arial"/>
          <w:b w:val="false"/>
          <w:bCs w:val="false"/>
          <w:i w:val="false"/>
          <w:iCs w:val="false"/>
          <w:color w:val="17181a"/>
          <w:sz w:val="22"/>
          <w:szCs w:val="22"/>
        </w:rPr>
        <w:t xml:space="preserve">Investment account statements, dividend records, rental income records, or royalty statements demonstrating consistent receipt of passive income over a minimum of 12 consecutive months. The 12-month minimum is required because passive income can be irregular, and a single high-income month is not representative.</w:t>
      </w:r>
    </w:p>
    <w:p>
      <w:pPr>
        <w:spacing w:after="80" w:before="40"/>
      </w:pPr>
      <w:r>
        <w:rPr>
          <w:rFonts w:ascii="Arial" w:cs="Arial" w:eastAsia="Arial" w:hAnsi="Arial"/>
          <w:b w:val="false"/>
          <w:bCs w:val="false"/>
          <w:i w:val="false"/>
          <w:iCs w:val="false"/>
          <w:color w:val="17181a"/>
          <w:sz w:val="22"/>
          <w:szCs w:val="22"/>
        </w:rPr>
        <w:t xml:space="preserve">Where the income is rental income from other properties the tenant owns, proof of ownership (land title or equivalent) is required alongside the income records.</w:t>
      </w:r>
    </w:p>
    <w:p>
      <w:pPr>
        <w:spacing w:after="80" w:before="40"/>
      </w:pPr>
      <w:r>
        <w:rPr>
          <w:rFonts w:ascii="Arial" w:cs="Arial" w:eastAsia="Arial" w:hAnsi="Arial"/>
          <w:b w:val="false"/>
          <w:bCs w:val="false"/>
          <w:i w:val="false"/>
          <w:iCs w:val="false"/>
          <w:color w:val="17181a"/>
          <w:sz w:val="22"/>
          <w:szCs w:val="22"/>
        </w:rPr>
        <w:t xml:space="preserve">Income from active trading (e.g. day trading, frequent buying and selling of securities) is not assessed as passive income under this tier.</w:t>
      </w:r>
    </w:p>
    <w:p>
      <w:pPr>
        <w:pStyle w:val="Heading3"/>
        <w:spacing w:after="60" w:before="220"/>
      </w:pPr>
      <w:r>
        <w:rPr>
          <w:rFonts w:ascii="Arial" w:cs="Arial" w:eastAsia="Arial" w:hAnsi="Arial"/>
          <w:b/>
          <w:bCs/>
          <w:color w:val="1b65a5"/>
          <w:sz w:val="24"/>
          <w:szCs w:val="24"/>
        </w:rPr>
        <w:t xml:space="preserve">Tier 6 — Alternative Documentation</w:t>
      </w:r>
    </w:p>
    <w:p>
      <w:pPr>
        <w:spacing w:after="80" w:before="40"/>
      </w:pPr>
      <w:r>
        <w:rPr>
          <w:rFonts w:ascii="Arial" w:cs="Arial" w:eastAsia="Arial" w:hAnsi="Arial"/>
          <w:b w:val="false"/>
          <w:bCs w:val="false"/>
          <w:i w:val="false"/>
          <w:iCs w:val="false"/>
          <w:color w:val="17181a"/>
          <w:sz w:val="22"/>
          <w:szCs w:val="22"/>
        </w:rPr>
        <w:t xml:space="preserve">Tier 6 exists for tenants whose legitimate circumstances do not fit any of the above categories. Examples include:</w:t>
      </w:r>
    </w:p>
    <w:p>
      <w:pPr>
        <w:pStyle w:val="ListParagraph"/>
        <w:numPr>
          <w:ilvl w:val="0"/>
          <w:numId w:val="2"/>
        </w:numPr>
        <w:spacing w:after="40" w:before="40"/>
      </w:pPr>
      <w:r>
        <w:rPr>
          <w:rFonts w:ascii="Arial" w:cs="Arial" w:eastAsia="Arial" w:hAnsi="Arial"/>
          <w:color w:val="17181a"/>
          <w:sz w:val="22"/>
          <w:szCs w:val="22"/>
        </w:rPr>
        <w:t xml:space="preserve">Recent arrivals to Canada who do not yet have a Canadian credit or banking history.</w:t>
      </w:r>
    </w:p>
    <w:p>
      <w:pPr>
        <w:pStyle w:val="ListParagraph"/>
        <w:numPr>
          <w:ilvl w:val="0"/>
          <w:numId w:val="2"/>
        </w:numPr>
        <w:spacing w:after="40" w:before="40"/>
      </w:pPr>
      <w:r>
        <w:rPr>
          <w:rFonts w:ascii="Arial" w:cs="Arial" w:eastAsia="Arial" w:hAnsi="Arial"/>
          <w:color w:val="17181a"/>
          <w:sz w:val="22"/>
          <w:szCs w:val="22"/>
        </w:rPr>
        <w:t xml:space="preserve">Tenants who have experienced a significant life event (death of a spouse, divorce, medical crisis) that disrupted their financial documentation continuity.</w:t>
      </w:r>
    </w:p>
    <w:p>
      <w:pPr>
        <w:pStyle w:val="ListParagraph"/>
        <w:numPr>
          <w:ilvl w:val="0"/>
          <w:numId w:val="2"/>
        </w:numPr>
        <w:spacing w:after="40" w:before="40"/>
      </w:pPr>
      <w:r>
        <w:rPr>
          <w:rFonts w:ascii="Arial" w:cs="Arial" w:eastAsia="Arial" w:hAnsi="Arial"/>
          <w:color w:val="17181a"/>
          <w:sz w:val="22"/>
          <w:szCs w:val="22"/>
        </w:rPr>
        <w:t xml:space="preserve">Tenants whose income is informal but consistent and verifiable — for example, domestic workers paid in cash, where bank records show consistent deposits.</w:t>
      </w:r>
    </w:p>
    <w:p>
      <w:pPr>
        <w:pStyle w:val="ListParagraph"/>
        <w:numPr>
          <w:ilvl w:val="0"/>
          <w:numId w:val="2"/>
        </w:numPr>
        <w:spacing w:after="40" w:before="40"/>
      </w:pPr>
      <w:r>
        <w:rPr>
          <w:rFonts w:ascii="Arial" w:cs="Arial" w:eastAsia="Arial" w:hAnsi="Arial"/>
          <w:color w:val="17181a"/>
          <w:sz w:val="22"/>
          <w:szCs w:val="22"/>
        </w:rPr>
        <w:t xml:space="preserve">Tenants in a period of financial transition between documented income sources.</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Tier 6 documentation is assessed on a case-by-case basis by the Human Review team (FF-CORE-008). The default disposition is to find a path to verification, not to reject. A reviewer who cannot find a verification pathway escalates to a senior reviewer. Rejection requires sign-off from a senior reviewer and a documented explanation.</w:t>
      </w:r>
    </w:p>
    <w:p>
      <w:pPr>
        <w:pStyle w:val="Heading2"/>
        <w:pBdr>
          <w:bottom w:val="single" w:color="ddd7cc" w:sz="2" w:space="4"/>
        </w:pBdr>
        <w:spacing w:after="80" w:before="320"/>
      </w:pPr>
      <w:r>
        <w:rPr>
          <w:rFonts w:ascii="Arial" w:cs="Arial" w:eastAsia="Arial" w:hAnsi="Arial"/>
          <w:b/>
          <w:bCs/>
          <w:color w:val="17181a"/>
          <w:sz w:val="28"/>
          <w:szCs w:val="28"/>
        </w:rPr>
        <w:t xml:space="preserve">4.  What Is Never Permitted in Tenant Verification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The following are prohibited in all tenant verification processes on this platform, without exception and without override.</w:t>
            </w:r>
          </w:p>
        </w:tc>
      </w:tr>
    </w:tbl>
    <w:p>
      <w:pPr>
        <w:spacing w:after="100" w:before="0"/>
      </w:pPr>
      <w:r>
        <w:t xml:space="preserve"/>
      </w:r>
    </w:p>
    <w:p>
      <w:pPr>
        <w:pStyle w:val="ListParagraph"/>
        <w:numPr>
          <w:ilvl w:val="0"/>
          <w:numId w:val="2"/>
        </w:numPr>
        <w:spacing w:after="40" w:before="40"/>
      </w:pPr>
      <w:r>
        <w:rPr>
          <w:rFonts w:ascii="Arial" w:cs="Arial" w:eastAsia="Arial" w:hAnsi="Arial"/>
          <w:color w:val="17181a"/>
          <w:sz w:val="22"/>
          <w:szCs w:val="22"/>
        </w:rPr>
        <w:t xml:space="preserve">Rejecting a tenant on the basis of credit score alone, or using credit score as a threshold gate.</w:t>
      </w:r>
    </w:p>
    <w:p>
      <w:pPr>
        <w:pStyle w:val="ListParagraph"/>
        <w:numPr>
          <w:ilvl w:val="0"/>
          <w:numId w:val="2"/>
        </w:numPr>
        <w:spacing w:after="40" w:before="40"/>
      </w:pPr>
      <w:r>
        <w:rPr>
          <w:rFonts w:ascii="Arial" w:cs="Arial" w:eastAsia="Arial" w:hAnsi="Arial"/>
          <w:color w:val="17181a"/>
          <w:sz w:val="22"/>
          <w:szCs w:val="22"/>
        </w:rPr>
        <w:t xml:space="preserve">Requiring a tenant to provide documentation beyond what their chosen tier specifies.</w:t>
      </w:r>
    </w:p>
    <w:p>
      <w:pPr>
        <w:pStyle w:val="ListParagraph"/>
        <w:numPr>
          <w:ilvl w:val="0"/>
          <w:numId w:val="2"/>
        </w:numPr>
        <w:spacing w:after="40" w:before="40"/>
      </w:pPr>
      <w:r>
        <w:rPr>
          <w:rFonts w:ascii="Arial" w:cs="Arial" w:eastAsia="Arial" w:hAnsi="Arial"/>
          <w:color w:val="17181a"/>
          <w:sz w:val="22"/>
          <w:szCs w:val="22"/>
        </w:rPr>
        <w:t xml:space="preserve">Using the tenant's income source as a proxy for income reliability in the absence of actual evidence about that specific tenant's reliability.</w:t>
      </w:r>
    </w:p>
    <w:p>
      <w:pPr>
        <w:pStyle w:val="ListParagraph"/>
        <w:numPr>
          <w:ilvl w:val="0"/>
          <w:numId w:val="2"/>
        </w:numPr>
        <w:spacing w:after="40" w:before="40"/>
      </w:pPr>
      <w:r>
        <w:rPr>
          <w:rFonts w:ascii="Arial" w:cs="Arial" w:eastAsia="Arial" w:hAnsi="Arial"/>
          <w:color w:val="17181a"/>
          <w:sz w:val="22"/>
          <w:szCs w:val="22"/>
        </w:rPr>
        <w:t xml:space="preserve">Requesting a SIN (Social Insurance Number) at any stage of the tenant verification process. SIN is not required for rental verification.</w:t>
      </w:r>
    </w:p>
    <w:p>
      <w:pPr>
        <w:pStyle w:val="ListParagraph"/>
        <w:numPr>
          <w:ilvl w:val="0"/>
          <w:numId w:val="2"/>
        </w:numPr>
        <w:spacing w:after="40" w:before="40"/>
      </w:pPr>
      <w:r>
        <w:rPr>
          <w:rFonts w:ascii="Arial" w:cs="Arial" w:eastAsia="Arial" w:hAnsi="Arial"/>
          <w:color w:val="17181a"/>
          <w:sz w:val="22"/>
          <w:szCs w:val="22"/>
        </w:rPr>
        <w:t xml:space="preserve">Requesting identity documents (passport, driver's licence, or equivalent) before a match is confirmed.</w:t>
      </w:r>
    </w:p>
    <w:p>
      <w:pPr>
        <w:pStyle w:val="ListParagraph"/>
        <w:numPr>
          <w:ilvl w:val="0"/>
          <w:numId w:val="2"/>
        </w:numPr>
        <w:spacing w:after="40" w:before="40"/>
      </w:pPr>
      <w:r>
        <w:rPr>
          <w:rFonts w:ascii="Arial" w:cs="Arial" w:eastAsia="Arial" w:hAnsi="Arial"/>
          <w:color w:val="17181a"/>
          <w:sz w:val="22"/>
          <w:szCs w:val="22"/>
        </w:rPr>
        <w:t xml:space="preserve">Requiring a guarantor solely on the basis of income source, property type, or any characteristic covered by human rights legislation.</w:t>
      </w:r>
    </w:p>
    <w:p>
      <w:pPr>
        <w:pStyle w:val="ListParagraph"/>
        <w:numPr>
          <w:ilvl w:val="0"/>
          <w:numId w:val="2"/>
        </w:numPr>
        <w:spacing w:after="40" w:before="40"/>
      </w:pPr>
      <w:r>
        <w:rPr>
          <w:rFonts w:ascii="Arial" w:cs="Arial" w:eastAsia="Arial" w:hAnsi="Arial"/>
          <w:color w:val="17181a"/>
          <w:sz w:val="22"/>
          <w:szCs w:val="22"/>
        </w:rPr>
        <w:t xml:space="preserve">Applying a higher affordability threshold to tenants who are in receipt of social assistance or government benefit than to tenants on employment income, where both demonstrate equivalent reserve or income capacity.</w:t>
      </w:r>
    </w:p>
    <w:p>
      <w:pPr>
        <w:spacing w:after="100" w:before="0"/>
      </w:pPr>
      <w:r>
        <w:t xml:space="preserve"/>
      </w:r>
    </w:p>
    <w:p>
      <w:pPr>
        <w:spacing w:after="60" w:before="60"/>
      </w:pPr>
      <w:r>
        <w:rPr>
          <w:rFonts w:ascii="Arial" w:cs="Arial" w:eastAsia="Arial" w:hAnsi="Arial"/>
          <w:i/>
          <w:iCs/>
          <w:color w:val="7a7670"/>
          <w:sz w:val="16"/>
          <w:szCs w:val="16"/>
        </w:rPr>
        <w:t xml:space="preserve">© 2024–2026 Lila Inglis Abegunrin · FlatFinder Inc. · Trademarks and Patents Pending (CIPO) · Proprietary and Confidential</w:t>
      </w:r>
    </w:p>
    <w:p>
      <w:r>
        <w:br w:type="page"/>
      </w:r>
    </w:p>
    <w:p>
      <w:pPr>
        <w:spacing w:after="60" w:before="360"/>
      </w:pPr>
      <w:r>
        <w:rPr>
          <w:rFonts w:ascii="Arial" w:cs="Arial" w:eastAsia="Arial" w:hAnsi="Arial"/>
          <w:b/>
          <w:bCs/>
          <w:caps/>
          <w:color w:val="1b65a5"/>
          <w:spacing w:val="50"/>
          <w:sz w:val="18"/>
          <w:szCs w:val="18"/>
        </w:rPr>
        <w:t xml:space="preserve">FF-CORE-010  ·  Verification &amp; Listing Standards  ·  Version 1.0</w:t>
      </w:r>
    </w:p>
    <w:p>
      <w:pPr>
        <w:pBdr>
          <w:bottom w:val="single" w:color="17181a" w:sz="12" w:space="6"/>
        </w:pBdr>
        <w:spacing w:after="40" w:before="0"/>
      </w:pPr>
      <w:r>
        <w:rPr>
          <w:rFonts w:ascii="Arial" w:cs="Arial" w:eastAsia="Arial" w:hAnsi="Arial"/>
          <w:b/>
          <w:bCs/>
          <w:caps/>
          <w:color w:val="7a7670"/>
          <w:spacing w:val="40"/>
          <w:sz w:val="20"/>
          <w:szCs w:val="20"/>
        </w:rPr>
        <w:t xml:space="preserve">FF-CORE-010</w:t>
      </w:r>
      <w:r>
        <w:rPr>
          <w:rFonts w:ascii="Arial" w:cs="Arial" w:eastAsia="Arial" w:hAnsi="Arial"/>
          <w:color w:val="ddd7cc"/>
          <w:sz w:val="20"/>
          <w:szCs w:val="20"/>
        </w:rPr>
        <w:t xml:space="preserve">  —  </w:t>
      </w:r>
      <w:r>
        <w:rPr>
          <w:rFonts w:ascii="Arial" w:cs="Arial" w:eastAsia="Arial" w:hAnsi="Arial"/>
          <w:color w:val="7a7670"/>
          <w:sz w:val="20"/>
          <w:szCs w:val="20"/>
        </w:rPr>
        <w:t xml:space="preserve">Landlord Verification &amp; Listing Standards</w:t>
      </w:r>
    </w:p>
    <w:p>
      <w:pPr>
        <w:spacing w:after="160" w:before="0"/>
      </w:pPr>
      <w:r>
        <w:rPr>
          <w:rFonts w:ascii="Arial" w:cs="Arial" w:eastAsia="Arial" w:hAnsi="Arial"/>
          <w:b/>
          <w:bCs/>
          <w:color w:val="17181a"/>
          <w:sz w:val="56"/>
          <w:szCs w:val="56"/>
        </w:rPr>
        <w:t xml:space="preserve">Landlord Verification &amp; Listing Standards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Status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Live · Version 1.0 · April 2026</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Category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Verification · Listing Standards</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Linked PRDs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FF-CORE-007 · FF-CORE-008 · FF-CORE-008-S7 · FF-CORE-009 · FF-CORE-011</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Summary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Five sequential forms plus Crown/Council verification gate. Floor plan and inspection date mandatory. The property data schema — Sections 1 through 7 — is the complete listing intake standard. A landlord who cannot complete verification does not list on this platform.</w:t>
            </w:r>
          </w:p>
        </w:tc>
      </w:tr>
    </w:tbl>
    <w:p>
      <w:pPr>
        <w:spacing w:after="2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1.  The Five Sequential Forms</w:t>
      </w:r>
    </w:p>
    <w:p>
      <w:pPr>
        <w:spacing w:after="80" w:before="40"/>
      </w:pPr>
      <w:r>
        <w:rPr>
          <w:rFonts w:ascii="Arial" w:cs="Arial" w:eastAsia="Arial" w:hAnsi="Arial"/>
          <w:b w:val="false"/>
          <w:bCs w:val="false"/>
          <w:i w:val="false"/>
          <w:iCs w:val="false"/>
          <w:color w:val="17181a"/>
          <w:sz w:val="22"/>
          <w:szCs w:val="22"/>
        </w:rPr>
        <w:t xml:space="preserve">Every landlord must complete all five forms in the sequence below before any listing is published. No form can be skipped. No listing enters the matching pool while any form is incomplete or pending verification. The sequence is fixed and non-negotiable.</w:t>
      </w:r>
    </w:p>
    <w:p>
      <w:pPr>
        <w:pStyle w:val="Heading3"/>
        <w:spacing w:after="60" w:before="220"/>
      </w:pPr>
      <w:r>
        <w:rPr>
          <w:rFonts w:ascii="Arial" w:cs="Arial" w:eastAsia="Arial" w:hAnsi="Arial"/>
          <w:b/>
          <w:bCs/>
          <w:color w:val="1b65a5"/>
          <w:sz w:val="24"/>
          <w:szCs w:val="24"/>
        </w:rPr>
        <w:t xml:space="preserve">Form 1 — Know Your Customer (KYC)</w:t>
      </w:r>
    </w:p>
    <w:p>
      <w:pPr>
        <w:spacing w:after="80" w:before="40"/>
      </w:pPr>
      <w:r>
        <w:rPr>
          <w:rFonts w:ascii="Arial" w:cs="Arial" w:eastAsia="Arial" w:hAnsi="Arial"/>
          <w:b w:val="false"/>
          <w:bCs w:val="false"/>
          <w:i w:val="false"/>
          <w:iCs w:val="false"/>
          <w:color w:val="17181a"/>
          <w:sz w:val="22"/>
          <w:szCs w:val="22"/>
        </w:rPr>
        <w:t xml:space="preserve">Purpose: to confirm that the person submitting a listing is who they claim to be.</w:t>
      </w:r>
    </w:p>
    <w:p>
      <w:pPr>
        <w:pStyle w:val="ListParagraph"/>
        <w:numPr>
          <w:ilvl w:val="0"/>
          <w:numId w:val="2"/>
        </w:numPr>
        <w:spacing w:after="40" w:before="40"/>
      </w:pPr>
      <w:r>
        <w:rPr>
          <w:rFonts w:ascii="Arial" w:cs="Arial" w:eastAsia="Arial" w:hAnsi="Arial"/>
          <w:color w:val="17181a"/>
          <w:sz w:val="22"/>
          <w:szCs w:val="22"/>
        </w:rPr>
        <w:t xml:space="preserve">Full legal name (as it appears on government-issued identity).</w:t>
      </w:r>
    </w:p>
    <w:p>
      <w:pPr>
        <w:pStyle w:val="ListParagraph"/>
        <w:numPr>
          <w:ilvl w:val="0"/>
          <w:numId w:val="2"/>
        </w:numPr>
        <w:spacing w:after="40" w:before="40"/>
      </w:pPr>
      <w:r>
        <w:rPr>
          <w:rFonts w:ascii="Arial" w:cs="Arial" w:eastAsia="Arial" w:hAnsi="Arial"/>
          <w:color w:val="17181a"/>
          <w:sz w:val="22"/>
          <w:szCs w:val="22"/>
        </w:rPr>
        <w:t xml:space="preserve">Date of birth.</w:t>
      </w:r>
    </w:p>
    <w:p>
      <w:pPr>
        <w:pStyle w:val="ListParagraph"/>
        <w:numPr>
          <w:ilvl w:val="0"/>
          <w:numId w:val="2"/>
        </w:numPr>
        <w:spacing w:after="40" w:before="40"/>
      </w:pPr>
      <w:r>
        <w:rPr>
          <w:rFonts w:ascii="Arial" w:cs="Arial" w:eastAsia="Arial" w:hAnsi="Arial"/>
          <w:color w:val="17181a"/>
          <w:sz w:val="22"/>
          <w:szCs w:val="22"/>
        </w:rPr>
        <w:t xml:space="preserve">Government-issued photo identification: Canadian passport, provincial driver's licence, or provincial ID card. International passport accepted for landlords based outside Canada with a Canadian property.</w:t>
      </w:r>
    </w:p>
    <w:p>
      <w:pPr>
        <w:pStyle w:val="ListParagraph"/>
        <w:numPr>
          <w:ilvl w:val="0"/>
          <w:numId w:val="2"/>
        </w:numPr>
        <w:spacing w:after="40" w:before="40"/>
      </w:pPr>
      <w:r>
        <w:rPr>
          <w:rFonts w:ascii="Arial" w:cs="Arial" w:eastAsia="Arial" w:hAnsi="Arial"/>
          <w:color w:val="17181a"/>
          <w:sz w:val="22"/>
          <w:szCs w:val="22"/>
        </w:rPr>
        <w:t xml:space="preserve">Current residential address, verified against a utility bill, bank statement, or equivalent document dated within 90 days. P.O. Box addresses are not accepted.</w:t>
      </w:r>
    </w:p>
    <w:p>
      <w:pPr>
        <w:pStyle w:val="ListParagraph"/>
        <w:numPr>
          <w:ilvl w:val="0"/>
          <w:numId w:val="2"/>
        </w:numPr>
        <w:spacing w:after="40" w:before="40"/>
      </w:pPr>
      <w:r>
        <w:rPr>
          <w:rFonts w:ascii="Arial" w:cs="Arial" w:eastAsia="Arial" w:hAnsi="Arial"/>
          <w:color w:val="17181a"/>
          <w:sz w:val="22"/>
          <w:szCs w:val="22"/>
        </w:rPr>
        <w:t xml:space="preserve">Primary telephone number and primary email address.</w:t>
      </w:r>
    </w:p>
    <w:p>
      <w:pPr>
        <w:pStyle w:val="ListParagraph"/>
        <w:numPr>
          <w:ilvl w:val="0"/>
          <w:numId w:val="2"/>
        </w:numPr>
        <w:spacing w:after="40" w:before="40"/>
      </w:pPr>
      <w:r>
        <w:rPr>
          <w:rFonts w:ascii="Arial" w:cs="Arial" w:eastAsia="Arial" w:hAnsi="Arial"/>
          <w:color w:val="17181a"/>
          <w:sz w:val="22"/>
          <w:szCs w:val="22"/>
        </w:rPr>
        <w:t xml:space="preserve">Declaration: has the applicant ever been named as a respondent in a landlord-tenant tribunal decision? If yes: jurisdiction, case reference, date, and outcome.</w:t>
      </w:r>
    </w:p>
    <w:p>
      <w:pPr>
        <w:pStyle w:val="ListParagraph"/>
        <w:numPr>
          <w:ilvl w:val="0"/>
          <w:numId w:val="2"/>
        </w:numPr>
        <w:spacing w:after="40" w:before="40"/>
      </w:pPr>
      <w:r>
        <w:rPr>
          <w:rFonts w:ascii="Arial" w:cs="Arial" w:eastAsia="Arial" w:hAnsi="Arial"/>
          <w:color w:val="17181a"/>
          <w:sz w:val="22"/>
          <w:szCs w:val="22"/>
        </w:rPr>
        <w:t xml:space="preserve">Declaration: has the applicant's tenancy-related licence, registration, or membership ever been suspended, revoked, or surrendered in any jurisdiction? If yes: full details.</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KYC verification is automated where possible. Where automated verification cannot confirm the identity — name mismatch, address mismatch, document quality below threshold, or identity document from a jurisdiction outside the automated verification network — the profile is referred to Human Review (FF-CORE-008).</w:t>
      </w:r>
    </w:p>
    <w:p>
      <w:pPr>
        <w:pStyle w:val="Heading3"/>
        <w:spacing w:after="60" w:before="220"/>
      </w:pPr>
      <w:r>
        <w:rPr>
          <w:rFonts w:ascii="Arial" w:cs="Arial" w:eastAsia="Arial" w:hAnsi="Arial"/>
          <w:b/>
          <w:bCs/>
          <w:color w:val="1b65a5"/>
          <w:sz w:val="24"/>
          <w:szCs w:val="24"/>
        </w:rPr>
        <w:t xml:space="preserve">Form 2 — Authority to List</w:t>
      </w:r>
    </w:p>
    <w:p>
      <w:pPr>
        <w:spacing w:after="80" w:before="40"/>
      </w:pPr>
      <w:r>
        <w:rPr>
          <w:rFonts w:ascii="Arial" w:cs="Arial" w:eastAsia="Arial" w:hAnsi="Arial"/>
          <w:b w:val="false"/>
          <w:bCs w:val="false"/>
          <w:i w:val="false"/>
          <w:iCs w:val="false"/>
          <w:color w:val="17181a"/>
          <w:sz w:val="22"/>
          <w:szCs w:val="22"/>
        </w:rPr>
        <w:t xml:space="preserve">Purpose: to confirm that the person listing the property is legally authorised to do so.</w:t>
      </w:r>
    </w:p>
    <w:p>
      <w:pPr>
        <w:pStyle w:val="ListParagraph"/>
        <w:numPr>
          <w:ilvl w:val="0"/>
          <w:numId w:val="2"/>
        </w:numPr>
        <w:spacing w:after="40" w:before="40"/>
      </w:pPr>
      <w:r>
        <w:rPr>
          <w:rFonts w:ascii="Arial" w:cs="Arial" w:eastAsia="Arial" w:hAnsi="Arial"/>
          <w:color w:val="17181a"/>
          <w:sz w:val="22"/>
          <w:szCs w:val="22"/>
        </w:rPr>
        <w:t xml:space="preserve">Proof of ownership: a copy of the land title, property deed, or equivalent instrument confirming the applicant's legal right to let the property. The document must identify the applicant by the same name provided in Form 1.</w:t>
      </w:r>
    </w:p>
    <w:p>
      <w:pPr>
        <w:pStyle w:val="ListParagraph"/>
        <w:numPr>
          <w:ilvl w:val="0"/>
          <w:numId w:val="2"/>
        </w:numPr>
        <w:spacing w:after="40" w:before="40"/>
      </w:pPr>
      <w:r>
        <w:rPr>
          <w:rFonts w:ascii="Arial" w:cs="Arial" w:eastAsia="Arial" w:hAnsi="Arial"/>
          <w:color w:val="17181a"/>
          <w:sz w:val="22"/>
          <w:szCs w:val="22"/>
        </w:rPr>
        <w:t xml:space="preserve">Where the applicant is not the registered owner but holds a valid agency authority: a signed, dated letter of authority from the registered owner authorising the applicant to list the property on their behalf, plus the registered owner's full contact details. FlatFinder will contact the registered owner directly — at a telephone number or email address sourced from the land title record or municipal directory, not from the agent — to confirm the authority before the listing is published.</w:t>
      </w:r>
    </w:p>
    <w:p>
      <w:pPr>
        <w:pStyle w:val="ListParagraph"/>
        <w:numPr>
          <w:ilvl w:val="0"/>
          <w:numId w:val="2"/>
        </w:numPr>
        <w:spacing w:after="40" w:before="40"/>
      </w:pPr>
      <w:r>
        <w:rPr>
          <w:rFonts w:ascii="Arial" w:cs="Arial" w:eastAsia="Arial" w:hAnsi="Arial"/>
          <w:color w:val="17181a"/>
          <w:sz w:val="22"/>
          <w:szCs w:val="22"/>
        </w:rPr>
        <w:t xml:space="preserve">Where a property management company is acting on behalf of an owner: the executed property management agreement, signed by both the owner and the management company, plus the registered owner's contact details. FlatFinder contacts the owner directly using independently sourced contact details.</w:t>
      </w:r>
    </w:p>
    <w:p>
      <w:pPr>
        <w:pStyle w:val="ListParagraph"/>
        <w:numPr>
          <w:ilvl w:val="0"/>
          <w:numId w:val="2"/>
        </w:numPr>
        <w:spacing w:after="40" w:before="40"/>
      </w:pPr>
      <w:r>
        <w:rPr>
          <w:rFonts w:ascii="Arial" w:cs="Arial" w:eastAsia="Arial" w:hAnsi="Arial"/>
          <w:color w:val="17181a"/>
          <w:sz w:val="22"/>
          <w:szCs w:val="22"/>
        </w:rPr>
        <w:t xml:space="preserve">A conveyance in progress (property sold but not yet transferred): not accepted. Authority to List requires a completed, registered transfer.</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Authority to List check is the single most important fraud prevention gate in the landlord verification process. No listing is published on the basis of an agent's authority alone. The registered owner is always contacted.</w:t>
      </w:r>
    </w:p>
    <w:p>
      <w:pPr>
        <w:pStyle w:val="Heading3"/>
        <w:spacing w:after="60" w:before="220"/>
      </w:pPr>
      <w:r>
        <w:rPr>
          <w:rFonts w:ascii="Arial" w:cs="Arial" w:eastAsia="Arial" w:hAnsi="Arial"/>
          <w:b/>
          <w:bCs/>
          <w:color w:val="1b65a5"/>
          <w:sz w:val="24"/>
          <w:szCs w:val="24"/>
        </w:rPr>
        <w:t xml:space="preserve">Form 3 — Municipal Records Declaration</w:t>
      </w:r>
    </w:p>
    <w:p>
      <w:pPr>
        <w:spacing w:after="80" w:before="40"/>
      </w:pPr>
      <w:r>
        <w:rPr>
          <w:rFonts w:ascii="Arial" w:cs="Arial" w:eastAsia="Arial" w:hAnsi="Arial"/>
          <w:b w:val="false"/>
          <w:bCs w:val="false"/>
          <w:i w:val="false"/>
          <w:iCs w:val="false"/>
          <w:color w:val="17181a"/>
          <w:sz w:val="22"/>
          <w:szCs w:val="22"/>
        </w:rPr>
        <w:t xml:space="preserve">Purpose: to confirm that the property is a lawfully registered residential dwelling free from outstanding enforcement actions.</w:t>
      </w:r>
    </w:p>
    <w:p>
      <w:pPr>
        <w:pStyle w:val="ListParagraph"/>
        <w:numPr>
          <w:ilvl w:val="0"/>
          <w:numId w:val="2"/>
        </w:numPr>
        <w:spacing w:after="40" w:before="40"/>
      </w:pPr>
      <w:r>
        <w:rPr>
          <w:rFonts w:ascii="Arial" w:cs="Arial" w:eastAsia="Arial" w:hAnsi="Arial"/>
          <w:color w:val="17181a"/>
          <w:sz w:val="22"/>
          <w:szCs w:val="22"/>
        </w:rPr>
        <w:t xml:space="preserve">Current building permit status for the property: active permits, completed permits, and any permit applications currently under review.</w:t>
      </w:r>
    </w:p>
    <w:p>
      <w:pPr>
        <w:pStyle w:val="ListParagraph"/>
        <w:numPr>
          <w:ilvl w:val="0"/>
          <w:numId w:val="2"/>
        </w:numPr>
        <w:spacing w:after="40" w:before="40"/>
      </w:pPr>
      <w:r>
        <w:rPr>
          <w:rFonts w:ascii="Arial" w:cs="Arial" w:eastAsia="Arial" w:hAnsi="Arial"/>
          <w:color w:val="17181a"/>
          <w:sz w:val="22"/>
          <w:szCs w:val="22"/>
        </w:rPr>
        <w:t xml:space="preserve">Confirmation that the unit is registered as a legal dwelling with the relevant municipal authority. In Toronto: registered with the City of Toronto's Rental Housing Registry where required. In other jurisdictions: equivalent municipal registration.</w:t>
      </w:r>
    </w:p>
    <w:p>
      <w:pPr>
        <w:pStyle w:val="ListParagraph"/>
        <w:numPr>
          <w:ilvl w:val="0"/>
          <w:numId w:val="2"/>
        </w:numPr>
        <w:spacing w:after="40" w:before="40"/>
      </w:pPr>
      <w:r>
        <w:rPr>
          <w:rFonts w:ascii="Arial" w:cs="Arial" w:eastAsia="Arial" w:hAnsi="Arial"/>
          <w:color w:val="17181a"/>
          <w:sz w:val="22"/>
          <w:szCs w:val="22"/>
        </w:rPr>
        <w:t xml:space="preserve">Disclosure of any outstanding orders, notices, work orders, or enforcement actions issued by any municipal, provincial, or federal authority against the property, whether or not the landlord disputes the order.</w:t>
      </w:r>
    </w:p>
    <w:p>
      <w:pPr>
        <w:pStyle w:val="ListParagraph"/>
        <w:numPr>
          <w:ilvl w:val="0"/>
          <w:numId w:val="2"/>
        </w:numPr>
        <w:spacing w:after="40" w:before="40"/>
      </w:pPr>
      <w:r>
        <w:rPr>
          <w:rFonts w:ascii="Arial" w:cs="Arial" w:eastAsia="Arial" w:hAnsi="Arial"/>
          <w:color w:val="17181a"/>
          <w:sz w:val="22"/>
          <w:szCs w:val="22"/>
        </w:rPr>
        <w:t xml:space="preserve">Zoning classification of the property confirming it is lawfully zoned for residential use.</w:t>
      </w:r>
    </w:p>
    <w:p>
      <w:pPr>
        <w:pStyle w:val="ListParagraph"/>
        <w:numPr>
          <w:ilvl w:val="0"/>
          <w:numId w:val="2"/>
        </w:numPr>
        <w:spacing w:after="40" w:before="40"/>
      </w:pPr>
      <w:r>
        <w:rPr>
          <w:rFonts w:ascii="Arial" w:cs="Arial" w:eastAsia="Arial" w:hAnsi="Arial"/>
          <w:color w:val="17181a"/>
          <w:sz w:val="22"/>
          <w:szCs w:val="22"/>
        </w:rPr>
        <w:t xml:space="preserve">Legal suite status: if the property is a secondary suite, basement apartment, laneway house, garden suite, or converted space: confirmation that the suite is a legal secondary dwelling unit under the relevant zoning by-law and building code.</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Municipal records are cross-referenced automatically against publicly available city databases where API access is available. Where cross-referencing is not automated, the declaration is reviewed by the Human Review team within 48 hours.</w:t>
      </w:r>
    </w:p>
    <w:p>
      <w:pPr>
        <w:pStyle w:val="Heading3"/>
        <w:spacing w:after="60" w:before="220"/>
      </w:pPr>
      <w:r>
        <w:rPr>
          <w:rFonts w:ascii="Arial" w:cs="Arial" w:eastAsia="Arial" w:hAnsi="Arial"/>
          <w:b/>
          <w:bCs/>
          <w:color w:val="1b65a5"/>
          <w:sz w:val="24"/>
          <w:szCs w:val="24"/>
        </w:rPr>
        <w:t xml:space="preserve">Form 4 — Property History Disclosure</w:t>
      </w:r>
    </w:p>
    <w:p>
      <w:pPr>
        <w:spacing w:after="80" w:before="40"/>
      </w:pPr>
      <w:r>
        <w:rPr>
          <w:rFonts w:ascii="Arial" w:cs="Arial" w:eastAsia="Arial" w:hAnsi="Arial"/>
          <w:b w:val="false"/>
          <w:bCs w:val="false"/>
          <w:i w:val="false"/>
          <w:iCs w:val="false"/>
          <w:color w:val="17181a"/>
          <w:sz w:val="22"/>
          <w:szCs w:val="22"/>
        </w:rPr>
        <w:t xml:space="preserve">Purpose: to create a verified, landlord-declared condition record for the property before any tenancy begins. This record protects both parties from end-of-tenancy disputes about pre-existing conditions.</w:t>
      </w:r>
    </w:p>
    <w:p>
      <w:pPr>
        <w:pStyle w:val="ListParagraph"/>
        <w:numPr>
          <w:ilvl w:val="0"/>
          <w:numId w:val="2"/>
        </w:numPr>
        <w:spacing w:after="40" w:before="40"/>
      </w:pPr>
      <w:r>
        <w:rPr>
          <w:rFonts w:ascii="Arial" w:cs="Arial" w:eastAsia="Arial" w:hAnsi="Arial"/>
          <w:color w:val="17181a"/>
          <w:sz w:val="22"/>
          <w:szCs w:val="22"/>
        </w:rPr>
        <w:t xml:space="preserve">Date of most recent professional inspection: the inspector's name, company, and licence or certification number. The inspection must have been conducted within 24 months of the listing date.</w:t>
      </w:r>
    </w:p>
    <w:p>
      <w:pPr>
        <w:pStyle w:val="ListParagraph"/>
        <w:numPr>
          <w:ilvl w:val="0"/>
          <w:numId w:val="2"/>
        </w:numPr>
        <w:spacing w:after="40" w:before="40"/>
      </w:pPr>
      <w:r>
        <w:rPr>
          <w:rFonts w:ascii="Arial" w:cs="Arial" w:eastAsia="Arial" w:hAnsi="Arial"/>
          <w:color w:val="17181a"/>
          <w:sz w:val="22"/>
          <w:szCs w:val="22"/>
        </w:rPr>
        <w:t xml:space="preserve">Known deficiencies: any defect, deficiency, or condition in the property that the landlord is aware of, regardless of whether the landlord considers it material. The disclosure obligation is broad. Undisclosed deficiencies discovered during a tenancy that were known to the landlord at the time of listing constitute a breach of the Platform Agreement.</w:t>
      </w:r>
    </w:p>
    <w:p>
      <w:pPr>
        <w:pStyle w:val="ListParagraph"/>
        <w:numPr>
          <w:ilvl w:val="0"/>
          <w:numId w:val="2"/>
        </w:numPr>
        <w:spacing w:after="40" w:before="40"/>
      </w:pPr>
      <w:r>
        <w:rPr>
          <w:rFonts w:ascii="Arial" w:cs="Arial" w:eastAsia="Arial" w:hAnsi="Arial"/>
          <w:color w:val="17181a"/>
          <w:sz w:val="22"/>
          <w:szCs w:val="22"/>
        </w:rPr>
        <w:t xml:space="preserve">Active construction: disclosure of any ongoing construction, renovation, or maintenance work within the property, within the building, or at an adjacent property that is within the landlord's knowledge and that may affect the tenant's quiet enjoyment.</w:t>
      </w:r>
    </w:p>
    <w:p>
      <w:pPr>
        <w:pStyle w:val="ListParagraph"/>
        <w:numPr>
          <w:ilvl w:val="0"/>
          <w:numId w:val="2"/>
        </w:numPr>
        <w:spacing w:after="40" w:before="40"/>
      </w:pPr>
      <w:r>
        <w:rPr>
          <w:rFonts w:ascii="Arial" w:cs="Arial" w:eastAsia="Arial" w:hAnsi="Arial"/>
          <w:color w:val="17181a"/>
          <w:sz w:val="22"/>
          <w:szCs w:val="22"/>
        </w:rPr>
        <w:t xml:space="preserve">Water damage: any water damage, flooding, or water ingress event affecting the property in the preceding 36 months, and the remediation steps taken.</w:t>
      </w:r>
    </w:p>
    <w:p>
      <w:pPr>
        <w:pStyle w:val="ListParagraph"/>
        <w:numPr>
          <w:ilvl w:val="0"/>
          <w:numId w:val="2"/>
        </w:numPr>
        <w:spacing w:after="40" w:before="40"/>
      </w:pPr>
      <w:r>
        <w:rPr>
          <w:rFonts w:ascii="Arial" w:cs="Arial" w:eastAsia="Arial" w:hAnsi="Arial"/>
          <w:color w:val="17181a"/>
          <w:sz w:val="22"/>
          <w:szCs w:val="22"/>
        </w:rPr>
        <w:t xml:space="preserve">Mould: any mould or mould remediation affecting the property in the preceding 48 months, the extent of the mould, the remediation method, and confirmation of clearance testing where applicable.</w:t>
      </w:r>
    </w:p>
    <w:p>
      <w:pPr>
        <w:pStyle w:val="ListParagraph"/>
        <w:numPr>
          <w:ilvl w:val="0"/>
          <w:numId w:val="2"/>
        </w:numPr>
        <w:spacing w:after="40" w:before="40"/>
      </w:pPr>
      <w:r>
        <w:rPr>
          <w:rFonts w:ascii="Arial" w:cs="Arial" w:eastAsia="Arial" w:hAnsi="Arial"/>
          <w:color w:val="17181a"/>
          <w:sz w:val="22"/>
          <w:szCs w:val="22"/>
        </w:rPr>
        <w:t xml:space="preserve">Pest control: any pest control treatment applied to the property in the preceding 24 months, the pest type, the treatment method, and confirmation of clearance.</w:t>
      </w:r>
    </w:p>
    <w:p>
      <w:pPr>
        <w:pStyle w:val="ListParagraph"/>
        <w:numPr>
          <w:ilvl w:val="0"/>
          <w:numId w:val="2"/>
        </w:numPr>
        <w:spacing w:after="40" w:before="40"/>
      </w:pPr>
      <w:r>
        <w:rPr>
          <w:rFonts w:ascii="Arial" w:cs="Arial" w:eastAsia="Arial" w:hAnsi="Arial"/>
          <w:color w:val="17181a"/>
          <w:sz w:val="22"/>
          <w:szCs w:val="22"/>
        </w:rPr>
        <w:t xml:space="preserve">Outstanding insurance claims: any active insurance claim against the property, and any insurance claim paid within the preceding 36 months.</w:t>
      </w:r>
    </w:p>
    <w:p>
      <w:pPr>
        <w:pStyle w:val="ListParagraph"/>
        <w:numPr>
          <w:ilvl w:val="0"/>
          <w:numId w:val="2"/>
        </w:numPr>
        <w:spacing w:after="40" w:before="40"/>
      </w:pPr>
      <w:r>
        <w:rPr>
          <w:rFonts w:ascii="Arial" w:cs="Arial" w:eastAsia="Arial" w:hAnsi="Arial"/>
          <w:color w:val="17181a"/>
          <w:sz w:val="22"/>
          <w:szCs w:val="22"/>
        </w:rPr>
        <w:t xml:space="preserve">Utility provider details: the name of the provider for each utility service (electricity, gas, water, internet) serving the property. Where utilities are sub-metered, the sub-metering arrangement must be disclosed.</w:t>
      </w:r>
    </w:p>
    <w:p>
      <w:pPr>
        <w:pStyle w:val="ListParagraph"/>
        <w:numPr>
          <w:ilvl w:val="0"/>
          <w:numId w:val="2"/>
        </w:numPr>
        <w:spacing w:after="40" w:before="40"/>
      </w:pPr>
      <w:r>
        <w:rPr>
          <w:rFonts w:ascii="Arial" w:cs="Arial" w:eastAsia="Arial" w:hAnsi="Arial"/>
          <w:color w:val="17181a"/>
          <w:sz w:val="22"/>
          <w:szCs w:val="22"/>
        </w:rPr>
        <w:t xml:space="preserve">Utility consumption averages: the average monthly consumption for electricity and gas for the preceding 12 months, where the property has independent metering.</w:t>
      </w:r>
    </w:p>
    <w:p>
      <w:pPr>
        <w:pStyle w:val="Heading3"/>
        <w:spacing w:after="60" w:before="220"/>
      </w:pPr>
      <w:r>
        <w:rPr>
          <w:rFonts w:ascii="Arial" w:cs="Arial" w:eastAsia="Arial" w:hAnsi="Arial"/>
          <w:b/>
          <w:bCs/>
          <w:color w:val="1b65a5"/>
          <w:sz w:val="24"/>
          <w:szCs w:val="24"/>
        </w:rPr>
        <w:t xml:space="preserve">Form 5 — Platform Agreement</w:t>
      </w:r>
    </w:p>
    <w:p>
      <w:pPr>
        <w:spacing w:after="80" w:before="40"/>
      </w:pPr>
      <w:r>
        <w:rPr>
          <w:rFonts w:ascii="Arial" w:cs="Arial" w:eastAsia="Arial" w:hAnsi="Arial"/>
          <w:b w:val="false"/>
          <w:bCs w:val="false"/>
          <w:i w:val="false"/>
          <w:iCs w:val="false"/>
          <w:color w:val="17181a"/>
          <w:sz w:val="22"/>
          <w:szCs w:val="22"/>
        </w:rPr>
        <w:t xml:space="preserve">Purpose: the landlord's binding agreement to FlatFinder's platform rules. The Platform Agreement is a contract. Breach of any representation in Forms 1–4 constitutes breach of the Platform Agreement.</w:t>
      </w:r>
    </w:p>
    <w:p>
      <w:pPr>
        <w:pStyle w:val="ListParagraph"/>
        <w:numPr>
          <w:ilvl w:val="0"/>
          <w:numId w:val="2"/>
        </w:numPr>
        <w:spacing w:after="40" w:before="40"/>
      </w:pPr>
      <w:r>
        <w:rPr>
          <w:rFonts w:ascii="Arial" w:cs="Arial" w:eastAsia="Arial" w:hAnsi="Arial"/>
          <w:color w:val="17181a"/>
          <w:sz w:val="22"/>
          <w:szCs w:val="22"/>
        </w:rPr>
        <w:t xml:space="preserve">Agreement to FlatFinder's listing standards as defined in Section 3 of this PRD.</w:t>
      </w:r>
    </w:p>
    <w:p>
      <w:pPr>
        <w:pStyle w:val="ListParagraph"/>
        <w:numPr>
          <w:ilvl w:val="0"/>
          <w:numId w:val="2"/>
        </w:numPr>
        <w:spacing w:after="40" w:before="40"/>
      </w:pPr>
      <w:r>
        <w:rPr>
          <w:rFonts w:ascii="Arial" w:cs="Arial" w:eastAsia="Arial" w:hAnsi="Arial"/>
          <w:color w:val="17181a"/>
          <w:sz w:val="22"/>
          <w:szCs w:val="22"/>
        </w:rPr>
        <w:t xml:space="preserve">Agreement to the 24-hour VMC response window without exceptions (FF-CORE-007, Section 5).</w:t>
      </w:r>
    </w:p>
    <w:p>
      <w:pPr>
        <w:pStyle w:val="ListParagraph"/>
        <w:numPr>
          <w:ilvl w:val="0"/>
          <w:numId w:val="2"/>
        </w:numPr>
        <w:spacing w:after="40" w:before="40"/>
      </w:pPr>
      <w:r>
        <w:rPr>
          <w:rFonts w:ascii="Arial" w:cs="Arial" w:eastAsia="Arial" w:hAnsi="Arial"/>
          <w:color w:val="17181a"/>
          <w:sz w:val="22"/>
          <w:szCs w:val="22"/>
        </w:rPr>
        <w:t xml:space="preserve">Agreement that deposit funds — where a deposit is required — will be held in a registered tenancy deposit protection scheme for the full duration of the tenancy. The name and registration number of the scheme must be declared in the Platform Agreement.</w:t>
      </w:r>
    </w:p>
    <w:p>
      <w:pPr>
        <w:pStyle w:val="ListParagraph"/>
        <w:numPr>
          <w:ilvl w:val="0"/>
          <w:numId w:val="2"/>
        </w:numPr>
        <w:spacing w:after="40" w:before="40"/>
      </w:pPr>
      <w:r>
        <w:rPr>
          <w:rFonts w:ascii="Arial" w:cs="Arial" w:eastAsia="Arial" w:hAnsi="Arial"/>
          <w:color w:val="17181a"/>
          <w:sz w:val="22"/>
          <w:szCs w:val="22"/>
        </w:rPr>
        <w:t xml:space="preserve">Agreement that no financial instrument (deposit, holding fee, application fee, or advance rent) will be requested before the VMC gate is cleared.</w:t>
      </w:r>
    </w:p>
    <w:p>
      <w:pPr>
        <w:pStyle w:val="ListParagraph"/>
        <w:numPr>
          <w:ilvl w:val="0"/>
          <w:numId w:val="2"/>
        </w:numPr>
        <w:spacing w:after="40" w:before="40"/>
      </w:pPr>
      <w:r>
        <w:rPr>
          <w:rFonts w:ascii="Arial" w:cs="Arial" w:eastAsia="Arial" w:hAnsi="Arial"/>
          <w:color w:val="17181a"/>
          <w:sz w:val="22"/>
          <w:szCs w:val="22"/>
        </w:rPr>
        <w:t xml:space="preserve">Agreement that FlatFinder may verify, at any time during the landlord's active use of the platform, any information submitted in Forms 1–4.</w:t>
      </w:r>
    </w:p>
    <w:p>
      <w:pPr>
        <w:pStyle w:val="ListParagraph"/>
        <w:numPr>
          <w:ilvl w:val="0"/>
          <w:numId w:val="2"/>
        </w:numPr>
        <w:spacing w:after="40" w:before="40"/>
      </w:pPr>
      <w:r>
        <w:rPr>
          <w:rFonts w:ascii="Arial" w:cs="Arial" w:eastAsia="Arial" w:hAnsi="Arial"/>
          <w:color w:val="17181a"/>
          <w:sz w:val="22"/>
          <w:szCs w:val="22"/>
        </w:rPr>
        <w:t xml:space="preserve">Agreement that FlatFinder's verification of submitted information is an assessment of plausibility, not a guarantee of accuracy, and that the landlord retains full legal responsibility for the accuracy of all disclosures.</w:t>
      </w:r>
    </w:p>
    <w:p>
      <w:pPr>
        <w:pStyle w:val="ListParagraph"/>
        <w:numPr>
          <w:ilvl w:val="0"/>
          <w:numId w:val="2"/>
        </w:numPr>
        <w:spacing w:after="40" w:before="40"/>
      </w:pPr>
      <w:r>
        <w:rPr>
          <w:rFonts w:ascii="Arial" w:cs="Arial" w:eastAsia="Arial" w:hAnsi="Arial"/>
          <w:color w:val="17181a"/>
          <w:sz w:val="22"/>
          <w:szCs w:val="22"/>
        </w:rPr>
        <w:t xml:space="preserve">Agreement that a material breach of any representation in Forms 1–4 constitutes grounds for immediate permanent removal from the platform, forfeiture of any fees paid, and referral to the appropriate authority where the breach is also a criminal or regulatory matter.</w:t>
      </w:r>
    </w:p>
    <w:p>
      <w:pPr>
        <w:pStyle w:val="Heading2"/>
        <w:pBdr>
          <w:bottom w:val="single" w:color="ddd7cc" w:sz="2" w:space="4"/>
        </w:pBdr>
        <w:spacing w:after="80" w:before="320"/>
      </w:pPr>
      <w:r>
        <w:rPr>
          <w:rFonts w:ascii="Arial" w:cs="Arial" w:eastAsia="Arial" w:hAnsi="Arial"/>
          <w:b/>
          <w:bCs/>
          <w:color w:val="17181a"/>
          <w:sz w:val="28"/>
          <w:szCs w:val="28"/>
        </w:rPr>
        <w:t xml:space="preserve">2.  Crown/Council Verification Gate</w:t>
      </w:r>
    </w:p>
    <w:p>
      <w:pPr>
        <w:spacing w:after="80" w:before="40"/>
      </w:pPr>
      <w:r>
        <w:rPr>
          <w:rFonts w:ascii="Arial" w:cs="Arial" w:eastAsia="Arial" w:hAnsi="Arial"/>
          <w:b w:val="false"/>
          <w:bCs w:val="false"/>
          <w:i w:val="false"/>
          <w:iCs w:val="false"/>
          <w:color w:val="17181a"/>
          <w:sz w:val="22"/>
          <w:szCs w:val="22"/>
        </w:rPr>
        <w:t xml:space="preserve">FlatFinder cross-references the ownership and authority information submitted in Form 2 against official land title and property records in the relevant jurisdiction. This cross-reference is a mandatory gate: no listing enters the matching pool until the cross-reference either confirms the submission or refers it to Human Review.</w:t>
      </w:r>
    </w:p>
    <w:p>
      <w:pPr>
        <w:spacing w:after="80" w:before="40"/>
      </w:pPr>
      <w:r>
        <w:rPr>
          <w:rFonts w:ascii="Arial" w:cs="Arial" w:eastAsia="Arial" w:hAnsi="Arial"/>
          <w:b w:val="false"/>
          <w:bCs w:val="false"/>
          <w:i w:val="false"/>
          <w:iCs w:val="false"/>
          <w:color w:val="17181a"/>
          <w:sz w:val="22"/>
          <w:szCs w:val="22"/>
        </w:rPr>
        <w:t xml:space="preserve">Verification is conducted against the following registries:</w:t>
      </w:r>
    </w:p>
    <w:p>
      <w:pPr>
        <w:pStyle w:val="ListParagraph"/>
        <w:numPr>
          <w:ilvl w:val="0"/>
          <w:numId w:val="2"/>
        </w:numPr>
        <w:spacing w:after="40" w:before="40"/>
      </w:pPr>
      <w:r>
        <w:rPr>
          <w:rFonts w:ascii="Arial" w:cs="Arial" w:eastAsia="Arial" w:hAnsi="Arial"/>
          <w:color w:val="17181a"/>
          <w:sz w:val="22"/>
          <w:szCs w:val="22"/>
        </w:rPr>
        <w:t xml:space="preserve">Ontario (Canada): Teranet Land Registry Services · teranet.ca</w:t>
      </w:r>
    </w:p>
    <w:p>
      <w:pPr>
        <w:pStyle w:val="ListParagraph"/>
        <w:numPr>
          <w:ilvl w:val="0"/>
          <w:numId w:val="2"/>
        </w:numPr>
        <w:spacing w:after="40" w:before="40"/>
      </w:pPr>
      <w:r>
        <w:rPr>
          <w:rFonts w:ascii="Arial" w:cs="Arial" w:eastAsia="Arial" w:hAnsi="Arial"/>
          <w:color w:val="17181a"/>
          <w:sz w:val="22"/>
          <w:szCs w:val="22"/>
        </w:rPr>
        <w:t xml:space="preserve">British Columbia (Canada): BC Land Title and Survey Authority · ltsa.ca</w:t>
      </w:r>
    </w:p>
    <w:p>
      <w:pPr>
        <w:pStyle w:val="ListParagraph"/>
        <w:numPr>
          <w:ilvl w:val="0"/>
          <w:numId w:val="2"/>
        </w:numPr>
        <w:spacing w:after="40" w:before="40"/>
      </w:pPr>
      <w:r>
        <w:rPr>
          <w:rFonts w:ascii="Arial" w:cs="Arial" w:eastAsia="Arial" w:hAnsi="Arial"/>
          <w:color w:val="17181a"/>
          <w:sz w:val="22"/>
          <w:szCs w:val="22"/>
        </w:rPr>
        <w:t xml:space="preserve">Alberta (Canada): Alberta Land Titles · alberta.ca/land-titles</w:t>
      </w:r>
    </w:p>
    <w:p>
      <w:pPr>
        <w:pStyle w:val="ListParagraph"/>
        <w:numPr>
          <w:ilvl w:val="0"/>
          <w:numId w:val="2"/>
        </w:numPr>
        <w:spacing w:after="40" w:before="40"/>
      </w:pPr>
      <w:r>
        <w:rPr>
          <w:rFonts w:ascii="Arial" w:cs="Arial" w:eastAsia="Arial" w:hAnsi="Arial"/>
          <w:color w:val="17181a"/>
          <w:sz w:val="22"/>
          <w:szCs w:val="22"/>
        </w:rPr>
        <w:t xml:space="preserve">Other Canadian provinces: provincial land title registry as applicable.</w:t>
      </w:r>
    </w:p>
    <w:p>
      <w:pPr>
        <w:pStyle w:val="ListParagraph"/>
        <w:numPr>
          <w:ilvl w:val="0"/>
          <w:numId w:val="2"/>
        </w:numPr>
        <w:spacing w:after="40" w:before="40"/>
      </w:pPr>
      <w:r>
        <w:rPr>
          <w:rFonts w:ascii="Arial" w:cs="Arial" w:eastAsia="Arial" w:hAnsi="Arial"/>
          <w:color w:val="17181a"/>
          <w:sz w:val="22"/>
          <w:szCs w:val="22"/>
        </w:rPr>
        <w:t xml:space="preserve">Scotland (United Kingdom): Registers of Scotland · ros.gov.uk</w:t>
      </w:r>
    </w:p>
    <w:p>
      <w:pPr>
        <w:pStyle w:val="ListParagraph"/>
        <w:numPr>
          <w:ilvl w:val="0"/>
          <w:numId w:val="2"/>
        </w:numPr>
        <w:spacing w:after="40" w:before="40"/>
      </w:pPr>
      <w:r>
        <w:rPr>
          <w:rFonts w:ascii="Arial" w:cs="Arial" w:eastAsia="Arial" w:hAnsi="Arial"/>
          <w:color w:val="17181a"/>
          <w:sz w:val="22"/>
          <w:szCs w:val="22"/>
        </w:rPr>
        <w:t xml:space="preserve">England and Wales (United Kingdom): HM Land Registry · gov.uk/land-registry</w:t>
      </w:r>
    </w:p>
    <w:p>
      <w:pPr>
        <w:pStyle w:val="ListParagraph"/>
        <w:numPr>
          <w:ilvl w:val="0"/>
          <w:numId w:val="2"/>
        </w:numPr>
        <w:spacing w:after="40" w:before="40"/>
      </w:pPr>
      <w:r>
        <w:rPr>
          <w:rFonts w:ascii="Arial" w:cs="Arial" w:eastAsia="Arial" w:hAnsi="Arial"/>
          <w:color w:val="17181a"/>
          <w:sz w:val="22"/>
          <w:szCs w:val="22"/>
        </w:rPr>
        <w:t xml:space="preserve">France: Direction générale des Finances publiques (DGFiP) cadastre · cadastre.gouv.fr</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Where the registry record confirms the ownership and authority declared in Form 2: the verification gate is cleared automatically and the listing proceeds to Section 3 listing standards review.</w:t>
      </w:r>
    </w:p>
    <w:p>
      <w:pPr>
        <w:spacing w:after="80" w:before="40"/>
      </w:pPr>
      <w:r>
        <w:rPr>
          <w:rFonts w:ascii="Arial" w:cs="Arial" w:eastAsia="Arial" w:hAnsi="Arial"/>
          <w:b w:val="false"/>
          <w:bCs w:val="false"/>
          <w:i w:val="false"/>
          <w:iCs w:val="false"/>
          <w:color w:val="17181a"/>
          <w:sz w:val="22"/>
          <w:szCs w:val="22"/>
        </w:rPr>
        <w:t xml:space="preserve">Where the registry record returns a discrepancy — name mismatch, different registered owner, unresolved charge or encumbrance, or record not found — the listing is held and referred to Human Review within 4 hours of the discrepancy detection.</w:t>
      </w:r>
    </w:p>
    <w:p>
      <w:pPr>
        <w:pStyle w:val="Heading2"/>
        <w:pBdr>
          <w:bottom w:val="single" w:color="ddd7cc" w:sz="2" w:space="4"/>
        </w:pBdr>
        <w:spacing w:after="80" w:before="320"/>
      </w:pPr>
      <w:r>
        <w:rPr>
          <w:rFonts w:ascii="Arial" w:cs="Arial" w:eastAsia="Arial" w:hAnsi="Arial"/>
          <w:b/>
          <w:bCs/>
          <w:color w:val="17181a"/>
          <w:sz w:val="28"/>
          <w:szCs w:val="28"/>
        </w:rPr>
        <w:t xml:space="preserve">3.  Listing Standards — The Property Data Schema</w:t>
      </w:r>
    </w:p>
    <w:p>
      <w:pPr>
        <w:spacing w:after="80" w:before="40"/>
      </w:pPr>
      <w:r>
        <w:rPr>
          <w:rFonts w:ascii="Arial" w:cs="Arial" w:eastAsia="Arial" w:hAnsi="Arial"/>
          <w:b w:val="false"/>
          <w:bCs w:val="false"/>
          <w:i w:val="false"/>
          <w:iCs w:val="false"/>
          <w:color w:val="17181a"/>
          <w:sz w:val="22"/>
          <w:szCs w:val="22"/>
        </w:rPr>
        <w:t xml:space="preserve">Every listing published on FlatFinder must be completed in full to the schema below. Every field marked Required must be completed before publication. Every field marked Optional is disclosed if known. The schema is derived from the Baseline Property Requirements Document.</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1 — Classification</w:t>
      </w:r>
    </w:p>
    <w:p>
      <w:pPr>
        <w:spacing w:after="80" w:before="40"/>
      </w:pPr>
      <w:r>
        <w:rPr>
          <w:rFonts w:ascii="Arial" w:cs="Arial" w:eastAsia="Arial" w:hAnsi="Arial"/>
          <w:b w:val="false"/>
          <w:bCs w:val="false"/>
          <w:i w:val="false"/>
          <w:iCs w:val="false"/>
          <w:color w:val="17181a"/>
          <w:sz w:val="22"/>
          <w:szCs w:val="22"/>
        </w:rPr>
        <w:t xml:space="preserve">The nine legally recognised property types on this platform:</w:t>
      </w:r>
    </w:p>
    <w:p>
      <w:pPr>
        <w:pStyle w:val="ListParagraph"/>
        <w:numPr>
          <w:ilvl w:val="0"/>
          <w:numId w:val="2"/>
        </w:numPr>
        <w:spacing w:after="40" w:before="40"/>
      </w:pPr>
      <w:r>
        <w:rPr>
          <w:rFonts w:ascii="Arial" w:cs="Arial" w:eastAsia="Arial" w:hAnsi="Arial"/>
          <w:color w:val="17181a"/>
          <w:sz w:val="22"/>
          <w:szCs w:val="22"/>
        </w:rPr>
        <w:t xml:space="preserve">Detached house</w:t>
      </w:r>
    </w:p>
    <w:p>
      <w:pPr>
        <w:pStyle w:val="ListParagraph"/>
        <w:numPr>
          <w:ilvl w:val="0"/>
          <w:numId w:val="2"/>
        </w:numPr>
        <w:spacing w:after="40" w:before="40"/>
      </w:pPr>
      <w:r>
        <w:rPr>
          <w:rFonts w:ascii="Arial" w:cs="Arial" w:eastAsia="Arial" w:hAnsi="Arial"/>
          <w:color w:val="17181a"/>
          <w:sz w:val="22"/>
          <w:szCs w:val="22"/>
        </w:rPr>
        <w:t xml:space="preserve">Semi-detached house</w:t>
      </w:r>
    </w:p>
    <w:p>
      <w:pPr>
        <w:pStyle w:val="ListParagraph"/>
        <w:numPr>
          <w:ilvl w:val="0"/>
          <w:numId w:val="2"/>
        </w:numPr>
        <w:spacing w:after="40" w:before="40"/>
      </w:pPr>
      <w:r>
        <w:rPr>
          <w:rFonts w:ascii="Arial" w:cs="Arial" w:eastAsia="Arial" w:hAnsi="Arial"/>
          <w:color w:val="17181a"/>
          <w:sz w:val="22"/>
          <w:szCs w:val="22"/>
        </w:rPr>
        <w:t xml:space="preserve">Townhouse / row house</w:t>
      </w:r>
    </w:p>
    <w:p>
      <w:pPr>
        <w:pStyle w:val="ListParagraph"/>
        <w:numPr>
          <w:ilvl w:val="0"/>
          <w:numId w:val="2"/>
        </w:numPr>
        <w:spacing w:after="40" w:before="40"/>
      </w:pPr>
      <w:r>
        <w:rPr>
          <w:rFonts w:ascii="Arial" w:cs="Arial" w:eastAsia="Arial" w:hAnsi="Arial"/>
          <w:color w:val="17181a"/>
          <w:sz w:val="22"/>
          <w:szCs w:val="22"/>
        </w:rPr>
        <w:t xml:space="preserve">Apartment (low-rise — 1 to 4 storeys)</w:t>
      </w:r>
    </w:p>
    <w:p>
      <w:pPr>
        <w:pStyle w:val="ListParagraph"/>
        <w:numPr>
          <w:ilvl w:val="0"/>
          <w:numId w:val="2"/>
        </w:numPr>
        <w:spacing w:after="40" w:before="40"/>
      </w:pPr>
      <w:r>
        <w:rPr>
          <w:rFonts w:ascii="Arial" w:cs="Arial" w:eastAsia="Arial" w:hAnsi="Arial"/>
          <w:color w:val="17181a"/>
          <w:sz w:val="22"/>
          <w:szCs w:val="22"/>
        </w:rPr>
        <w:t xml:space="preserve">Apartment (mid-rise — 5 to 10 storeys)</w:t>
      </w:r>
    </w:p>
    <w:p>
      <w:pPr>
        <w:pStyle w:val="ListParagraph"/>
        <w:numPr>
          <w:ilvl w:val="0"/>
          <w:numId w:val="2"/>
        </w:numPr>
        <w:spacing w:after="40" w:before="40"/>
      </w:pPr>
      <w:r>
        <w:rPr>
          <w:rFonts w:ascii="Arial" w:cs="Arial" w:eastAsia="Arial" w:hAnsi="Arial"/>
          <w:color w:val="17181a"/>
          <w:sz w:val="22"/>
          <w:szCs w:val="22"/>
        </w:rPr>
        <w:t xml:space="preserve">Apartment (high-rise — 11 storeys and above)</w:t>
      </w:r>
    </w:p>
    <w:p>
      <w:pPr>
        <w:pStyle w:val="ListParagraph"/>
        <w:numPr>
          <w:ilvl w:val="0"/>
          <w:numId w:val="2"/>
        </w:numPr>
        <w:spacing w:after="40" w:before="40"/>
      </w:pPr>
      <w:r>
        <w:rPr>
          <w:rFonts w:ascii="Arial" w:cs="Arial" w:eastAsia="Arial" w:hAnsi="Arial"/>
          <w:color w:val="17181a"/>
          <w:sz w:val="22"/>
          <w:szCs w:val="22"/>
        </w:rPr>
        <w:t xml:space="preserve">Condominium unit</w:t>
      </w:r>
    </w:p>
    <w:p>
      <w:pPr>
        <w:pStyle w:val="ListParagraph"/>
        <w:numPr>
          <w:ilvl w:val="0"/>
          <w:numId w:val="2"/>
        </w:numPr>
        <w:spacing w:after="40" w:before="40"/>
      </w:pPr>
      <w:r>
        <w:rPr>
          <w:rFonts w:ascii="Arial" w:cs="Arial" w:eastAsia="Arial" w:hAnsi="Arial"/>
          <w:color w:val="17181a"/>
          <w:sz w:val="22"/>
          <w:szCs w:val="22"/>
        </w:rPr>
        <w:t xml:space="preserve">Secondary suite / legal basement apartment</w:t>
      </w:r>
    </w:p>
    <w:p>
      <w:pPr>
        <w:pStyle w:val="ListParagraph"/>
        <w:numPr>
          <w:ilvl w:val="0"/>
          <w:numId w:val="2"/>
        </w:numPr>
        <w:spacing w:after="40" w:before="40"/>
      </w:pPr>
      <w:r>
        <w:rPr>
          <w:rFonts w:ascii="Arial" w:cs="Arial" w:eastAsia="Arial" w:hAnsi="Arial"/>
          <w:color w:val="17181a"/>
          <w:sz w:val="22"/>
          <w:szCs w:val="22"/>
        </w:rPr>
        <w:t xml:space="preserve">Coach house / laneway house / garden suite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Field</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Required?</w:t>
            </w:r>
          </w:p>
        </w:tc>
        <w:tc>
          <w:tcPr>
            <w:tcW w:type="dxa" w:w="396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Property type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 (one of 9)</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From the list above only. No custom entries.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Rental scope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"Entire unit" / "Portion of unit (shared)" / "Shared with owner in residence"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Municipal rental licence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Text + upload</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here applicable)"/>
                <w:bCs w:val="Yes (where applicable)"/>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Licence number and scan of licence document where municipal licensing is required.</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Legal suite status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upload</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Is this a legally registered secondary suite? Upload supporting documentation.</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Outstanding permit orders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details</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Any open building permit, work order, or enforcement notice? Disclose in full.</w:t>
            </w:r>
          </w:p>
        </w:tc>
      </w:tr>
    </w:tbl>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2 — Physical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Field</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Required?</w:t>
            </w:r>
          </w:p>
        </w:tc>
        <w:tc>
          <w:tcPr>
            <w:tcW w:type="dxa" w:w="396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Legal civic address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Text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Full municipal address as it appears on the land title or municipal database.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Unit / suite number</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Text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Conditional"/>
                <w:bCs w:val="Condi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Required for multi-unit buildings.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Total interior sq ft (gross)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Gross interior area. Source: building permit, appraisal, or floor plan measurement.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Percentage below grade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 (%)</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0% for fully above-grade units. Required disclosure for all basement and partial-basement units.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Number of storeys in building</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Total storeys in the building, not in the unit.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Floor the unit is on</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Ground floor = 1.</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Year built</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 (year)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Original construction year. Source: building permit or municipal records.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Year of most recent major renovation</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 (year)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Disclose if applicable.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Bedrooms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Legal bedrooms meeting Building Code minimum dimensions.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Dens / flex rooms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Rooms not meeting legal bedroom dimensions.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Full bathrooms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Toilet + sink + bath or shower.</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Half bathrooms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Toilet + sink only.</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Layout type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Text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"Open plan" / "Traditional" / "Loft" / other. Describe honestly.</w:t>
            </w:r>
          </w:p>
        </w:tc>
      </w:tr>
    </w:tbl>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3 — Systems &amp; Appliances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Field</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Required?</w:t>
            </w:r>
          </w:p>
        </w:tc>
        <w:tc>
          <w:tcPr>
            <w:tcW w:type="dxa" w:w="396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Heating type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"Forced air" / "Radiant" / "Baseboard" / "In-floor" / "Heat pump" / "Other"</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Heating fuel / energy source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"Natural gas" / "Electric" / "Oil" / "Propane" / "Heat pump (electricity)" / "Other"</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Thermostat control</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"Individual unit control" / "Building-controlled" / "Landlord-controlled"</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Cooling / air conditioning</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"Central A/C" / "Wall unit(s)" / "Window unit(s)" / "None"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Ventilation</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"HRV" / "ERV" / "Exhaust fans only" / "None"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Refrigerator</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Included in unit?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Stove / oven</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"Gas" / "Electric" / "Induction" / "None"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Dishwasher</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Included in unit?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Microwave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Built-in or included?</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Range hood / exhaust</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Included in unit?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Washer</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"In-unit" / "In-suite" / "Shared (floor/building)" / "None"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Dryer</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"In-unit" / "In-suite" / "Shared (floor/building)" / "None"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Hot water source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"Tank (gas)" / "Tank (electric)" / "Tankless (gas)" / "Tankless (electric)" / "Building-supplied"</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Hot water ownership</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"Owned by landlord" / "Rented — cost included in rent" / "Rented — cost borne by tenant"</w:t>
            </w:r>
          </w:p>
        </w:tc>
      </w:tr>
    </w:tbl>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4 — Inclusions in 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Field</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Required?</w:t>
            </w:r>
          </w:p>
        </w:tc>
        <w:tc>
          <w:tcPr>
            <w:tcW w:type="dxa" w:w="396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Heat included in rent</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cap</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If yes: is there a usage cap? If yes: state the cap in CAD/month or kWh/month.</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Electricity (hydro)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cap</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If yes: state any cap. If no: tenant pays independently.</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Water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Tenant pays water separately if No.</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Internet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provider</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If yes: state provider and stated speed (e.g. "Bell 150Mbps").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Cable / streaming services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State what is included.</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Parking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"None" / "Surface" / "Underground" / "Garage"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EV charging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If Yes: level 1 or level 2? Cost if any.</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Parking cost (if not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 (CAD/month)</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Conditional"/>
                <w:bCs w:val="Condi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Required if parking is available but not included in rent.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Storage locker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If Yes: size in sq ft.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Storage locker cost (if not included)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Number (CAD/month)</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Conditional"/>
                <w:bCs w:val="Condi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Required if storage is available but at additional cost.</w:t>
            </w:r>
          </w:p>
        </w:tc>
      </w:tr>
    </w:tbl>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5 — Building &amp; Access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Field</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Required?</w:t>
            </w:r>
          </w:p>
        </w:tc>
        <w:tc>
          <w:tcPr>
            <w:tcW w:type="dxa" w:w="396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Elevator</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Building has an elevator? Required for honest disclosure to tenants with mobility requirements.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Wheelchair accessible unit</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Does the unit meet accessibility standards? Be specific.</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Wheelchair accessible building common areas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Lobby, entrance, common areas.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Concierge / front desk</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"24/7" / "Part-time" / "Virtual" / "None"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Intercom / video intercom</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Key / fob / app entry</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"Physical key" / "Key fob" / "App-based" / "Combination"</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Fitness centre / gym</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 the building.</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Rooftop access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Accessible to tenants.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Visitor parking</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count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Number of visitor spaces.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Bicycle storage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Secured indoor bicycle storage.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Additional storage lockers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Beyond the unit's assigned locker.</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Swimming pool</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w:bCs w:val="Optional"/>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Indoor or outdoor.</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Pets permitted</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Select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"Yes — all pets" / "Yes — with restrictions (state restrictions)" / "No pets"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Smoking permitted in unit</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Smoking permitted on balcony</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Balcony / terrace / outdoor space</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sq ft</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If yes: exclusive or shared? Approximate sq ft.</w:t>
            </w:r>
          </w:p>
        </w:tc>
      </w:tr>
    </w:tbl>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6 —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Field</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Type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Required?</w:t>
            </w:r>
          </w:p>
        </w:tc>
        <w:tc>
          <w:tcPr>
            <w:tcW w:type="dxa" w:w="396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Known deficiencies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Text (open)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Disclose all known deficiencies. "None known" is a valid entry but constitutes a declaration.</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Active construction — unit</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Any ongoing work within the unit.</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Active construction — building</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Any ongoing work in building common areas, mechanical systems, or envelope.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Active construction — adjacent property</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Construction at a neighbouring property within the landlord's knowledge.</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Water damage — last 36 months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Any water ingress, flooding, or water damage. Describe event and remediation.</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Mould — last 48 months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Any mould occurrence. Describe location, extent, remediation, and clearance testing.</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Pest control — last 24 months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Pest type, treatment method, date, and clearance confirmation.</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Outstanding city / municipal orders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upload</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Yes"/>
                <w:bCs w:val="Yes"/>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Copy of any order, notice, or enforcement action. "None" is a valid entry and constitutes a declaration.</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b/>
                <w:bCs/>
                <w:color w:val="17181a"/>
                <w:sz w:val="20"/>
                <w:szCs w:val="20"/>
              </w:rPr>
              <w:t xml:space="preserve">Insurance claims — last 36 months</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Boolean + description</w:t>
            </w:r>
          </w:p>
        </w:tc>
        <w:tc>
          <w:tcPr>
            <w:tcW w:type="dxa" w:w="1200"/>
            <w:tcBorders>
              <w:top w:val="single" w:color="ddd7cc" w:sz="1"/>
              <w:left w:val="single" w:color="ddd7cc" w:sz="1"/>
              <w:bottom w:val="single" w:color="ddd7cc" w:sz="1"/>
              <w:right w:val="single" w:color="ddd7cc" w:sz="1"/>
            </w:tcBorders>
            <w:shd w:fill="fdf5e8" w:val="clear"/>
            <w:tcMar>
              <w:top w:type="dxa" w:w="60"/>
              <w:left w:type="dxa" w:w="100"/>
              <w:bottom w:type="dxa" w:w="60"/>
              <w:right w:type="dxa" w:w="80"/>
            </w:tcMar>
          </w:tcPr>
          <w:p>
            <w:r>
              <w:rPr>
                <w:rFonts w:ascii="Arial" w:cs="Arial" w:eastAsia="Arial" w:hAnsi="Arial"/>
                <w:b w:val="Optional but recommended"/>
                <w:bCs w:val="Optional but recommended"/>
                <w:color w:val="ec8200"/>
                <w:sz w:val="20"/>
                <w:szCs w:val="20"/>
              </w:rPr>
              <w:t xml:space="preserve">Required</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Any claim made against property insurance. Outcome and repair confirmation.</w:t>
            </w:r>
          </w:p>
        </w:tc>
      </w:tr>
    </w:tbl>
    <w:p>
      <w:pPr>
        <w:spacing w:after="100" w:before="0"/>
      </w:pPr>
      <w:r>
        <w:t xml:space="preserve"/>
      </w:r>
    </w:p>
    <w:p>
      <w:pPr>
        <w:pStyle w:val="Heading3"/>
        <w:spacing w:after="60" w:before="220"/>
      </w:pPr>
      <w:r>
        <w:rPr>
          <w:rFonts w:ascii="Arial" w:cs="Arial" w:eastAsia="Arial" w:hAnsi="Arial"/>
          <w:b/>
          <w:bCs/>
          <w:color w:val="1b65a5"/>
          <w:sz w:val="24"/>
          <w:szCs w:val="24"/>
        </w:rPr>
        <w:t xml:space="preserve">Section 7 — Landlord Declaration</w:t>
      </w:r>
    </w:p>
    <w:p>
      <w:pPr>
        <w:spacing w:after="80" w:before="40"/>
      </w:pPr>
      <w:r>
        <w:rPr>
          <w:rFonts w:ascii="Arial" w:cs="Arial" w:eastAsia="Arial" w:hAnsi="Arial"/>
          <w:b w:val="false"/>
          <w:bCs w:val="false"/>
          <w:i w:val="false"/>
          <w:iCs w:val="false"/>
          <w:color w:val="17181a"/>
          <w:sz w:val="22"/>
          <w:szCs w:val="22"/>
        </w:rPr>
        <w:t xml:space="preserve">The following declaration is presented to the landlord at the end of the listing intake and must be confirmed before the listing is submitted for verification:</w:t>
      </w:r>
    </w:p>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65a5" w:sz="8"/>
              <w:bottom w:val="none" w:color="FFFFFF" w:sz="0"/>
              <w:right w:val="none" w:color="FFFFFF" w:sz="0"/>
            </w:tcBorders>
            <w:shd w:fill="f0f5fb" w:val="clear"/>
            <w:tcMar>
              <w:top w:type="dxa" w:w="100"/>
              <w:left w:type="dxa" w:w="180"/>
              <w:bottom w:type="dxa" w:w="100"/>
              <w:right w:type="dxa" w:w="180"/>
            </w:tcMar>
          </w:tcPr>
          <w:p>
            <w:r>
              <w:rPr>
                <w:rFonts w:ascii="Arial" w:cs="Arial" w:eastAsia="Arial" w:hAnsi="Arial"/>
                <w:color w:val="17181a"/>
                <w:sz w:val="22"/>
                <w:szCs w:val="22"/>
              </w:rPr>
              <w:t xml:space="preserve">I declare that all information submitted in this listing is accurate and complete to the best of my knowledge. I understand that FlatFinder will cross-reference this information against municipal, provincial, and Crown/Council records. I understand that any material inaccuracy or omission — whether intentional or not — constitutes a breach of my Platform Agreement and may result in the immediate removal of my listing, the termination of my account, and referral to the appropriate authority. I have read and agree to FlatFinder's Platform Agreement, Listing Standards, and the Verified Match Conversation requirements.</w:t>
            </w:r>
          </w:p>
        </w:tc>
      </w:tr>
    </w:tbl>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declaration is date-stamped and retained as part of the landlord's permanent record on the platform. It cannot be unsigned, amended, or retracted after submission.</w:t>
      </w:r>
    </w:p>
    <w:p>
      <w:pPr>
        <w:spacing w:after="1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4.  Listing Standards — Publication Requirements</w:t>
      </w:r>
    </w:p>
    <w:p>
      <w:pPr>
        <w:spacing w:after="80" w:before="40"/>
      </w:pPr>
      <w:r>
        <w:rPr>
          <w:rFonts w:ascii="Arial" w:cs="Arial" w:eastAsia="Arial" w:hAnsi="Arial"/>
          <w:b w:val="false"/>
          <w:bCs w:val="false"/>
          <w:i w:val="false"/>
          <w:iCs w:val="false"/>
          <w:color w:val="17181a"/>
          <w:sz w:val="22"/>
          <w:szCs w:val="22"/>
        </w:rPr>
        <w:t xml:space="preserve">Beyond completing the schema, every listing must meet the following publication requirements before it enters the matching pool:</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4.1  Floor Plan — Mandatory</w:t>
      </w:r>
    </w:p>
    <w:p>
      <w:pPr>
        <w:spacing w:after="80" w:before="40"/>
      </w:pPr>
      <w:r>
        <w:rPr>
          <w:rFonts w:ascii="Arial" w:cs="Arial" w:eastAsia="Arial" w:hAnsi="Arial"/>
          <w:b w:val="false"/>
          <w:bCs w:val="false"/>
          <w:i w:val="false"/>
          <w:iCs w:val="false"/>
          <w:color w:val="17181a"/>
          <w:sz w:val="22"/>
          <w:szCs w:val="22"/>
        </w:rPr>
        <w:t xml:space="preserve">A floor plan is required for every listing without exception. The floor plan must:</w:t>
      </w:r>
    </w:p>
    <w:p>
      <w:pPr>
        <w:pStyle w:val="ListParagraph"/>
        <w:numPr>
          <w:ilvl w:val="0"/>
          <w:numId w:val="2"/>
        </w:numPr>
        <w:spacing w:after="40" w:before="40"/>
      </w:pPr>
      <w:r>
        <w:rPr>
          <w:rFonts w:ascii="Arial" w:cs="Arial" w:eastAsia="Arial" w:hAnsi="Arial"/>
          <w:color w:val="17181a"/>
          <w:sz w:val="22"/>
          <w:szCs w:val="22"/>
        </w:rPr>
        <w:t xml:space="preserve">Show all rooms with approximate dimensions (hand-drawn is accepted).</w:t>
      </w:r>
    </w:p>
    <w:p>
      <w:pPr>
        <w:pStyle w:val="ListParagraph"/>
        <w:numPr>
          <w:ilvl w:val="0"/>
          <w:numId w:val="2"/>
        </w:numPr>
        <w:spacing w:after="40" w:before="40"/>
      </w:pPr>
      <w:r>
        <w:rPr>
          <w:rFonts w:ascii="Arial" w:cs="Arial" w:eastAsia="Arial" w:hAnsi="Arial"/>
          <w:color w:val="17181a"/>
          <w:sz w:val="22"/>
          <w:szCs w:val="22"/>
        </w:rPr>
        <w:t xml:space="preserve">Identify the location and approximate size of all windows.</w:t>
      </w:r>
    </w:p>
    <w:p>
      <w:pPr>
        <w:pStyle w:val="ListParagraph"/>
        <w:numPr>
          <w:ilvl w:val="0"/>
          <w:numId w:val="2"/>
        </w:numPr>
        <w:spacing w:after="40" w:before="40"/>
      </w:pPr>
      <w:r>
        <w:rPr>
          <w:rFonts w:ascii="Arial" w:cs="Arial" w:eastAsia="Arial" w:hAnsi="Arial"/>
          <w:color w:val="17181a"/>
          <w:sz w:val="22"/>
          <w:szCs w:val="22"/>
        </w:rPr>
        <w:t xml:space="preserve">Show the relationship between rooms (which rooms connect to which).</w:t>
      </w:r>
    </w:p>
    <w:p>
      <w:pPr>
        <w:pStyle w:val="ListParagraph"/>
        <w:numPr>
          <w:ilvl w:val="0"/>
          <w:numId w:val="2"/>
        </w:numPr>
        <w:spacing w:after="40" w:before="40"/>
      </w:pPr>
      <w:r>
        <w:rPr>
          <w:rFonts w:ascii="Arial" w:cs="Arial" w:eastAsia="Arial" w:hAnsi="Arial"/>
          <w:color w:val="17181a"/>
          <w:sz w:val="22"/>
          <w:szCs w:val="22"/>
        </w:rPr>
        <w:t xml:space="preserve">Identify all exterior doors and building entrances accessible to the unit.</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A listing without a floor plan is not published. This is not negotiable. A landlord who claims they do not have a floor plan is directed to measure and sketch one. The platform provides a template.</w:t>
      </w:r>
    </w:p>
    <w:p>
      <w:pPr>
        <w:pStyle w:val="Heading3"/>
        <w:spacing w:after="60" w:before="220"/>
      </w:pPr>
      <w:r>
        <w:rPr>
          <w:rFonts w:ascii="Arial" w:cs="Arial" w:eastAsia="Arial" w:hAnsi="Arial"/>
          <w:b/>
          <w:bCs/>
          <w:color w:val="1b65a5"/>
          <w:sz w:val="24"/>
          <w:szCs w:val="24"/>
        </w:rPr>
        <w:t xml:space="preserve">4.2  Inspection Date — Mandatory</w:t>
      </w:r>
    </w:p>
    <w:p>
      <w:pPr>
        <w:spacing w:after="80" w:before="40"/>
      </w:pPr>
      <w:r>
        <w:rPr>
          <w:rFonts w:ascii="Arial" w:cs="Arial" w:eastAsia="Arial" w:hAnsi="Arial"/>
          <w:b w:val="false"/>
          <w:bCs w:val="false"/>
          <w:i w:val="false"/>
          <w:iCs w:val="false"/>
          <w:color w:val="17181a"/>
          <w:sz w:val="22"/>
          <w:szCs w:val="22"/>
        </w:rPr>
        <w:t xml:space="preserve">Every listing must carry a professional inspection date within 24 months of publication. The inspection date, inspector's name, and licence number are displayed on the published listing, visible to all tenants.</w:t>
      </w:r>
    </w:p>
    <w:p>
      <w:pPr>
        <w:spacing w:after="80" w:before="40"/>
      </w:pPr>
      <w:r>
        <w:rPr>
          <w:rFonts w:ascii="Arial" w:cs="Arial" w:eastAsia="Arial" w:hAnsi="Arial"/>
          <w:b w:val="false"/>
          <w:bCs w:val="false"/>
          <w:i w:val="false"/>
          <w:iCs w:val="false"/>
          <w:color w:val="17181a"/>
          <w:sz w:val="22"/>
          <w:szCs w:val="22"/>
        </w:rPr>
        <w:t xml:space="preserve">A listing without a verified inspection date may not use any of the following terms in the listing description: clean, well-maintained, excellent condition, move-in ready, or any equivalent descriptor of the property's physical state. The prohibition is enforced at the time of listing submission and rescanned continuously.</w:t>
      </w:r>
    </w:p>
    <w:p>
      <w:pPr>
        <w:pStyle w:val="Heading3"/>
        <w:spacing w:after="60" w:before="220"/>
      </w:pPr>
      <w:r>
        <w:rPr>
          <w:rFonts w:ascii="Arial" w:cs="Arial" w:eastAsia="Arial" w:hAnsi="Arial"/>
          <w:b/>
          <w:bCs/>
          <w:color w:val="1b65a5"/>
          <w:sz w:val="24"/>
          <w:szCs w:val="24"/>
        </w:rPr>
        <w:t xml:space="preserve">4.3  Photographs — Standards</w:t>
      </w:r>
    </w:p>
    <w:p>
      <w:pPr>
        <w:pStyle w:val="ListParagraph"/>
        <w:numPr>
          <w:ilvl w:val="0"/>
          <w:numId w:val="2"/>
        </w:numPr>
        <w:spacing w:after="40" w:before="40"/>
      </w:pPr>
      <w:r>
        <w:rPr>
          <w:rFonts w:ascii="Arial" w:cs="Arial" w:eastAsia="Arial" w:hAnsi="Arial"/>
          <w:color w:val="17181a"/>
          <w:sz w:val="22"/>
          <w:szCs w:val="22"/>
        </w:rPr>
        <w:t xml:space="preserve">All photographs must be dated. The date is displayed on the published listing.</w:t>
      </w:r>
    </w:p>
    <w:p>
      <w:pPr>
        <w:pStyle w:val="ListParagraph"/>
        <w:numPr>
          <w:ilvl w:val="0"/>
          <w:numId w:val="2"/>
        </w:numPr>
        <w:spacing w:after="40" w:before="40"/>
      </w:pPr>
      <w:r>
        <w:rPr>
          <w:rFonts w:ascii="Arial" w:cs="Arial" w:eastAsia="Arial" w:hAnsi="Arial"/>
          <w:color w:val="17181a"/>
          <w:sz w:val="22"/>
          <w:szCs w:val="22"/>
        </w:rPr>
        <w:t xml:space="preserve">Photographs older than 90 days at the time of listing publication are flagged. The landlord must confirm in writing that the photographs represent the current condition of the property. The confirmation is date-stamped and retained.</w:t>
      </w:r>
    </w:p>
    <w:p>
      <w:pPr>
        <w:pStyle w:val="ListParagraph"/>
        <w:numPr>
          <w:ilvl w:val="0"/>
          <w:numId w:val="2"/>
        </w:numPr>
        <w:spacing w:after="40" w:before="40"/>
      </w:pPr>
      <w:r>
        <w:rPr>
          <w:rFonts w:ascii="Arial" w:cs="Arial" w:eastAsia="Arial" w:hAnsi="Arial"/>
          <w:color w:val="17181a"/>
          <w:sz w:val="22"/>
          <w:szCs w:val="22"/>
        </w:rPr>
        <w:t xml:space="preserve">A minimum of one photograph of each room is required, including bathrooms.</w:t>
      </w:r>
    </w:p>
    <w:p>
      <w:pPr>
        <w:pStyle w:val="ListParagraph"/>
        <w:numPr>
          <w:ilvl w:val="0"/>
          <w:numId w:val="2"/>
        </w:numPr>
        <w:spacing w:after="40" w:before="40"/>
      </w:pPr>
      <w:r>
        <w:rPr>
          <w:rFonts w:ascii="Arial" w:cs="Arial" w:eastAsia="Arial" w:hAnsi="Arial"/>
          <w:color w:val="17181a"/>
          <w:sz w:val="22"/>
          <w:szCs w:val="22"/>
        </w:rPr>
        <w:t xml:space="preserve">A photograph of the building exterior is required.</w:t>
      </w:r>
    </w:p>
    <w:p>
      <w:pPr>
        <w:pStyle w:val="ListParagraph"/>
        <w:numPr>
          <w:ilvl w:val="0"/>
          <w:numId w:val="2"/>
        </w:numPr>
        <w:spacing w:after="40" w:before="40"/>
      </w:pPr>
      <w:r>
        <w:rPr>
          <w:rFonts w:ascii="Arial" w:cs="Arial" w:eastAsia="Arial" w:hAnsi="Arial"/>
          <w:color w:val="17181a"/>
          <w:sz w:val="22"/>
          <w:szCs w:val="22"/>
        </w:rPr>
        <w:t xml:space="preserve">A photograph of the entrance to the unit is required.</w:t>
      </w:r>
    </w:p>
    <w:p>
      <w:pPr>
        <w:pStyle w:val="ListParagraph"/>
        <w:numPr>
          <w:ilvl w:val="0"/>
          <w:numId w:val="2"/>
        </w:numPr>
        <w:spacing w:after="40" w:before="40"/>
      </w:pPr>
      <w:r>
        <w:rPr>
          <w:rFonts w:ascii="Arial" w:cs="Arial" w:eastAsia="Arial" w:hAnsi="Arial"/>
          <w:color w:val="17181a"/>
          <w:sz w:val="22"/>
          <w:szCs w:val="22"/>
        </w:rPr>
        <w:t xml:space="preserve">Photographs must not be digitally altered to misrepresent the property's dimensions, light, condition, or features. Colour correction and brightness adjustment are permitted. Removal, addition, or distortion of physical features is not.</w:t>
      </w:r>
    </w:p>
    <w:p>
      <w:pPr>
        <w:pStyle w:val="Heading3"/>
        <w:spacing w:after="60" w:before="220"/>
      </w:pPr>
      <w:r>
        <w:rPr>
          <w:rFonts w:ascii="Arial" w:cs="Arial" w:eastAsia="Arial" w:hAnsi="Arial"/>
          <w:b/>
          <w:bCs/>
          <w:color w:val="1b65a5"/>
          <w:sz w:val="24"/>
          <w:szCs w:val="24"/>
        </w:rPr>
        <w:t xml:space="preserve">4.4  Availability Date — Mandatory</w:t>
      </w:r>
    </w:p>
    <w:p>
      <w:pPr>
        <w:spacing w:after="80" w:before="40"/>
      </w:pPr>
      <w:r>
        <w:rPr>
          <w:rFonts w:ascii="Arial" w:cs="Arial" w:eastAsia="Arial" w:hAnsi="Arial"/>
          <w:b w:val="false"/>
          <w:bCs w:val="false"/>
          <w:i w:val="false"/>
          <w:iCs w:val="false"/>
          <w:color w:val="17181a"/>
          <w:sz w:val="22"/>
          <w:szCs w:val="22"/>
        </w:rPr>
        <w:t xml:space="preserve">Every listing must state a specific move-in date: a confirmed calendar date. Expressions such as "available soon", "flexible", "to be negotiated", "immediately", or any non-specific date descriptor are not accepted. The system rejects listings without a confirmed calendar date. The date must be on or after the listing publication date.</w:t>
      </w:r>
    </w:p>
    <w:p>
      <w:pPr>
        <w:pStyle w:val="Heading3"/>
        <w:spacing w:after="60" w:before="220"/>
      </w:pPr>
      <w:r>
        <w:rPr>
          <w:rFonts w:ascii="Arial" w:cs="Arial" w:eastAsia="Arial" w:hAnsi="Arial"/>
          <w:b/>
          <w:bCs/>
          <w:color w:val="1b65a5"/>
          <w:sz w:val="24"/>
          <w:szCs w:val="24"/>
        </w:rPr>
        <w:t xml:space="preserve">4.5  Prohibited Terms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The following terms are prohibited in all FlatFinder listing copy and may not appear in any field of the listing schema: luxury · premium rental · upscale · high-end · exclusive. These are not quality descriptors. They are markers of vague language designed to obscure the absence of verifiable quality claims. The platform exists to eliminate vague language. These words have no place in any listing on this platform.</w:t>
            </w:r>
          </w:p>
        </w:tc>
      </w:tr>
    </w:tbl>
    <w:p>
      <w:pPr>
        <w:spacing w:after="100" w:before="0"/>
      </w:pPr>
      <w:r>
        <w:t xml:space="preserve"/>
      </w:r>
    </w:p>
    <w:p>
      <w:pPr>
        <w:spacing w:after="60" w:before="60"/>
      </w:pPr>
      <w:r>
        <w:rPr>
          <w:rFonts w:ascii="Arial" w:cs="Arial" w:eastAsia="Arial" w:hAnsi="Arial"/>
          <w:i/>
          <w:iCs/>
          <w:color w:val="7a7670"/>
          <w:sz w:val="16"/>
          <w:szCs w:val="16"/>
        </w:rPr>
        <w:t xml:space="preserve">© 2024–2026 Lila Inglis Abegunrin · FlatFinder Inc. · Trademarks and Patents Pending (CIPO) · Proprietary and Confidential</w:t>
      </w:r>
    </w:p>
    <w:p>
      <w:r>
        <w:br w:type="page"/>
      </w:r>
    </w:p>
    <w:p>
      <w:pPr>
        <w:spacing w:after="60" w:before="360"/>
      </w:pPr>
      <w:r>
        <w:rPr>
          <w:rFonts w:ascii="Arial" w:cs="Arial" w:eastAsia="Arial" w:hAnsi="Arial"/>
          <w:b/>
          <w:bCs/>
          <w:caps/>
          <w:color w:val="1b65a5"/>
          <w:spacing w:val="50"/>
          <w:sz w:val="18"/>
          <w:szCs w:val="18"/>
        </w:rPr>
        <w:t xml:space="preserve">FF-CORE-011  ·  Core Algorithm  ·  Version 1.0</w:t>
      </w:r>
    </w:p>
    <w:p>
      <w:pPr>
        <w:pBdr>
          <w:bottom w:val="single" w:color="17181a" w:sz="12" w:space="6"/>
        </w:pBdr>
        <w:spacing w:after="40" w:before="0"/>
      </w:pPr>
      <w:r>
        <w:rPr>
          <w:rFonts w:ascii="Arial" w:cs="Arial" w:eastAsia="Arial" w:hAnsi="Arial"/>
          <w:b/>
          <w:bCs/>
          <w:caps/>
          <w:color w:val="7a7670"/>
          <w:spacing w:val="40"/>
          <w:sz w:val="20"/>
          <w:szCs w:val="20"/>
        </w:rPr>
        <w:t xml:space="preserve">FF-CORE-011</w:t>
      </w:r>
      <w:r>
        <w:rPr>
          <w:rFonts w:ascii="Arial" w:cs="Arial" w:eastAsia="Arial" w:hAnsi="Arial"/>
          <w:color w:val="ddd7cc"/>
          <w:sz w:val="20"/>
          <w:szCs w:val="20"/>
        </w:rPr>
        <w:t xml:space="preserve">  —  </w:t>
      </w:r>
      <w:r>
        <w:rPr>
          <w:rFonts w:ascii="Arial" w:cs="Arial" w:eastAsia="Arial" w:hAnsi="Arial"/>
          <w:color w:val="7a7670"/>
          <w:sz w:val="20"/>
          <w:szCs w:val="20"/>
        </w:rPr>
        <w:t xml:space="preserve">Matching Logic &amp; Filter Hierarchy</w:t>
      </w:r>
    </w:p>
    <w:p>
      <w:pPr>
        <w:spacing w:after="160" w:before="0"/>
      </w:pPr>
      <w:r>
        <w:rPr>
          <w:rFonts w:ascii="Arial" w:cs="Arial" w:eastAsia="Arial" w:hAnsi="Arial"/>
          <w:b/>
          <w:bCs/>
          <w:color w:val="17181a"/>
          <w:sz w:val="56"/>
          <w:szCs w:val="56"/>
        </w:rPr>
        <w:t xml:space="preserve">Matching Logic &amp; Filter Hierarchy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Status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Live · Version 1.0 · April 2026</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Category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Core Algorithm · Platform Integrity</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Linked PRDs</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FF-CORE-007 · FF-CORE-008 · FF-CORE-008-S7 · FF-CORE-009 · FF-CORE-010</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none" w:color="FFFFFF" w:sz="0"/>
              <w:left w:val="single" w:color="1b65a5" w:sz="6"/>
              <w:bottom w:val="none" w:color="FFFFFF" w:sz="0"/>
              <w:right w:val="none" w:color="FFFFFF" w:sz="0"/>
            </w:tcBorders>
            <w:shd w:fill="f7f4ef" w:val="clear"/>
            <w:tcMar>
              <w:top w:type="dxa" w:w="60"/>
              <w:left w:type="dxa" w:w="140"/>
              <w:bottom w:type="dxa" w:w="60"/>
              <w:right w:type="dxa" w:w="100"/>
            </w:tcMar>
          </w:tcPr>
          <w:p>
            <w:r>
              <w:rPr>
                <w:rFonts w:ascii="Arial" w:cs="Arial" w:eastAsia="Arial" w:hAnsi="Arial"/>
                <w:b/>
                <w:bCs/>
                <w:caps/>
                <w:color w:val="7a7670"/>
                <w:spacing w:val="30"/>
                <w:sz w:val="18"/>
                <w:szCs w:val="18"/>
              </w:rPr>
              <w:t xml:space="preserve">Summary</w:t>
            </w:r>
          </w:p>
        </w:tc>
        <w:tc>
          <w:tcPr>
            <w:tcW w:type="dxa" w:w="7160"/>
            <w:tcBorders>
              <w:top w:val="none" w:color="FFFFFF" w:sz="0"/>
              <w:left w:val="none" w:color="FFFFFF" w:sz="0"/>
              <w:bottom w:val="none" w:color="FFFFFF" w:sz="0"/>
              <w:right w:val="none" w:color="FFFFFF" w:sz="0"/>
            </w:tcBorders>
            <w:shd w:fill="f7f4ef" w:val="clear"/>
            <w:tcMar>
              <w:top w:type="dxa" w:w="60"/>
              <w:left w:type="dxa" w:w="140"/>
              <w:bottom w:type="dxa" w:w="60"/>
              <w:right w:type="dxa" w:w="80"/>
            </w:tcMar>
          </w:tcPr>
          <w:p>
            <w:r>
              <w:rPr>
                <w:rFonts w:ascii="Arial" w:cs="Arial" w:eastAsia="Arial" w:hAnsi="Arial"/>
                <w:color w:val="17181a"/>
                <w:sz w:val="22"/>
                <w:szCs w:val="22"/>
              </w:rPr>
              <w:t xml:space="preserve">Six sequential hard-gate filters run before the Anti-Gatekeeping Affordability Algorithm™ processes any match. A listing or tenant profile that fails any filter does not reach the algorithm. The algorithm's internal logic is proprietary and not disclosed in this document or anywhere accessible to external parties.</w:t>
            </w:r>
          </w:p>
        </w:tc>
      </w:tr>
    </w:tbl>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c8200" w:sz="10"/>
              <w:bottom w:val="none" w:color="FFFFFF" w:sz="0"/>
              <w:right w:val="none" w:color="FFFFFF" w:sz="0"/>
            </w:tcBorders>
            <w:shd w:fill="fdf5e8" w:val="clear"/>
            <w:tcMar>
              <w:top w:type="dxa" w:w="100"/>
              <w:left w:type="dxa" w:w="180"/>
              <w:bottom w:type="dxa" w:w="100"/>
              <w:right w:type="dxa" w:w="180"/>
            </w:tcMar>
          </w:tcPr>
          <w:p>
            <w:r>
              <w:rPr>
                <w:rFonts w:ascii="Arial" w:cs="Arial" w:eastAsia="Arial" w:hAnsi="Arial"/>
                <w:color w:val="17181a"/>
                <w:sz w:val="22"/>
                <w:szCs w:val="22"/>
              </w:rPr>
              <w:t xml:space="preserve">CONFIDENTIALITY — The Anti-Gatekeeping Affordability Algorithm™: its logic, methodology, weighting criteria, scoring model, training data, intermediate calculations, configuration parameters, and source code are proprietary and protected under CIPO patent pending status. This PRD documents the external filter hierarchy and the algorithm's output interface only. Nothing in this document — or in any document accessible to landlords, tenants, contractors, or reviewers — discloses the algorithm's internal mechanics.</w:t>
            </w:r>
          </w:p>
        </w:tc>
      </w:tr>
    </w:tbl>
    <w:p>
      <w:pPr>
        <w:spacing w:after="1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1.  The Algorithm — What This PRD Discloses</w:t>
      </w:r>
    </w:p>
    <w:p>
      <w:pPr>
        <w:spacing w:after="80" w:before="40"/>
      </w:pPr>
      <w:r>
        <w:rPr>
          <w:rFonts w:ascii="Arial" w:cs="Arial" w:eastAsia="Arial" w:hAnsi="Arial"/>
          <w:b w:val="false"/>
          <w:bCs w:val="false"/>
          <w:i w:val="false"/>
          <w:iCs w:val="false"/>
          <w:color w:val="17181a"/>
          <w:sz w:val="22"/>
          <w:szCs w:val="22"/>
        </w:rPr>
        <w:t xml:space="preserve">The Anti-Gatekeeping Affordability Algorithm™ produces a ranked match list. The ranking is the output. The methodology that produces the ranking is not disclosed here.</w:t>
      </w:r>
    </w:p>
    <w:p>
      <w:pPr>
        <w:spacing w:after="80" w:before="40"/>
      </w:pPr>
      <w:r>
        <w:rPr>
          <w:rFonts w:ascii="Arial" w:cs="Arial" w:eastAsia="Arial" w:hAnsi="Arial"/>
          <w:b w:val="false"/>
          <w:bCs w:val="false"/>
          <w:i w:val="false"/>
          <w:iCs w:val="false"/>
          <w:color w:val="17181a"/>
          <w:sz w:val="22"/>
          <w:szCs w:val="22"/>
        </w:rPr>
        <w:t xml:space="preserve">What this PRD discloses: the six hard-gate filters that every listing and tenant profile must pass before the algorithm processes them. The filters are objective, rule-based, and fully documented here. They are not the algorithm. They are the gate before the algorithm.</w:t>
      </w:r>
    </w:p>
    <w:p>
      <w:pPr>
        <w:spacing w:after="80" w:before="40"/>
      </w:pPr>
      <w:r>
        <w:rPr>
          <w:rFonts w:ascii="Arial" w:cs="Arial" w:eastAsia="Arial" w:hAnsi="Arial"/>
          <w:b w:val="false"/>
          <w:bCs w:val="false"/>
          <w:i w:val="false"/>
          <w:iCs w:val="false"/>
          <w:color w:val="17181a"/>
          <w:sz w:val="22"/>
          <w:szCs w:val="22"/>
        </w:rPr>
        <w:t xml:space="preserve">What this PRD does not disclose: how the algorithm weights the inputs, how it scores compatibility, how it ranks matches, how it handles edge cases, or what signals it uses. Those are trade secrets.</w:t>
      </w:r>
    </w:p>
    <w:p>
      <w:pPr>
        <w:pStyle w:val="Heading2"/>
        <w:pBdr>
          <w:bottom w:val="single" w:color="ddd7cc" w:sz="2" w:space="4"/>
        </w:pBdr>
        <w:spacing w:after="80" w:before="320"/>
      </w:pPr>
      <w:r>
        <w:rPr>
          <w:rFonts w:ascii="Arial" w:cs="Arial" w:eastAsia="Arial" w:hAnsi="Arial"/>
          <w:b/>
          <w:bCs/>
          <w:color w:val="17181a"/>
          <w:sz w:val="28"/>
          <w:szCs w:val="28"/>
        </w:rPr>
        <w:t xml:space="preserve">2.  Affordability Standard</w:t>
      </w:r>
    </w:p>
    <w:p>
      <w:pPr>
        <w:spacing w:after="80" w:before="40"/>
      </w:pPr>
      <w:r>
        <w:rPr>
          <w:rFonts w:ascii="Arial" w:cs="Arial" w:eastAsia="Arial" w:hAnsi="Arial"/>
          <w:b w:val="false"/>
          <w:bCs w:val="false"/>
          <w:i w:val="false"/>
          <w:iCs w:val="false"/>
          <w:color w:val="17181a"/>
          <w:sz w:val="22"/>
          <w:szCs w:val="22"/>
        </w:rPr>
        <w:t xml:space="preserve">The algorithm's affordability assessment is based on 40% of the tenant's verified net monthly income. It does not use the traditional 3x gross monthly rent rule.</w:t>
      </w:r>
    </w:p>
    <w:p>
      <w:pPr>
        <w:spacing w:after="80" w:before="40"/>
      </w:pPr>
      <w:r>
        <w:rPr>
          <w:rFonts w:ascii="Arial" w:cs="Arial" w:eastAsia="Arial" w:hAnsi="Arial"/>
          <w:b w:val="false"/>
          <w:bCs w:val="false"/>
          <w:i w:val="false"/>
          <w:iCs w:val="false"/>
          <w:color w:val="17181a"/>
          <w:sz w:val="22"/>
          <w:szCs w:val="22"/>
        </w:rPr>
        <w:t xml:space="preserve">The 3x rent rule is a heuristic derived from mortgage lending practice. It was designed to assess whether a borrower can service a mortgage debt — not whether a tenant can sustain a rental. It systematically excludes tenants with irregular income, high savings, or income sources that are not monthly wages. FlatFinder does not use it.</w:t>
      </w:r>
    </w:p>
    <w:p>
      <w:pPr>
        <w:spacing w:after="80" w:before="40"/>
      </w:pPr>
      <w:r>
        <w:rPr>
          <w:rFonts w:ascii="Arial" w:cs="Arial" w:eastAsia="Arial" w:hAnsi="Arial"/>
          <w:b w:val="false"/>
          <w:bCs w:val="false"/>
          <w:i w:val="false"/>
          <w:iCs w:val="false"/>
          <w:color w:val="17181a"/>
          <w:sz w:val="22"/>
          <w:szCs w:val="22"/>
        </w:rPr>
        <w:t xml:space="preserve">The 40% of net income standard means: a tenant whose verified net income is CAD $3,500/month qualifies for any property with a monthly rent at or below CAD $1,400. A tenant whose verified bank reserves demonstrate 6 months of rent at the sought property is assessed on the reserve basis under Tier 1 (FF-CORE-009), not on income alone.</w:t>
      </w:r>
    </w:p>
    <w:p>
      <w:pPr>
        <w:pStyle w:val="Heading2"/>
        <w:pBdr>
          <w:bottom w:val="single" w:color="ddd7cc" w:sz="2" w:space="4"/>
        </w:pBdr>
        <w:spacing w:after="80" w:before="320"/>
      </w:pPr>
      <w:r>
        <w:rPr>
          <w:rFonts w:ascii="Arial" w:cs="Arial" w:eastAsia="Arial" w:hAnsi="Arial"/>
          <w:b/>
          <w:bCs/>
          <w:color w:val="17181a"/>
          <w:sz w:val="28"/>
          <w:szCs w:val="28"/>
        </w:rPr>
        <w:t xml:space="preserve">3.  The Six Hard-Gate Filters</w:t>
      </w:r>
    </w:p>
    <w:p>
      <w:pPr>
        <w:spacing w:after="80" w:before="40"/>
      </w:pPr>
      <w:r>
        <w:rPr>
          <w:rFonts w:ascii="Arial" w:cs="Arial" w:eastAsia="Arial" w:hAnsi="Arial"/>
          <w:b w:val="false"/>
          <w:bCs w:val="false"/>
          <w:i w:val="false"/>
          <w:iCs w:val="false"/>
          <w:color w:val="17181a"/>
          <w:sz w:val="22"/>
          <w:szCs w:val="22"/>
        </w:rPr>
        <w:t xml:space="preserve">The filters run in the sequence below. A listing or tenant profile that fails Filter 1 is not assessed against Filter 2. Each filter is a binary gate: pass or fail. There is no partial credit and no weighted exception.</w:t>
      </w:r>
    </w:p>
    <w:p>
      <w:pPr>
        <w:spacing w:after="100" w:before="0"/>
      </w:pPr>
      <w:r>
        <w:t xml:space="preserve"/>
      </w:r>
    </w:p>
    <w:p>
      <w:pPr>
        <w:pStyle w:val="Heading3"/>
        <w:spacing w:after="60" w:before="220"/>
      </w:pPr>
      <w:r>
        <w:rPr>
          <w:rFonts w:ascii="Arial" w:cs="Arial" w:eastAsia="Arial" w:hAnsi="Arial"/>
          <w:b/>
          <w:bCs/>
          <w:color w:val="1b65a5"/>
          <w:sz w:val="24"/>
          <w:szCs w:val="24"/>
        </w:rPr>
        <w:t xml:space="preserve">Filter 1 — Verification Status: Listing</w:t>
      </w:r>
    </w:p>
    <w:p>
      <w:pPr>
        <w:spacing w:after="80" w:before="40"/>
      </w:pPr>
      <w:r>
        <w:rPr>
          <w:rFonts w:ascii="Arial" w:cs="Arial" w:eastAsia="Arial" w:hAnsi="Arial"/>
          <w:b w:val="false"/>
          <w:bCs w:val="false"/>
          <w:i w:val="false"/>
          <w:iCs w:val="false"/>
          <w:color w:val="17181a"/>
          <w:sz w:val="22"/>
          <w:szCs w:val="22"/>
        </w:rPr>
        <w:t xml:space="preserve">The listing must hold a fully verified status across:</w:t>
      </w:r>
    </w:p>
    <w:p>
      <w:pPr>
        <w:pStyle w:val="ListParagraph"/>
        <w:numPr>
          <w:ilvl w:val="0"/>
          <w:numId w:val="2"/>
        </w:numPr>
        <w:spacing w:after="40" w:before="40"/>
      </w:pPr>
      <w:r>
        <w:rPr>
          <w:rFonts w:ascii="Arial" w:cs="Arial" w:eastAsia="Arial" w:hAnsi="Arial"/>
          <w:color w:val="17181a"/>
          <w:sz w:val="22"/>
          <w:szCs w:val="22"/>
        </w:rPr>
        <w:t xml:space="preserve">All five landlord forms (FF-CORE-010, Section 1): KYC, Authority to List, Municipal Records Declaration, Property History Disclosure, and Platform Agreement — each independently verified or cleared by Human Review.</w:t>
      </w:r>
    </w:p>
    <w:p>
      <w:pPr>
        <w:pStyle w:val="ListParagraph"/>
        <w:numPr>
          <w:ilvl w:val="0"/>
          <w:numId w:val="2"/>
        </w:numPr>
        <w:spacing w:after="40" w:before="40"/>
      </w:pPr>
      <w:r>
        <w:rPr>
          <w:rFonts w:ascii="Arial" w:cs="Arial" w:eastAsia="Arial" w:hAnsi="Arial"/>
          <w:color w:val="17181a"/>
          <w:sz w:val="22"/>
          <w:szCs w:val="22"/>
        </w:rPr>
        <w:t xml:space="preserve">Crown/Council verification gate (FF-CORE-010, Section 2): the ownership record returned by the relevant land title registry must match the information submitted in Form 2.</w:t>
      </w:r>
    </w:p>
    <w:p>
      <w:pPr>
        <w:pStyle w:val="ListParagraph"/>
        <w:numPr>
          <w:ilvl w:val="0"/>
          <w:numId w:val="2"/>
        </w:numPr>
        <w:spacing w:after="40" w:before="40"/>
      </w:pPr>
      <w:r>
        <w:rPr>
          <w:rFonts w:ascii="Arial" w:cs="Arial" w:eastAsia="Arial" w:hAnsi="Arial"/>
          <w:color w:val="17181a"/>
          <w:sz w:val="22"/>
          <w:szCs w:val="22"/>
        </w:rPr>
        <w:t xml:space="preserve">All listing schema fields marked Required in FF-CORE-010 Section 3 must be completed.</w:t>
      </w:r>
    </w:p>
    <w:p>
      <w:pPr>
        <w:pStyle w:val="ListParagraph"/>
        <w:numPr>
          <w:ilvl w:val="0"/>
          <w:numId w:val="2"/>
        </w:numPr>
        <w:spacing w:after="40" w:before="40"/>
      </w:pPr>
      <w:r>
        <w:rPr>
          <w:rFonts w:ascii="Arial" w:cs="Arial" w:eastAsia="Arial" w:hAnsi="Arial"/>
          <w:color w:val="17181a"/>
          <w:sz w:val="22"/>
          <w:szCs w:val="22"/>
        </w:rPr>
        <w:t xml:space="preserve">A floor plan must be on file.</w:t>
      </w:r>
    </w:p>
    <w:p>
      <w:pPr>
        <w:pStyle w:val="ListParagraph"/>
        <w:numPr>
          <w:ilvl w:val="0"/>
          <w:numId w:val="2"/>
        </w:numPr>
        <w:spacing w:after="40" w:before="40"/>
      </w:pPr>
      <w:r>
        <w:rPr>
          <w:rFonts w:ascii="Arial" w:cs="Arial" w:eastAsia="Arial" w:hAnsi="Arial"/>
          <w:color w:val="17181a"/>
          <w:sz w:val="22"/>
          <w:szCs w:val="22"/>
        </w:rPr>
        <w:t xml:space="preserve">A verified inspection date within 24 months must be on file.</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A listing that is pending any verification, under Human Review, or that has had verification cleared but has since been amended without re-verification, does not pass Filter 1.</w:t>
      </w:r>
    </w:p>
    <w:p>
      <w:pPr>
        <w:pStyle w:val="Heading3"/>
        <w:spacing w:after="60" w:before="220"/>
      </w:pPr>
      <w:r>
        <w:rPr>
          <w:rFonts w:ascii="Arial" w:cs="Arial" w:eastAsia="Arial" w:hAnsi="Arial"/>
          <w:b/>
          <w:bCs/>
          <w:color w:val="1b65a5"/>
          <w:sz w:val="24"/>
          <w:szCs w:val="24"/>
        </w:rPr>
        <w:t xml:space="preserve">Filter 2 — Verification Status: Tenant</w:t>
      </w:r>
    </w:p>
    <w:p>
      <w:pPr>
        <w:spacing w:after="80" w:before="40"/>
      </w:pPr>
      <w:r>
        <w:rPr>
          <w:rFonts w:ascii="Arial" w:cs="Arial" w:eastAsia="Arial" w:hAnsi="Arial"/>
          <w:b w:val="false"/>
          <w:bCs w:val="false"/>
          <w:i w:val="false"/>
          <w:iCs w:val="false"/>
          <w:color w:val="17181a"/>
          <w:sz w:val="22"/>
          <w:szCs w:val="22"/>
        </w:rPr>
        <w:t xml:space="preserve">The tenant profile must hold a verified status at one of the six documentation tiers defined in FF-CORE-009. Specifically:</w:t>
      </w:r>
    </w:p>
    <w:p>
      <w:pPr>
        <w:pStyle w:val="ListParagraph"/>
        <w:numPr>
          <w:ilvl w:val="0"/>
          <w:numId w:val="2"/>
        </w:numPr>
        <w:spacing w:after="40" w:before="40"/>
      </w:pPr>
      <w:r>
        <w:rPr>
          <w:rFonts w:ascii="Arial" w:cs="Arial" w:eastAsia="Arial" w:hAnsi="Arial"/>
          <w:color w:val="17181a"/>
          <w:sz w:val="22"/>
          <w:szCs w:val="22"/>
        </w:rPr>
        <w:t xml:space="preserve">The documentation submitted for the chosen tier must have been reviewed and accepted by the platform's automated verification system or by the Human Review team.</w:t>
      </w:r>
    </w:p>
    <w:p>
      <w:pPr>
        <w:pStyle w:val="ListParagraph"/>
        <w:numPr>
          <w:ilvl w:val="0"/>
          <w:numId w:val="2"/>
        </w:numPr>
        <w:spacing w:after="40" w:before="40"/>
      </w:pPr>
      <w:r>
        <w:rPr>
          <w:rFonts w:ascii="Arial" w:cs="Arial" w:eastAsia="Arial" w:hAnsi="Arial"/>
          <w:color w:val="17181a"/>
          <w:sz w:val="22"/>
          <w:szCs w:val="22"/>
        </w:rPr>
        <w:t xml:space="preserve">The documentation must not have expired or been superseded by a change in the tenant's circumstances that has not yet been reflected in updated documentation.</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An unverified tenant profile does not enter the matching pool under any circumstance. A tenant who has submitted documentation but whose documentation is under review is in a pending state and does not enter the matching pool until review is complete.</w:t>
      </w:r>
    </w:p>
    <w:p>
      <w:pPr>
        <w:pStyle w:val="Heading3"/>
        <w:spacing w:after="60" w:before="220"/>
      </w:pPr>
      <w:r>
        <w:rPr>
          <w:rFonts w:ascii="Arial" w:cs="Arial" w:eastAsia="Arial" w:hAnsi="Arial"/>
          <w:b/>
          <w:bCs/>
          <w:color w:val="1b65a5"/>
          <w:sz w:val="24"/>
          <w:szCs w:val="24"/>
        </w:rPr>
        <w:t xml:space="preserve">Filter 3 — Location &amp; Property Type Compatibility</w:t>
      </w:r>
    </w:p>
    <w:p>
      <w:pPr>
        <w:spacing w:after="80" w:before="40"/>
      </w:pPr>
      <w:r>
        <w:rPr>
          <w:rFonts w:ascii="Arial" w:cs="Arial" w:eastAsia="Arial" w:hAnsi="Arial"/>
          <w:b w:val="false"/>
          <w:bCs w:val="false"/>
          <w:i w:val="false"/>
          <w:iCs w:val="false"/>
          <w:color w:val="17181a"/>
          <w:sz w:val="22"/>
          <w:szCs w:val="22"/>
        </w:rPr>
        <w:t xml:space="preserve">The tenant's stated requirements for location and property type must be compatible with the listing's verified classification.</w:t>
      </w:r>
    </w:p>
    <w:p>
      <w:pPr>
        <w:pStyle w:val="ListParagraph"/>
        <w:numPr>
          <w:ilvl w:val="0"/>
          <w:numId w:val="2"/>
        </w:numPr>
        <w:spacing w:after="40" w:before="40"/>
      </w:pPr>
      <w:r>
        <w:rPr>
          <w:rFonts w:ascii="Arial" w:cs="Arial" w:eastAsia="Arial" w:hAnsi="Arial"/>
          <w:color w:val="17181a"/>
          <w:sz w:val="22"/>
          <w:szCs w:val="22"/>
        </w:rPr>
        <w:t xml:space="preserve">Location: the listing's civic address must fall within the tenant's stated geographic preference (city, neighbourhood, or search radius as defined in the tenant's search profile).</w:t>
      </w:r>
    </w:p>
    <w:p>
      <w:pPr>
        <w:pStyle w:val="ListParagraph"/>
        <w:numPr>
          <w:ilvl w:val="0"/>
          <w:numId w:val="2"/>
        </w:numPr>
        <w:spacing w:after="40" w:before="40"/>
      </w:pPr>
      <w:r>
        <w:rPr>
          <w:rFonts w:ascii="Arial" w:cs="Arial" w:eastAsia="Arial" w:hAnsi="Arial"/>
          <w:color w:val="17181a"/>
          <w:sz w:val="22"/>
          <w:szCs w:val="22"/>
        </w:rPr>
        <w:t xml:space="preserve">Property type: the listing's verified property type (one of the nine types defined in FF-CORE-010, Section 3, Section 1) must match one of the property types the tenant has indicated as acceptable.</w:t>
      </w:r>
    </w:p>
    <w:p>
      <w:pPr>
        <w:pStyle w:val="ListParagraph"/>
        <w:numPr>
          <w:ilvl w:val="0"/>
          <w:numId w:val="2"/>
        </w:numPr>
        <w:spacing w:after="40" w:before="40"/>
      </w:pPr>
      <w:r>
        <w:rPr>
          <w:rFonts w:ascii="Arial" w:cs="Arial" w:eastAsia="Arial" w:hAnsi="Arial"/>
          <w:color w:val="17181a"/>
          <w:sz w:val="22"/>
          <w:szCs w:val="22"/>
        </w:rPr>
        <w:t xml:space="preserve">Rental scope: a tenant who has indicated "entire unit only" does not match to a "portion of unit" listing.</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This filter runs on verified data only. A listing's self-declared property type is accepted for filter purposes only after Form 3 (Municipal Records Declaration) has confirmed the legal use classification. A basement unit that has not been confirmed as a legal secondary suite does not match to a tenant searching for "apartment (low-rise)."</w:t>
      </w:r>
    </w:p>
    <w:p>
      <w:pPr>
        <w:pStyle w:val="Heading3"/>
        <w:spacing w:after="60" w:before="220"/>
      </w:pPr>
      <w:r>
        <w:rPr>
          <w:rFonts w:ascii="Arial" w:cs="Arial" w:eastAsia="Arial" w:hAnsi="Arial"/>
          <w:b/>
          <w:bCs/>
          <w:color w:val="1b65a5"/>
          <w:sz w:val="24"/>
          <w:szCs w:val="24"/>
        </w:rPr>
        <w:t xml:space="preserve">Filter 4 — Availability Date</w:t>
      </w:r>
    </w:p>
    <w:p>
      <w:pPr>
        <w:spacing w:after="80" w:before="40"/>
      </w:pPr>
      <w:r>
        <w:rPr>
          <w:rFonts w:ascii="Arial" w:cs="Arial" w:eastAsia="Arial" w:hAnsi="Arial"/>
          <w:b w:val="false"/>
          <w:bCs w:val="false"/>
          <w:i w:val="false"/>
          <w:iCs w:val="false"/>
          <w:color w:val="17181a"/>
          <w:sz w:val="22"/>
          <w:szCs w:val="22"/>
        </w:rPr>
        <w:t xml:space="preserve">The listing's confirmed move-in date must fall within the tenant's required move-in window. The window is defined by the tenant in their search profile as a specific date range: "available on or after [date] and on or before [date]."</w:t>
      </w:r>
    </w:p>
    <w:p>
      <w:pPr>
        <w:pStyle w:val="ListParagraph"/>
        <w:numPr>
          <w:ilvl w:val="0"/>
          <w:numId w:val="2"/>
        </w:numPr>
        <w:spacing w:after="40" w:before="40"/>
      </w:pPr>
      <w:r>
        <w:rPr>
          <w:rFonts w:ascii="Arial" w:cs="Arial" w:eastAsia="Arial" w:hAnsi="Arial"/>
          <w:color w:val="17181a"/>
          <w:sz w:val="22"/>
          <w:szCs w:val="22"/>
        </w:rPr>
        <w:t xml:space="preserve">A listing available three months after the tenant's latest required date does not match. No algorithm processing occurs.</w:t>
      </w:r>
    </w:p>
    <w:p>
      <w:pPr>
        <w:pStyle w:val="ListParagraph"/>
        <w:numPr>
          <w:ilvl w:val="0"/>
          <w:numId w:val="2"/>
        </w:numPr>
        <w:spacing w:after="40" w:before="40"/>
      </w:pPr>
      <w:r>
        <w:rPr>
          <w:rFonts w:ascii="Arial" w:cs="Arial" w:eastAsia="Arial" w:hAnsi="Arial"/>
          <w:color w:val="17181a"/>
          <w:sz w:val="22"/>
          <w:szCs w:val="22"/>
        </w:rPr>
        <w:t xml:space="preserve">A listing available before the tenant's earliest required date matches only if the tenant has indicated flexibility on early availability.</w:t>
      </w:r>
    </w:p>
    <w:p>
      <w:pPr>
        <w:pStyle w:val="ListParagraph"/>
        <w:numPr>
          <w:ilvl w:val="0"/>
          <w:numId w:val="2"/>
        </w:numPr>
        <w:spacing w:after="40" w:before="40"/>
      </w:pPr>
      <w:r>
        <w:rPr>
          <w:rFonts w:ascii="Arial" w:cs="Arial" w:eastAsia="Arial" w:hAnsi="Arial"/>
          <w:color w:val="17181a"/>
          <w:sz w:val="22"/>
          <w:szCs w:val="22"/>
        </w:rPr>
        <w:t xml:space="preserve">A tenant cannot update their availability window after a match cycle has begun without triggering a full re-run of Filter 4 against all pending matches.</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availability date check uses the landlord's verified, locked move-in date. It does not use "available approximately" or any non-specific date. If the landlord has not provided a specific date, Filter 4 fails for that listing by default.</w:t>
      </w:r>
    </w:p>
    <w:p>
      <w:pPr>
        <w:pStyle w:val="Heading3"/>
        <w:spacing w:after="60" w:before="220"/>
      </w:pPr>
      <w:r>
        <w:rPr>
          <w:rFonts w:ascii="Arial" w:cs="Arial" w:eastAsia="Arial" w:hAnsi="Arial"/>
          <w:b/>
          <w:bCs/>
          <w:color w:val="1b65a5"/>
          <w:sz w:val="24"/>
          <w:szCs w:val="24"/>
        </w:rPr>
        <w:t xml:space="preserve">Filter 5 — Non-Negotiable Requirements</w:t>
      </w:r>
    </w:p>
    <w:p>
      <w:pPr>
        <w:spacing w:after="80" w:before="40"/>
      </w:pPr>
      <w:r>
        <w:rPr>
          <w:rFonts w:ascii="Arial" w:cs="Arial" w:eastAsia="Arial" w:hAnsi="Arial"/>
          <w:b w:val="false"/>
          <w:bCs w:val="false"/>
          <w:i w:val="false"/>
          <w:iCs w:val="false"/>
          <w:color w:val="17181a"/>
          <w:sz w:val="22"/>
          <w:szCs w:val="22"/>
        </w:rPr>
        <w:t xml:space="preserve">Any requirement that the tenant has explicitly marked as non-negotiable in their search profile is treated as a binary gate: the listing either meets the requirement or it does not, and a listing that does not is excluded from the match regardless of how well it performs on every other dimension.</w:t>
      </w:r>
    </w:p>
    <w:p>
      <w:pPr>
        <w:spacing w:after="80" w:before="40"/>
      </w:pPr>
      <w:r>
        <w:rPr>
          <w:rFonts w:ascii="Arial" w:cs="Arial" w:eastAsia="Arial" w:hAnsi="Arial"/>
          <w:b w:val="false"/>
          <w:bCs w:val="false"/>
          <w:i w:val="false"/>
          <w:iCs w:val="false"/>
          <w:color w:val="17181a"/>
          <w:sz w:val="22"/>
          <w:szCs w:val="22"/>
        </w:rPr>
        <w:t xml:space="preserve">Non-negotiable requirements are tenant-defined. The platform does not determine which requirements are non-negotiable. The tenant declares them. The platform enforces them.</w:t>
      </w:r>
    </w:p>
    <w:p>
      <w:pPr>
        <w:spacing w:after="80" w:before="40"/>
      </w:pPr>
      <w:r>
        <w:rPr>
          <w:rFonts w:ascii="Arial" w:cs="Arial" w:eastAsia="Arial" w:hAnsi="Arial"/>
          <w:b w:val="false"/>
          <w:bCs w:val="false"/>
          <w:i w:val="false"/>
          <w:iCs w:val="false"/>
          <w:color w:val="17181a"/>
          <w:sz w:val="22"/>
          <w:szCs w:val="22"/>
        </w:rPr>
        <w:t xml:space="preserve">Examples of non-negotiable requirements that have appeared in tenant profiles:</w:t>
      </w:r>
    </w:p>
    <w:p>
      <w:pPr>
        <w:pStyle w:val="ListParagraph"/>
        <w:numPr>
          <w:ilvl w:val="0"/>
          <w:numId w:val="2"/>
        </w:numPr>
        <w:spacing w:after="40" w:before="40"/>
      </w:pPr>
      <w:r>
        <w:rPr>
          <w:rFonts w:ascii="Arial" w:cs="Arial" w:eastAsia="Arial" w:hAnsi="Arial"/>
          <w:color w:val="17181a"/>
          <w:sz w:val="22"/>
          <w:szCs w:val="22"/>
        </w:rPr>
        <w:t xml:space="preserve">In-suite laundry (washer and dryer in the unit, not shared).</w:t>
      </w:r>
    </w:p>
    <w:p>
      <w:pPr>
        <w:pStyle w:val="ListParagraph"/>
        <w:numPr>
          <w:ilvl w:val="0"/>
          <w:numId w:val="2"/>
        </w:numPr>
        <w:spacing w:after="40" w:before="40"/>
      </w:pPr>
      <w:r>
        <w:rPr>
          <w:rFonts w:ascii="Arial" w:cs="Arial" w:eastAsia="Arial" w:hAnsi="Arial"/>
          <w:color w:val="17181a"/>
          <w:sz w:val="22"/>
          <w:szCs w:val="22"/>
        </w:rPr>
        <w:t xml:space="preserve">Above-ground unit only (percentage below grade must be 0%).</w:t>
      </w:r>
    </w:p>
    <w:p>
      <w:pPr>
        <w:pStyle w:val="ListParagraph"/>
        <w:numPr>
          <w:ilvl w:val="0"/>
          <w:numId w:val="2"/>
        </w:numPr>
        <w:spacing w:after="40" w:before="40"/>
      </w:pPr>
      <w:r>
        <w:rPr>
          <w:rFonts w:ascii="Arial" w:cs="Arial" w:eastAsia="Arial" w:hAnsi="Arial"/>
          <w:color w:val="17181a"/>
          <w:sz w:val="22"/>
          <w:szCs w:val="22"/>
        </w:rPr>
        <w:t xml:space="preserve">No basement units (any percentage below grade disqualifies).</w:t>
      </w:r>
    </w:p>
    <w:p>
      <w:pPr>
        <w:pStyle w:val="ListParagraph"/>
        <w:numPr>
          <w:ilvl w:val="0"/>
          <w:numId w:val="2"/>
        </w:numPr>
        <w:spacing w:after="40" w:before="40"/>
      </w:pPr>
      <w:r>
        <w:rPr>
          <w:rFonts w:ascii="Arial" w:cs="Arial" w:eastAsia="Arial" w:hAnsi="Arial"/>
          <w:color w:val="17181a"/>
          <w:sz w:val="22"/>
          <w:szCs w:val="22"/>
        </w:rPr>
        <w:t xml:space="preserve">Pet-friendly: specific animal species, breed, or size must be explicitly permitted in the listing.</w:t>
      </w:r>
    </w:p>
    <w:p>
      <w:pPr>
        <w:pStyle w:val="ListParagraph"/>
        <w:numPr>
          <w:ilvl w:val="0"/>
          <w:numId w:val="2"/>
        </w:numPr>
        <w:spacing w:after="40" w:before="40"/>
      </w:pPr>
      <w:r>
        <w:rPr>
          <w:rFonts w:ascii="Arial" w:cs="Arial" w:eastAsia="Arial" w:hAnsi="Arial"/>
          <w:color w:val="17181a"/>
          <w:sz w:val="22"/>
          <w:szCs w:val="22"/>
        </w:rPr>
        <w:t xml:space="preserve">Scent-free building (required for tenants with fragrance sensitivities or chemical sensitivities).</w:t>
      </w:r>
    </w:p>
    <w:p>
      <w:pPr>
        <w:pStyle w:val="ListParagraph"/>
        <w:numPr>
          <w:ilvl w:val="0"/>
          <w:numId w:val="2"/>
        </w:numPr>
        <w:spacing w:after="40" w:before="40"/>
      </w:pPr>
      <w:r>
        <w:rPr>
          <w:rFonts w:ascii="Arial" w:cs="Arial" w:eastAsia="Arial" w:hAnsi="Arial"/>
          <w:color w:val="17181a"/>
          <w:sz w:val="22"/>
          <w:szCs w:val="22"/>
        </w:rPr>
        <w:t xml:space="preserve">Wheelchair accessible unit and building (must meet both criteria).</w:t>
      </w:r>
    </w:p>
    <w:p>
      <w:pPr>
        <w:pStyle w:val="ListParagraph"/>
        <w:numPr>
          <w:ilvl w:val="0"/>
          <w:numId w:val="2"/>
        </w:numPr>
        <w:spacing w:after="40" w:before="40"/>
      </w:pPr>
      <w:r>
        <w:rPr>
          <w:rFonts w:ascii="Arial" w:cs="Arial" w:eastAsia="Arial" w:hAnsi="Arial"/>
          <w:color w:val="17181a"/>
          <w:sz w:val="22"/>
          <w:szCs w:val="22"/>
        </w:rPr>
        <w:t xml:space="preserve">Parking included (no additional charge for parking).</w:t>
      </w:r>
    </w:p>
    <w:p>
      <w:pPr>
        <w:pStyle w:val="ListParagraph"/>
        <w:numPr>
          <w:ilvl w:val="0"/>
          <w:numId w:val="2"/>
        </w:numPr>
        <w:spacing w:after="40" w:before="40"/>
      </w:pPr>
      <w:r>
        <w:rPr>
          <w:rFonts w:ascii="Arial" w:cs="Arial" w:eastAsia="Arial" w:hAnsi="Arial"/>
          <w:color w:val="17181a"/>
          <w:sz w:val="22"/>
          <w:szCs w:val="22"/>
        </w:rPr>
        <w:t xml:space="preserve">Specific heating type (e.g. tenant cannot live with electric baseboard heating for medical or financial reasons).</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platform enforces non-negotiable requirements literally. A listing that permits "small dogs under 20 lbs" does not match to a tenant whose non-negotiable is "cats permitted" unless the listing explicitly states cats are permitted. The tenant's requirement, not the platform's interpretation of it, governs the filter.</w:t>
      </w:r>
    </w:p>
    <w:p>
      <w:pPr>
        <w:pStyle w:val="Heading3"/>
        <w:spacing w:after="60" w:before="220"/>
      </w:pPr>
      <w:r>
        <w:rPr>
          <w:rFonts w:ascii="Arial" w:cs="Arial" w:eastAsia="Arial" w:hAnsi="Arial"/>
          <w:b/>
          <w:bCs/>
          <w:color w:val="1b65a5"/>
          <w:sz w:val="24"/>
          <w:szCs w:val="24"/>
        </w:rPr>
        <w:t xml:space="preserve">Filter 6 — Discrimination &amp; Safety Flags</w:t>
      </w:r>
    </w:p>
    <w:p>
      <w:pPr>
        <w:spacing w:after="80" w:before="40"/>
      </w:pPr>
      <w:r>
        <w:rPr>
          <w:rFonts w:ascii="Arial" w:cs="Arial" w:eastAsia="Arial" w:hAnsi="Arial"/>
          <w:b w:val="false"/>
          <w:bCs w:val="false"/>
          <w:i w:val="false"/>
          <w:iCs w:val="false"/>
          <w:color w:val="17181a"/>
          <w:sz w:val="22"/>
          <w:szCs w:val="22"/>
        </w:rPr>
        <w:t xml:space="preserve">Any listing or landlord profile carrying an active flag under FF-CORE-008-S7 does not enter the matching pool. This filter runs last in the sequence because a flagged listing should have been removed from the platform before reaching this point. Filter 6 is the safety net that catches any flagged listing that has not yet been fully processed.</w:t>
      </w:r>
    </w:p>
    <w:p>
      <w:pPr>
        <w:pStyle w:val="ListParagraph"/>
        <w:numPr>
          <w:ilvl w:val="0"/>
          <w:numId w:val="2"/>
        </w:numPr>
        <w:spacing w:after="40" w:before="40"/>
      </w:pPr>
      <w:r>
        <w:rPr>
          <w:rFonts w:ascii="Arial" w:cs="Arial" w:eastAsia="Arial" w:hAnsi="Arial"/>
          <w:color w:val="17181a"/>
          <w:sz w:val="22"/>
          <w:szCs w:val="22"/>
        </w:rPr>
        <w:t xml:space="preserve">A listing with a confirmed discrimination flag at or above the automatic-ban threshold: removed from the platform entirely. Cannot pass Filter 6 because it should no longer exist in the listing pool.</w:t>
      </w:r>
    </w:p>
    <w:p>
      <w:pPr>
        <w:pStyle w:val="ListParagraph"/>
        <w:numPr>
          <w:ilvl w:val="0"/>
          <w:numId w:val="2"/>
        </w:numPr>
        <w:spacing w:after="40" w:before="40"/>
      </w:pPr>
      <w:r>
        <w:rPr>
          <w:rFonts w:ascii="Arial" w:cs="Arial" w:eastAsia="Arial" w:hAnsi="Arial"/>
          <w:color w:val="17181a"/>
          <w:sz w:val="22"/>
          <w:szCs w:val="22"/>
        </w:rPr>
        <w:t xml:space="preserve">A listing with a discrimination flag below the automatic-ban threshold and under Human Review: suspended from the matching pool until review is complete. Fails Filter 6 temporarily.</w:t>
      </w:r>
    </w:p>
    <w:p>
      <w:pPr>
        <w:pStyle w:val="ListParagraph"/>
        <w:numPr>
          <w:ilvl w:val="0"/>
          <w:numId w:val="2"/>
        </w:numPr>
        <w:spacing w:after="40" w:before="40"/>
      </w:pPr>
      <w:r>
        <w:rPr>
          <w:rFonts w:ascii="Arial" w:cs="Arial" w:eastAsia="Arial" w:hAnsi="Arial"/>
          <w:color w:val="17181a"/>
          <w:sz w:val="22"/>
          <w:szCs w:val="22"/>
        </w:rPr>
        <w:t xml:space="preserve">A landlord profile with an active account suspension: all listings associated with that profile fail Filter 6.</w:t>
      </w:r>
    </w:p>
    <w:p>
      <w:pPr>
        <w:pStyle w:val="ListParagraph"/>
        <w:numPr>
          <w:ilvl w:val="0"/>
          <w:numId w:val="2"/>
        </w:numPr>
        <w:spacing w:after="40" w:before="40"/>
      </w:pPr>
      <w:r>
        <w:rPr>
          <w:rFonts w:ascii="Arial" w:cs="Arial" w:eastAsia="Arial" w:hAnsi="Arial"/>
          <w:color w:val="17181a"/>
          <w:sz w:val="22"/>
          <w:szCs w:val="22"/>
        </w:rPr>
        <w:t xml:space="preserve">A landlord on the Do Not Fly List: all listings, past and potential future, are permanently excluded.</w:t>
      </w:r>
    </w:p>
    <w:p>
      <w:pPr>
        <w:pStyle w:val="Heading2"/>
        <w:pBdr>
          <w:bottom w:val="single" w:color="ddd7cc" w:sz="2" w:space="4"/>
        </w:pBdr>
        <w:spacing w:after="80" w:before="320"/>
      </w:pPr>
      <w:r>
        <w:rPr>
          <w:rFonts w:ascii="Arial" w:cs="Arial" w:eastAsia="Arial" w:hAnsi="Arial"/>
          <w:b/>
          <w:bCs/>
          <w:color w:val="17181a"/>
          <w:sz w:val="28"/>
          <w:szCs w:val="28"/>
        </w:rPr>
        <w:t xml:space="preserve">4.  After the Six Filters</w:t>
      </w:r>
    </w:p>
    <w:p>
      <w:pPr>
        <w:spacing w:after="80" w:before="40"/>
      </w:pPr>
      <w:r>
        <w:rPr>
          <w:rFonts w:ascii="Arial" w:cs="Arial" w:eastAsia="Arial" w:hAnsi="Arial"/>
          <w:b w:val="false"/>
          <w:bCs w:val="false"/>
          <w:i w:val="false"/>
          <w:iCs w:val="false"/>
          <w:color w:val="17181a"/>
          <w:sz w:val="22"/>
          <w:szCs w:val="22"/>
        </w:rPr>
        <w:t xml:space="preserve">Listings and tenant profiles that pass all six filters are submitted to the Anti-Gatekeeping Affordability Algorithm™. The algorithm produces a ranked match list. The ranked list is the only output visible to the tenant — they see their top matches in order.</w:t>
      </w:r>
    </w:p>
    <w:p>
      <w:pPr>
        <w:spacing w:after="80" w:before="40"/>
      </w:pPr>
      <w:r>
        <w:rPr>
          <w:rFonts w:ascii="Arial" w:cs="Arial" w:eastAsia="Arial" w:hAnsi="Arial"/>
          <w:b w:val="false"/>
          <w:bCs w:val="false"/>
          <w:i w:val="false"/>
          <w:iCs w:val="false"/>
          <w:color w:val="17181a"/>
          <w:sz w:val="22"/>
          <w:szCs w:val="22"/>
        </w:rPr>
        <w:t xml:space="preserve">Neither the tenant nor the landlord is told:</w:t>
      </w:r>
    </w:p>
    <w:p>
      <w:pPr>
        <w:pStyle w:val="ListParagraph"/>
        <w:numPr>
          <w:ilvl w:val="0"/>
          <w:numId w:val="2"/>
        </w:numPr>
        <w:spacing w:after="40" w:before="40"/>
      </w:pPr>
      <w:r>
        <w:rPr>
          <w:rFonts w:ascii="Arial" w:cs="Arial" w:eastAsia="Arial" w:hAnsi="Arial"/>
          <w:color w:val="17181a"/>
          <w:sz w:val="22"/>
          <w:szCs w:val="22"/>
        </w:rPr>
        <w:t xml:space="preserve">The score that any listing received.</w:t>
      </w:r>
    </w:p>
    <w:p>
      <w:pPr>
        <w:pStyle w:val="ListParagraph"/>
        <w:numPr>
          <w:ilvl w:val="0"/>
          <w:numId w:val="2"/>
        </w:numPr>
        <w:spacing w:after="40" w:before="40"/>
      </w:pPr>
      <w:r>
        <w:rPr>
          <w:rFonts w:ascii="Arial" w:cs="Arial" w:eastAsia="Arial" w:hAnsi="Arial"/>
          <w:color w:val="17181a"/>
          <w:sz w:val="22"/>
          <w:szCs w:val="22"/>
        </w:rPr>
        <w:t xml:space="preserve">Why a listing ranked above or below another.</w:t>
      </w:r>
    </w:p>
    <w:p>
      <w:pPr>
        <w:pStyle w:val="ListParagraph"/>
        <w:numPr>
          <w:ilvl w:val="0"/>
          <w:numId w:val="2"/>
        </w:numPr>
        <w:spacing w:after="40" w:before="40"/>
      </w:pPr>
      <w:r>
        <w:rPr>
          <w:rFonts w:ascii="Arial" w:cs="Arial" w:eastAsia="Arial" w:hAnsi="Arial"/>
          <w:color w:val="17181a"/>
          <w:sz w:val="22"/>
          <w:szCs w:val="22"/>
        </w:rPr>
        <w:t xml:space="preserve">The weighting applied to any factor.</w:t>
      </w:r>
    </w:p>
    <w:p>
      <w:pPr>
        <w:pStyle w:val="ListParagraph"/>
        <w:numPr>
          <w:ilvl w:val="0"/>
          <w:numId w:val="2"/>
        </w:numPr>
        <w:spacing w:after="40" w:before="40"/>
      </w:pPr>
      <w:r>
        <w:rPr>
          <w:rFonts w:ascii="Arial" w:cs="Arial" w:eastAsia="Arial" w:hAnsi="Arial"/>
          <w:color w:val="17181a"/>
          <w:sz w:val="22"/>
          <w:szCs w:val="22"/>
        </w:rPr>
        <w:t xml:space="preserve">Whether any specific filter was close to failing.</w:t>
      </w:r>
    </w:p>
    <w:p>
      <w:pPr>
        <w:spacing w:after="100" w:before="0"/>
      </w:pPr>
      <w:r>
        <w:t xml:space="preserve"/>
      </w:r>
    </w:p>
    <w:p>
      <w:pPr>
        <w:spacing w:after="80" w:before="40"/>
      </w:pPr>
      <w:r>
        <w:rPr>
          <w:rFonts w:ascii="Arial" w:cs="Arial" w:eastAsia="Arial" w:hAnsi="Arial"/>
          <w:b w:val="false"/>
          <w:bCs w:val="false"/>
          <w:i w:val="false"/>
          <w:iCs w:val="false"/>
          <w:color w:val="17181a"/>
          <w:sz w:val="22"/>
          <w:szCs w:val="22"/>
        </w:rPr>
        <w:t xml:space="preserve">The landlord is not told the tenant's rank position in the match list, the tenant's documentation tier, or the tenant's affordability score. The landlord sees: a verified tenant has been matched to your listing. The VMC gate opens.</w:t>
      </w:r>
    </w:p>
    <w:p>
      <w:pPr>
        <w:pStyle w:val="Heading2"/>
        <w:pBdr>
          <w:bottom w:val="single" w:color="ddd7cc" w:sz="2" w:space="4"/>
        </w:pBdr>
        <w:spacing w:after="80" w:before="320"/>
      </w:pPr>
      <w:r>
        <w:rPr>
          <w:rFonts w:ascii="Arial" w:cs="Arial" w:eastAsia="Arial" w:hAnsi="Arial"/>
          <w:b/>
          <w:bCs/>
          <w:color w:val="17181a"/>
          <w:sz w:val="28"/>
          <w:szCs w:val="28"/>
        </w:rPr>
        <w:t xml:space="preserve">5.  Standing Commitment — Lateral Thinking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65a5" w:sz="8"/>
              <w:bottom w:val="none" w:color="FFFFFF" w:sz="0"/>
              <w:right w:val="none" w:color="FFFFFF" w:sz="0"/>
            </w:tcBorders>
            <w:shd w:fill="f0f5fb" w:val="clear"/>
            <w:tcMar>
              <w:top w:type="dxa" w:w="100"/>
              <w:left w:type="dxa" w:w="180"/>
              <w:bottom w:type="dxa" w:w="100"/>
              <w:right w:type="dxa" w:w="180"/>
            </w:tcMar>
          </w:tcPr>
          <w:p>
            <w:r>
              <w:rPr>
                <w:rFonts w:ascii="Arial" w:cs="Arial" w:eastAsia="Arial" w:hAnsi="Arial"/>
                <w:color w:val="17181a"/>
                <w:sz w:val="22"/>
                <w:szCs w:val="22"/>
              </w:rPr>
              <w:t xml:space="preserve">Every filter in this hierarchy carries the same standing obligation that governs FF-CORE-009: before any filter is enforced as written, ask whether a legitimate tenant or landlord exists who would be incorrectly excluded by the filter as written. If the answer is yes, the filter must be reviewed and, if necessary, amended before enforcement. This is not a periodic review. It is a standing obligation that applies to every version of every filter.</w:t>
            </w:r>
          </w:p>
        </w:tc>
      </w:tr>
    </w:tbl>
    <w:p>
      <w:pPr>
        <w:spacing w:after="100" w:before="0"/>
      </w:pPr>
      <w:r>
        <w:t xml:space="preserve"/>
      </w:r>
    </w:p>
    <w:p>
      <w:pPr>
        <w:pStyle w:val="Heading2"/>
        <w:pBdr>
          <w:bottom w:val="single" w:color="ddd7cc" w:sz="2" w:space="4"/>
        </w:pBdr>
        <w:spacing w:after="80" w:before="320"/>
      </w:pPr>
      <w:r>
        <w:rPr>
          <w:rFonts w:ascii="Arial" w:cs="Arial" w:eastAsia="Arial" w:hAnsi="Arial"/>
          <w:b/>
          <w:bCs/>
          <w:color w:val="17181a"/>
          <w:sz w:val="28"/>
          <w:szCs w:val="28"/>
        </w:rPr>
        <w:t xml:space="preserve">6.  Filter Output Interface</w:t>
      </w:r>
    </w:p>
    <w:p>
      <w:pPr>
        <w:spacing w:after="80" w:before="40"/>
      </w:pPr>
      <w:r>
        <w:rPr>
          <w:rFonts w:ascii="Arial" w:cs="Arial" w:eastAsia="Arial" w:hAnsi="Arial"/>
          <w:b w:val="false"/>
          <w:bCs w:val="false"/>
          <w:i w:val="false"/>
          <w:iCs w:val="false"/>
          <w:color w:val="17181a"/>
          <w:sz w:val="22"/>
          <w:szCs w:val="22"/>
        </w:rPr>
        <w:t xml:space="preserve">The Human Review team has access to the filter output for any match or listing under review. The output is expressed 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rPr>
          <w:tblHeader/>
        </w:trPr>
        <w:tc>
          <w:tcPr>
            <w:tcW w:type="dxa" w:w="2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Filter</w:t>
            </w:r>
          </w:p>
        </w:tc>
        <w:tc>
          <w:tcPr>
            <w:tcW w:type="dxa" w:w="16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Outcome</w:t>
            </w:r>
          </w:p>
        </w:tc>
        <w:tc>
          <w:tcPr>
            <w:tcW w:type="dxa" w:w="1200"/>
            <w:tcBorders>
              <w:top w:val="single" w:color="ddd7cc" w:sz="1"/>
              <w:left w:val="single" w:color="ddd7cc" w:sz="1"/>
              <w:bottom w:val="single" w:color="ddd7cc" w:sz="1"/>
              <w:right w:val="single" w:color="ddd7cc" w:sz="1"/>
            </w:tcBorders>
            <w:shd w:fill="17181a" w:val="clear"/>
            <w:tcMar>
              <w:top w:type="dxa" w:w="80"/>
              <w:left w:type="dxa" w:w="100"/>
              <w:bottom w:type="dxa" w:w="80"/>
              <w:right w:type="dxa" w:w="80"/>
            </w:tcMar>
          </w:tcPr>
          <w:p>
            <w:r>
              <w:rPr>
                <w:rFonts w:ascii="Arial" w:cs="Arial" w:eastAsia="Arial" w:hAnsi="Arial"/>
                <w:b/>
                <w:bCs/>
                <w:color w:val="FFFFFF"/>
                <w:sz w:val="20"/>
                <w:szCs w:val="20"/>
              </w:rPr>
              <w:t xml:space="preserve">Notes visible to reviewer</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Filter 1 — Listing verification</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Pass / Fail</w:t>
            </w:r>
          </w:p>
        </w:tc>
        <w:tc>
          <w:tcPr>
            <w:tcW w:type="dxa" w:w="12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Which specific sub-check failed, if any.</w:t>
            </w:r>
          </w:p>
        </w:tc>
        <w:tc>
          <w:tcPr>
            <w:tcW w:type="dxa" w:w="39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e.g. "Crown/Council cross-reference: name mismatch"</w:t>
            </w:r>
          </w:p>
        </w:tc>
      </w:tr>
      <w:tr>
        <w:tc>
          <w:tcPr>
            <w:tcW w:type="dxa" w:w="2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Algorithm affordability</w:t>
            </w:r>
          </w:p>
        </w:tc>
        <w:tc>
          <w:tcPr>
            <w:tcW w:type="dxa" w:w="160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i/>
                <w:iCs/>
                <w:color w:val="7a7670"/>
                <w:sz w:val="20"/>
                <w:szCs w:val="20"/>
              </w:rPr>
              <w:t xml:space="preserve">Pass / Fail</w:t>
            </w:r>
          </w:p>
        </w:tc>
        <w:tc>
          <w:tcPr>
            <w:tcW w:type="dxa" w:w="5160"/>
            <w:tcBorders>
              <w:top w:val="single" w:color="ddd7cc" w:sz="1"/>
              <w:left w:val="single" w:color="ddd7cc" w:sz="1"/>
              <w:bottom w:val="single" w:color="ddd7cc" w:sz="1"/>
              <w:right w:val="single" w:color="ddd7cc" w:sz="1"/>
            </w:tcBorders>
            <w:tcMar>
              <w:top w:type="dxa" w:w="60"/>
              <w:left w:type="dxa" w:w="100"/>
              <w:bottom w:type="dxa" w:w="60"/>
              <w:right w:type="dxa" w:w="80"/>
            </w:tcMar>
          </w:tcPr>
          <w:p>
            <w:r>
              <w:rPr>
                <w:rFonts w:ascii="Arial" w:cs="Arial" w:eastAsia="Arial" w:hAnsi="Arial"/>
                <w:color w:val="17181a"/>
                <w:sz w:val="20"/>
                <w:szCs w:val="20"/>
              </w:rPr>
              <w:t xml:space="preserve">"Affordability check: passed" or "Affordability check: not passed." No further detail. Algorithm internals are not accessible.</w:t>
            </w:r>
          </w:p>
        </w:tc>
      </w:tr>
    </w:tbl>
    <w:p>
      <w:pPr>
        <w:spacing w:after="200" w:before="0"/>
      </w:pPr>
      <w:r>
        <w:t xml:space="preserve"/>
      </w:r>
    </w:p>
    <w:p>
      <w:pPr>
        <w:spacing w:after="60" w:before="60"/>
      </w:pPr>
      <w:r>
        <w:rPr>
          <w:rFonts w:ascii="Arial" w:cs="Arial" w:eastAsia="Arial" w:hAnsi="Arial"/>
          <w:i/>
          <w:iCs/>
          <w:color w:val="7a7670"/>
          <w:sz w:val="16"/>
          <w:szCs w:val="16"/>
        </w:rPr>
        <w:t xml:space="preserve">© 2024–2026 Lila Inglis Abegunrin · FlatFinder Inc. · Trademarks and Patents Pending (CIPO) · Proprietary and 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7cc" w:sz="2" w:space="6"/>
      </w:pBdr>
      <w:tabs>
        <w:tab w:val="right" w:pos="9026"/>
      </w:tabs>
    </w:pPr>
    <w:r>
      <w:rPr>
        <w:rFonts w:ascii="Arial" w:cs="Arial" w:eastAsia="Arial" w:hAnsi="Arial"/>
        <w:color w:val="7a7670"/>
        <w:sz w:val="16"/>
        <w:szCs w:val="16"/>
      </w:rPr>
      <w:t xml:space="preserve">© 2024–2026 Lila Inglis Abegunrin · FlatFinder Inc. · Trademarks and Patents Pending (CIPO) · Proprietary and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7cc" w:sz="2" w:space="6"/>
      </w:pBdr>
      <w:tabs>
        <w:tab w:val="right" w:pos="9026"/>
      </w:tabs>
    </w:pPr>
    <w:r>
      <w:rPr>
        <w:rFonts w:ascii="Arial" w:cs="Arial" w:eastAsia="Arial" w:hAnsi="Arial"/>
        <w:b/>
        <w:bCs/>
        <w:color w:val="1b65a5"/>
        <w:sz w:val="18"/>
        <w:szCs w:val="18"/>
      </w:rPr>
      <w:t xml:space="preserve">FlatFinder™</w:t>
    </w:r>
    <w:r>
      <w:rPr>
        <w:rFonts w:ascii="Arial" w:cs="Arial" w:eastAsia="Arial" w:hAnsi="Arial"/>
        <w:color w:val="7a7670"/>
        <w:sz w:val="18"/>
        <w:szCs w:val="18"/>
      </w:rPr>
      <w:t xml:space="preserve">	PRD Library v1.0  ·  April 2026  ·  Proprietary and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1b65a5"/>
      </w:rPr>
    </w:lvl>
  </w:abstractNum>
  <w:abstractNum w:abstractNumId="3" w15:restartNumberingAfterBreak="0">
    <w:multiLevelType w:val="hybridMultilevel"/>
    <w:lvl w:ilvl="0" w15:tentative="1">
      <w:start w:val="1"/>
      <w:numFmt w:val="bullet"/>
      <w:lvlText w:val="·"/>
      <w:lvlJc w:val="left"/>
      <w:pPr>
        <w:ind w:left="1000" w:hanging="280"/>
      </w:pPr>
      <w:rPr>
        <w:rFonts w:ascii="Arial" w:cs="Arial" w:eastAsia="Arial" w:hAnsi="Arial"/>
        <w:color w:val="7a7670"/>
      </w:r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8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7181a"/>
      <w:sz w:val="56"/>
      <w:szCs w:val="56"/>
    </w:rPr>
  </w:style>
  <w:style w:type="paragraph" w:styleId="Heading2">
    <w:name w:val="Heading 2"/>
    <w:basedOn w:val="Normal"/>
    <w:next w:val="Normal"/>
    <w:qFormat/>
    <w:pPr>
      <w:spacing w:after="80" w:before="320"/>
      <w:outlineLvl w:val="1"/>
    </w:pPr>
    <w:rPr>
      <w:rFonts w:ascii="Arial" w:cs="Arial" w:eastAsia="Arial" w:hAnsi="Arial"/>
      <w:b/>
      <w:bCs/>
      <w:color w:val="17181a"/>
      <w:sz w:val="28"/>
      <w:szCs w:val="28"/>
    </w:rPr>
  </w:style>
  <w:style w:type="paragraph" w:styleId="Heading3">
    <w:name w:val="Heading 3"/>
    <w:basedOn w:val="Normal"/>
    <w:next w:val="Normal"/>
    <w:qFormat/>
    <w:pPr>
      <w:spacing w:after="60" w:before="220"/>
      <w:outlineLvl w:val="2"/>
    </w:pPr>
    <w:rPr>
      <w:rFonts w:ascii="Arial" w:cs="Arial" w:eastAsia="Arial" w:hAnsi="Arial"/>
      <w:b/>
      <w:bCs/>
      <w:color w:val="1b65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2026-04-06T17:55:38.155Z</dcterms:created>
  <dcterms:modified xsi:type="dcterms:W3CDTF">2026-04-06T17:55:38.156Z</dcterms:modified>
</cp:coreProperties>
</file>

<file path=docProps/custom.xml><?xml version="1.0" encoding="utf-8"?>
<Properties xmlns="http://schemas.openxmlformats.org/officeDocument/2006/custom-properties" xmlns:vt="http://schemas.openxmlformats.org/officeDocument/2006/docPropsVTypes"/>
</file>