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pPr>
      <w:r>
        <w:rPr>
          <w:rFonts w:ascii="Arial" w:cs="Arial" w:eastAsia="Arial" w:hAnsi="Arial"/>
          <w:b/>
          <w:bCs/>
          <w:color w:val="17181a"/>
          <w:sz w:val="52"/>
          <w:szCs w:val="52"/>
        </w:rPr>
        <w:t xml:space="preserve">FlatFinder Inc.</w:t>
      </w:r>
    </w:p>
    <w:p>
      <w:pPr>
        <w:spacing w:after="80" w:before="0"/>
      </w:pPr>
      <w:r>
        <w:rPr>
          <w:rFonts w:ascii="Arial" w:cs="Arial" w:eastAsia="Arial" w:hAnsi="Arial"/>
          <w:color w:val="1b65a5"/>
          <w:sz w:val="28"/>
          <w:szCs w:val="28"/>
        </w:rPr>
        <w:t xml:space="preserve">Product Requirements Document Library</w:t>
      </w:r>
    </w:p>
    <w:p>
      <w:pPr>
        <w:pBdr>
          <w:bottom w:val="single" w:color="17181a" w:sz="8"/>
        </w:pBdr>
        <w:spacing w:after="0" w:before="0"/>
      </w:pPr>
      <w:r>
        <w:t xml:space="preserve"/>
      </w:r>
    </w:p>
    <w:p>
      <w:pPr>
        <w:spacing w:after="120" w:before="0"/>
      </w:pPr>
      <w:r>
        <w:t xml:space="preserve"/>
      </w:r>
    </w:p>
    <w:p>
      <w:r>
        <w:rPr>
          <w:rFonts w:ascii="Arial" w:cs="Arial" w:eastAsia="Arial" w:hAnsi="Arial"/>
          <w:color w:val="7a7670"/>
          <w:sz w:val="20"/>
          <w:szCs w:val="20"/>
        </w:rPr>
        <w:t xml:space="preserve">Version 1.0 · April 2026 · Proprietary and Confidential</w:t>
      </w:r>
    </w:p>
    <w:p>
      <w:pPr>
        <w:spacing w:after="120" w:before="0"/>
      </w:pPr>
      <w:r>
        <w:t xml:space="preserve"/>
      </w:r>
    </w:p>
    <w:p>
      <w:r>
        <w:rPr>
          <w:rFonts w:ascii="Arial" w:cs="Arial" w:eastAsia="Arial" w:hAnsi="Arial"/>
          <w:b/>
          <w:bCs/>
          <w:color w:val="17181a"/>
          <w:sz w:val="22"/>
          <w:szCs w:val="22"/>
        </w:rPr>
        <w:t xml:space="preserve">Documents included in this release:</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7181a"/>
          <w:sz w:val="22"/>
          <w:szCs w:val="22"/>
        </w:rPr>
        <w:t xml:space="preserve">FF-CORE-007 — Verified Match Conversation</w:t>
      </w:r>
    </w:p>
    <w:p>
      <w:pPr>
        <w:pStyle w:val="ListParagraph"/>
        <w:numPr>
          <w:ilvl w:val="0"/>
          <w:numId w:val="2"/>
        </w:numPr>
        <w:spacing w:after="40" w:before="40"/>
      </w:pPr>
      <w:r>
        <w:rPr>
          <w:rFonts w:ascii="Arial" w:cs="Arial" w:eastAsia="Arial" w:hAnsi="Arial"/>
          <w:b w:val="false"/>
          <w:bCs w:val="false"/>
          <w:color w:val="17181a"/>
          <w:sz w:val="22"/>
          <w:szCs w:val="22"/>
        </w:rPr>
        <w:t xml:space="preserve">FF-CORE-008 — Human Review Framework</w:t>
      </w:r>
    </w:p>
    <w:p>
      <w:pPr>
        <w:pStyle w:val="ListParagraph"/>
        <w:numPr>
          <w:ilvl w:val="0"/>
          <w:numId w:val="2"/>
        </w:numPr>
        <w:spacing w:after="40" w:before="40"/>
      </w:pPr>
      <w:r>
        <w:rPr>
          <w:rFonts w:ascii="Arial" w:cs="Arial" w:eastAsia="Arial" w:hAnsi="Arial"/>
          <w:b w:val="false"/>
          <w:bCs w:val="false"/>
          <w:color w:val="17181a"/>
          <w:sz w:val="22"/>
          <w:szCs w:val="22"/>
        </w:rPr>
        <w:t xml:space="preserve">FF-CORE-008-S7 — Discriminatory &amp; Predatory Listings (Amendment)</w:t>
      </w:r>
    </w:p>
    <w:p>
      <w:pPr>
        <w:pStyle w:val="ListParagraph"/>
        <w:numPr>
          <w:ilvl w:val="0"/>
          <w:numId w:val="2"/>
        </w:numPr>
        <w:spacing w:after="40" w:before="40"/>
      </w:pPr>
      <w:r>
        <w:rPr>
          <w:rFonts w:ascii="Arial" w:cs="Arial" w:eastAsia="Arial" w:hAnsi="Arial"/>
          <w:b w:val="false"/>
          <w:bCs w:val="false"/>
          <w:color w:val="17181a"/>
          <w:sz w:val="22"/>
          <w:szCs w:val="22"/>
        </w:rPr>
        <w:t xml:space="preserve">FF-CORE-009 — Tenant Verification &amp; Financial Standing</w:t>
      </w:r>
    </w:p>
    <w:p>
      <w:pPr>
        <w:pStyle w:val="ListParagraph"/>
        <w:numPr>
          <w:ilvl w:val="0"/>
          <w:numId w:val="2"/>
        </w:numPr>
        <w:spacing w:after="40" w:before="40"/>
      </w:pPr>
      <w:r>
        <w:rPr>
          <w:rFonts w:ascii="Arial" w:cs="Arial" w:eastAsia="Arial" w:hAnsi="Arial"/>
          <w:b w:val="false"/>
          <w:bCs w:val="false"/>
          <w:color w:val="17181a"/>
          <w:sz w:val="22"/>
          <w:szCs w:val="22"/>
        </w:rPr>
        <w:t xml:space="preserve">FF-CORE-010 — Landlord Verification &amp; Listing Standards</w:t>
      </w:r>
    </w:p>
    <w:p>
      <w:pPr>
        <w:pStyle w:val="ListParagraph"/>
        <w:numPr>
          <w:ilvl w:val="0"/>
          <w:numId w:val="2"/>
        </w:numPr>
        <w:spacing w:after="40" w:before="40"/>
      </w:pPr>
      <w:r>
        <w:rPr>
          <w:rFonts w:ascii="Arial" w:cs="Arial" w:eastAsia="Arial" w:hAnsi="Arial"/>
          <w:b w:val="false"/>
          <w:bCs w:val="false"/>
          <w:color w:val="17181a"/>
          <w:sz w:val="22"/>
          <w:szCs w:val="22"/>
        </w:rPr>
        <w:t xml:space="preserve">FF-CORE-011 — Matching Logic &amp; Filter Hierarchy</w:t>
      </w:r>
    </w:p>
    <w:p>
      <w:pPr>
        <w:spacing w:after="240" w:before="0"/>
      </w:pPr>
      <w:r>
        <w:t xml:space="preserve"/>
      </w:r>
    </w:p>
    <w:p>
      <w:r>
        <w:rPr>
          <w:rFonts w:ascii="Arial" w:cs="Arial" w:eastAsia="Arial" w:hAnsi="Arial"/>
          <w:color w:val="7a7670"/>
          <w:sz w:val="18"/>
          <w:szCs w:val="18"/>
        </w:rPr>
        <w:t xml:space="preserve">© 2024–2026 Lila Inglis Abegunrin · FlatFinder Inc.
Trademarks and Patents Pending (CIPO)</w:t>
      </w:r>
    </w:p>
    <w:p>
      <w:r>
        <w:br w:type="page"/>
      </w:r>
    </w:p>
    <w:p>
      <w:pPr>
        <w:spacing w:after="60" w:before="320"/>
      </w:pPr>
      <w:r>
        <w:rPr>
          <w:rFonts w:ascii="Arial" w:cs="Arial" w:eastAsia="Arial" w:hAnsi="Arial"/>
          <w:b/>
          <w:bCs/>
          <w:caps/>
          <w:color w:val="1b65a5"/>
          <w:spacing w:val="40"/>
          <w:sz w:val="18"/>
          <w:szCs w:val="18"/>
        </w:rPr>
        <w:t xml:space="preserve">FF-CORE-007</w:t>
      </w:r>
    </w:p>
    <w:p>
      <w:pPr>
        <w:pStyle w:val="Heading1"/>
        <w:pBdr>
          <w:bottom w:val="single" w:color="17181a" w:sz="8" w:space="6"/>
        </w:pBdr>
        <w:spacing w:after="80" w:before="0"/>
      </w:pPr>
      <w:r>
        <w:rPr>
          <w:rFonts w:ascii="Arial" w:cs="Arial" w:eastAsia="Arial" w:hAnsi="Arial"/>
          <w:b/>
          <w:bCs/>
          <w:color w:val="17181a"/>
          <w:sz w:val="44"/>
          <w:szCs w:val="44"/>
        </w:rPr>
        <w:t xml:space="preserve">Verified Match Conversation</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Platform Integrity</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The gate between a confirmed match and any financial instrument. Neither party receives a payment link, lease, or deposit request until this gate is cleared.</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Purpose</w:t>
      </w:r>
    </w:p>
    <w:p>
      <w:pPr>
        <w:spacing w:after="80" w:before="60"/>
      </w:pPr>
      <w:r>
        <w:rPr>
          <w:rFonts w:ascii="Arial" w:cs="Arial" w:eastAsia="Arial" w:hAnsi="Arial"/>
          <w:i w:val="false"/>
          <w:iCs w:val="false"/>
          <w:color w:val="17181a"/>
          <w:sz w:val="22"/>
          <w:szCs w:val="22"/>
        </w:rPr>
        <w:t xml:space="preserve">The Verified Match Conversation (VMC) exists to surface incompatibilities before financial commitment, create a logged evidence trail, and filter bad actors on both sides before they can cause harm. It is a hard gate with zero bypass.</w:t>
      </w:r>
    </w:p>
    <w:p>
      <w:pPr>
        <w:pStyle w:val="Heading2"/>
        <w:pBdr>
          <w:bottom w:val="single" w:color="ddd7cc" w:sz="2" w:space="4"/>
        </w:pBdr>
        <w:spacing w:after="80" w:before="280"/>
      </w:pPr>
      <w:r>
        <w:rPr>
          <w:rFonts w:ascii="Arial" w:cs="Arial" w:eastAsia="Arial" w:hAnsi="Arial"/>
          <w:b/>
          <w:bCs/>
          <w:color w:val="17181a"/>
          <w:sz w:val="26"/>
          <w:szCs w:val="26"/>
        </w:rPr>
        <w:t xml:space="preserve">Trigger</w:t>
      </w:r>
    </w:p>
    <w:p>
      <w:pPr>
        <w:spacing w:after="80" w:before="60"/>
      </w:pPr>
      <w:r>
        <w:rPr>
          <w:rFonts w:ascii="Arial" w:cs="Arial" w:eastAsia="Arial" w:hAnsi="Arial"/>
          <w:i w:val="false"/>
          <w:iCs w:val="false"/>
          <w:color w:val="17181a"/>
          <w:sz w:val="22"/>
          <w:szCs w:val="22"/>
        </w:rPr>
        <w:t xml:space="preserve">The VMC thread opens automatically the moment both parties confirm a match. It cannot be opened early, delayed, or skipped. No user tier — including Beta or Max — can override this gate.</w:t>
      </w:r>
    </w:p>
    <w:p>
      <w:pPr>
        <w:pStyle w:val="Heading2"/>
        <w:pBdr>
          <w:bottom w:val="single" w:color="ddd7cc" w:sz="2" w:space="4"/>
        </w:pBdr>
        <w:spacing w:after="80" w:before="280"/>
      </w:pPr>
      <w:r>
        <w:rPr>
          <w:rFonts w:ascii="Arial" w:cs="Arial" w:eastAsia="Arial" w:hAnsi="Arial"/>
          <w:b/>
          <w:bCs/>
          <w:color w:val="17181a"/>
          <w:sz w:val="26"/>
          <w:szCs w:val="26"/>
        </w:rPr>
        <w:t xml:space="preserve">Completion Criteria</w:t>
      </w:r>
    </w:p>
    <w:p>
      <w:pPr>
        <w:spacing w:after="80" w:before="60"/>
      </w:pPr>
      <w:r>
        <w:rPr>
          <w:rFonts w:ascii="Arial" w:cs="Arial" w:eastAsia="Arial" w:hAnsi="Arial"/>
          <w:i w:val="false"/>
          <w:iCs w:val="false"/>
          <w:color w:val="17181a"/>
          <w:sz w:val="22"/>
          <w:szCs w:val="22"/>
        </w:rPr>
        <w:t xml:space="preserve">A VMC is considered complete only when all of the following are simultaneously true:</w:t>
      </w:r>
    </w:p>
    <w:p>
      <w:pPr>
        <w:spacing w:after="120" w:before="0"/>
      </w:pPr>
      <w:r>
        <w:t xml:space="preserve"/>
      </w:r>
    </w:p>
    <w:p>
      <w:pPr>
        <w:pStyle w:val="Heading3"/>
        <w:spacing w:after="60" w:before="200"/>
      </w:pPr>
      <w:r>
        <w:rPr>
          <w:rFonts w:ascii="Arial" w:cs="Arial" w:eastAsia="Arial" w:hAnsi="Arial"/>
          <w:b/>
          <w:bCs/>
          <w:color w:val="1b65a5"/>
          <w:sz w:val="22"/>
          <w:szCs w:val="22"/>
        </w:rPr>
        <w:t xml:space="preserve">Message count</w:t>
      </w:r>
    </w:p>
    <w:p>
      <w:pPr>
        <w:spacing w:after="80" w:before="60"/>
      </w:pPr>
      <w:r>
        <w:rPr>
          <w:rFonts w:ascii="Arial" w:cs="Arial" w:eastAsia="Arial" w:hAnsi="Arial"/>
          <w:i w:val="false"/>
          <w:iCs w:val="false"/>
          <w:color w:val="17181a"/>
          <w:sz w:val="22"/>
          <w:szCs w:val="22"/>
        </w:rPr>
        <w:t xml:space="preserve">Each party must send a minimum of three messages. A message qualifies only if it passes all checks below.</w:t>
      </w:r>
    </w:p>
    <w:p>
      <w:pPr>
        <w:pStyle w:val="Heading3"/>
        <w:spacing w:after="60" w:before="200"/>
      </w:pPr>
      <w:r>
        <w:rPr>
          <w:rFonts w:ascii="Arial" w:cs="Arial" w:eastAsia="Arial" w:hAnsi="Arial"/>
          <w:b/>
          <w:bCs/>
          <w:color w:val="1b65a5"/>
          <w:sz w:val="22"/>
          <w:szCs w:val="22"/>
        </w:rPr>
        <w:t xml:space="preserve">Minimum length</w:t>
      </w:r>
    </w:p>
    <w:p>
      <w:pPr>
        <w:spacing w:after="80" w:before="60"/>
      </w:pPr>
      <w:r>
        <w:rPr>
          <w:rFonts w:ascii="Arial" w:cs="Arial" w:eastAsia="Arial" w:hAnsi="Arial"/>
          <w:i w:val="false"/>
          <w:iCs w:val="false"/>
          <w:color w:val="17181a"/>
          <w:sz w:val="22"/>
          <w:szCs w:val="22"/>
        </w:rPr>
        <w:t xml:space="preserve">40 words per message. Anything under is rejected at submission with a prompt to elaborate. No exceptions.</w:t>
      </w:r>
    </w:p>
    <w:p>
      <w:pPr>
        <w:pStyle w:val="Heading3"/>
        <w:spacing w:after="60" w:before="200"/>
      </w:pPr>
      <w:r>
        <w:rPr>
          <w:rFonts w:ascii="Arial" w:cs="Arial" w:eastAsia="Arial" w:hAnsi="Arial"/>
          <w:b/>
          <w:bCs/>
          <w:color w:val="1b65a5"/>
          <w:sz w:val="22"/>
          <w:szCs w:val="22"/>
        </w:rPr>
        <w:t xml:space="preserve">Dictionary integrity</w:t>
      </w:r>
    </w:p>
    <w:p>
      <w:pPr>
        <w:spacing w:after="80" w:before="60"/>
      </w:pPr>
      <w:r>
        <w:rPr>
          <w:rFonts w:ascii="Arial" w:cs="Arial" w:eastAsia="Arial" w:hAnsi="Arial"/>
          <w:i w:val="false"/>
          <w:iCs w:val="false"/>
          <w:color w:val="17181a"/>
          <w:sz w:val="22"/>
          <w:szCs w:val="22"/>
        </w:rPr>
        <w:t xml:space="preserve">A minimum of 85% of submitted words must resolve to real dictionary entries in English or French. Random strings, keyboard runs (e.g. “asdfghjkl”), and character repetition patterns (e.g. “hahahahaha”) are detected and blocked at input.</w:t>
      </w:r>
    </w:p>
    <w:p>
      <w:pPr>
        <w:pStyle w:val="Heading3"/>
        <w:spacing w:after="60" w:before="200"/>
      </w:pPr>
      <w:r>
        <w:rPr>
          <w:rFonts w:ascii="Arial" w:cs="Arial" w:eastAsia="Arial" w:hAnsi="Arial"/>
          <w:b/>
          <w:bCs/>
          <w:color w:val="1b65a5"/>
          <w:sz w:val="22"/>
          <w:szCs w:val="22"/>
        </w:rPr>
        <w:t xml:space="preserve">Semantic coherence</w:t>
      </w:r>
    </w:p>
    <w:p>
      <w:pPr>
        <w:spacing w:after="80" w:before="60"/>
      </w:pPr>
      <w:r>
        <w:rPr>
          <w:rFonts w:ascii="Arial" w:cs="Arial" w:eastAsia="Arial" w:hAnsi="Arial"/>
          <w:i w:val="false"/>
          <w:iCs w:val="false"/>
          <w:color w:val="17181a"/>
          <w:sz w:val="22"/>
          <w:szCs w:val="22"/>
        </w:rPr>
        <w:t xml:space="preserve">Each message is scored for topical relevance to the listing context: property address, move-in date, tenancy terms. A message that passes the dictionary check but has no semantic connection to a rental conversation is flagged and rejected.</w:t>
      </w:r>
    </w:p>
    <w:p>
      <w:pPr>
        <w:pStyle w:val="Heading3"/>
        <w:spacing w:after="60" w:before="200"/>
      </w:pPr>
      <w:r>
        <w:rPr>
          <w:rFonts w:ascii="Arial" w:cs="Arial" w:eastAsia="Arial" w:hAnsi="Arial"/>
          <w:b/>
          <w:bCs/>
          <w:color w:val="1b65a5"/>
          <w:sz w:val="22"/>
          <w:szCs w:val="22"/>
        </w:rPr>
        <w:t xml:space="preserve">Uniqueness enforcement</w:t>
      </w:r>
    </w:p>
    <w:p>
      <w:pPr>
        <w:spacing w:after="80" w:before="60"/>
      </w:pPr>
      <w:r>
        <w:rPr>
          <w:rFonts w:ascii="Arial" w:cs="Arial" w:eastAsia="Arial" w:hAnsi="Arial"/>
          <w:i w:val="false"/>
          <w:iCs w:val="false"/>
          <w:color w:val="17181a"/>
          <w:sz w:val="22"/>
          <w:szCs w:val="22"/>
        </w:rPr>
        <w:t xml:space="preserve">No party may submit the same message, or a message with greater than 60% similarity to a previous message in the same thread, more than once. Copy-paste repetition to hit the message count is blocked.</w:t>
      </w:r>
    </w:p>
    <w:p>
      <w:pPr>
        <w:pStyle w:val="Heading3"/>
        <w:spacing w:after="60" w:before="200"/>
      </w:pPr>
      <w:r>
        <w:rPr>
          <w:rFonts w:ascii="Arial" w:cs="Arial" w:eastAsia="Arial" w:hAnsi="Arial"/>
          <w:b/>
          <w:bCs/>
          <w:color w:val="1b65a5"/>
          <w:sz w:val="22"/>
          <w:szCs w:val="22"/>
        </w:rPr>
        <w:t xml:space="preserve">No template bypass</w:t>
      </w:r>
    </w:p>
    <w:p>
      <w:pPr>
        <w:spacing w:after="80" w:before="60"/>
      </w:pPr>
      <w:r>
        <w:rPr>
          <w:rFonts w:ascii="Arial" w:cs="Arial" w:eastAsia="Arial" w:hAnsi="Arial"/>
          <w:i w:val="false"/>
          <w:iCs w:val="false"/>
          <w:color w:val="17181a"/>
          <w:sz w:val="22"/>
          <w:szCs w:val="22"/>
        </w:rPr>
        <w:t xml:space="preserve">The system maintains a fingerprint library of known filler phrases. A message composed entirely or predominantly of these phrases does not count toward the completion threshold.</w:t>
      </w:r>
    </w:p>
    <w:p>
      <w:pPr>
        <w:pStyle w:val="Heading3"/>
        <w:spacing w:after="60" w:before="200"/>
      </w:pPr>
      <w:r>
        <w:rPr>
          <w:rFonts w:ascii="Arial" w:cs="Arial" w:eastAsia="Arial" w:hAnsi="Arial"/>
          <w:b/>
          <w:bCs/>
          <w:color w:val="1b65a5"/>
          <w:sz w:val="22"/>
          <w:szCs w:val="22"/>
        </w:rPr>
        <w:t xml:space="preserve">Response pairing</w:t>
      </w:r>
    </w:p>
    <w:p>
      <w:pPr>
        <w:spacing w:after="80" w:before="60"/>
      </w:pPr>
      <w:r>
        <w:rPr>
          <w:rFonts w:ascii="Arial" w:cs="Arial" w:eastAsia="Arial" w:hAnsi="Arial"/>
          <w:i w:val="false"/>
          <w:iCs w:val="false"/>
          <w:color w:val="17181a"/>
          <w:sz w:val="22"/>
          <w:szCs w:val="22"/>
        </w:rPr>
        <w:t xml:space="preserve">At least one message from each party must be demonstrably responsive — submitted after the other party’s message, not pre-loaded or scheduled.</w:t>
      </w:r>
    </w:p>
    <w:p>
      <w:pPr>
        <w:pStyle w:val="Heading2"/>
        <w:pBdr>
          <w:bottom w:val="single" w:color="ddd7cc" w:sz="2" w:space="4"/>
        </w:pBdr>
        <w:spacing w:after="80" w:before="280"/>
      </w:pPr>
      <w:r>
        <w:rPr>
          <w:rFonts w:ascii="Arial" w:cs="Arial" w:eastAsia="Arial" w:hAnsi="Arial"/>
          <w:b/>
          <w:bCs/>
          <w:color w:val="17181a"/>
          <w:sz w:val="26"/>
          <w:szCs w:val="26"/>
        </w:rPr>
        <w:t xml:space="preserve">Landlord Response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80"/>
              <w:left w:type="dxa" w:w="160"/>
              <w:bottom w:type="dxa" w:w="80"/>
              <w:right w:type="dxa" w:w="160"/>
            </w:tcMar>
          </w:tcPr>
          <w:p>
            <w:r>
              <w:rPr>
                <w:rFonts w:ascii="Arial" w:cs="Arial" w:eastAsia="Arial" w:hAnsi="Arial"/>
                <w:color w:val="17181a"/>
                <w:sz w:val="22"/>
                <w:szCs w:val="22"/>
              </w:rPr>
              <w:t xml:space="preserve">24 hours. Flat. No exceptions. No business-day carve-outs. No time-zone adjustments. No platform tier exemptions.</w:t>
            </w:r>
          </w:p>
        </w:tc>
      </w:tr>
    </w:tbl>
    <w:p>
      <w:pPr>
        <w:spacing w:after="120" w:before="0"/>
      </w:pPr>
      <w:r>
        <w:t xml:space="preserve"/>
      </w:r>
    </w:p>
    <w:p>
      <w:pPr>
        <w:spacing w:after="80" w:before="60"/>
      </w:pPr>
      <w:r>
        <w:rPr>
          <w:rFonts w:ascii="Arial" w:cs="Arial" w:eastAsia="Arial" w:hAnsi="Arial"/>
          <w:i w:val="false"/>
          <w:iCs w:val="false"/>
          <w:color w:val="17181a"/>
          <w:sz w:val="22"/>
          <w:szCs w:val="22"/>
        </w:rPr>
        <w:t xml:space="preserve">The 24-hour clock starts from the moment the tenant sends their first VMC message.</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7181a"/>
          <w:sz w:val="22"/>
          <w:szCs w:val="22"/>
        </w:rPr>
        <w:t xml:space="preserve">At 12 hours: landlord receives an automated reminder notification.</w:t>
      </w:r>
    </w:p>
    <w:p>
      <w:pPr>
        <w:pStyle w:val="ListParagraph"/>
        <w:numPr>
          <w:ilvl w:val="0"/>
          <w:numId w:val="2"/>
        </w:numPr>
        <w:spacing w:after="40" w:before="40"/>
      </w:pPr>
      <w:r>
        <w:rPr>
          <w:rFonts w:ascii="Arial" w:cs="Arial" w:eastAsia="Arial" w:hAnsi="Arial"/>
          <w:b w:val="false"/>
          <w:bCs w:val="false"/>
          <w:color w:val="17181a"/>
          <w:sz w:val="22"/>
          <w:szCs w:val="22"/>
        </w:rPr>
        <w:t xml:space="preserve">At 20 hours: landlord receives a final warning notification.</w:t>
      </w:r>
    </w:p>
    <w:p>
      <w:pPr>
        <w:pStyle w:val="ListParagraph"/>
        <w:numPr>
          <w:ilvl w:val="0"/>
          <w:numId w:val="2"/>
        </w:numPr>
        <w:spacing w:after="40" w:before="40"/>
      </w:pPr>
      <w:r>
        <w:rPr>
          <w:rFonts w:ascii="Arial" w:cs="Arial" w:eastAsia="Arial" w:hAnsi="Arial"/>
          <w:b w:val="false"/>
          <w:bCs w:val="false"/>
          <w:color w:val="17181a"/>
          <w:sz w:val="22"/>
          <w:szCs w:val="22"/>
        </w:rPr>
        <w:t xml:space="preserve">At 24 hours: match is automatically cancelled. Landlord is flagged on their account record. The tenant is notified and returned to the active match pool with priority status.</w:t>
      </w:r>
    </w:p>
    <w:p>
      <w:pPr>
        <w:spacing w:after="120" w:before="0"/>
      </w:pPr>
      <w:r>
        <w:t xml:space="preserve"/>
      </w:r>
    </w:p>
    <w:p>
      <w:pPr>
        <w:spacing w:after="80" w:before="60"/>
      </w:pPr>
      <w:r>
        <w:rPr>
          <w:rFonts w:ascii="Arial" w:cs="Arial" w:eastAsia="Arial" w:hAnsi="Arial"/>
          <w:i w:val="false"/>
          <w:iCs w:val="false"/>
          <w:color w:val="17181a"/>
          <w:sz w:val="22"/>
          <w:szCs w:val="22"/>
        </w:rPr>
        <w:t xml:space="preserve">A landlord who has accepted a match has already signalled availability and intent. A tenant in an active housing search cannot be held in limbo. There is no version of this rule that includes exceptions.</w:t>
      </w:r>
    </w:p>
    <w:p>
      <w:pPr>
        <w:pStyle w:val="Heading2"/>
        <w:pBdr>
          <w:bottom w:val="single" w:color="ddd7cc" w:sz="2" w:space="4"/>
        </w:pBdr>
        <w:spacing w:after="80" w:before="280"/>
      </w:pPr>
      <w:r>
        <w:rPr>
          <w:rFonts w:ascii="Arial" w:cs="Arial" w:eastAsia="Arial" w:hAnsi="Arial"/>
          <w:b/>
          <w:bCs/>
          <w:color w:val="17181a"/>
          <w:sz w:val="26"/>
          <w:szCs w:val="26"/>
        </w:rPr>
        <w:t xml:space="preserve">Evidence Trail</w:t>
      </w:r>
    </w:p>
    <w:p>
      <w:pPr>
        <w:spacing w:after="80" w:before="60"/>
      </w:pPr>
      <w:r>
        <w:rPr>
          <w:rFonts w:ascii="Arial" w:cs="Arial" w:eastAsia="Arial" w:hAnsi="Arial"/>
          <w:i w:val="false"/>
          <w:iCs w:val="false"/>
          <w:color w:val="17181a"/>
          <w:sz w:val="22"/>
          <w:szCs w:val="22"/>
        </w:rPr>
        <w:t xml:space="preserve">All VMC messages are timestamped, logged, and retained for a minimum of 24 months. This record is available to FlatFinder’s Human Review team (FF-CORE-008) and, where legally required, to appropriate authorities.</w:t>
      </w:r>
    </w:p>
    <w:p>
      <w:pPr>
        <w:spacing w:after="12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p>
      <w:r>
        <w:br w:type="page"/>
      </w:r>
    </w:p>
    <w:p>
      <w:pPr>
        <w:spacing w:after="60" w:before="320"/>
      </w:pPr>
      <w:r>
        <w:rPr>
          <w:rFonts w:ascii="Arial" w:cs="Arial" w:eastAsia="Arial" w:hAnsi="Arial"/>
          <w:b/>
          <w:bCs/>
          <w:caps/>
          <w:color w:val="1b65a5"/>
          <w:spacing w:val="40"/>
          <w:sz w:val="18"/>
          <w:szCs w:val="18"/>
        </w:rPr>
        <w:t xml:space="preserve">FF-CORE-008</w:t>
      </w:r>
    </w:p>
    <w:p>
      <w:pPr>
        <w:pStyle w:val="Heading1"/>
        <w:pBdr>
          <w:bottom w:val="single" w:color="17181a" w:sz="8" w:space="6"/>
        </w:pBdr>
        <w:spacing w:after="80" w:before="0"/>
      </w:pPr>
      <w:r>
        <w:rPr>
          <w:rFonts w:ascii="Arial" w:cs="Arial" w:eastAsia="Arial" w:hAnsi="Arial"/>
          <w:b/>
          <w:bCs/>
          <w:color w:val="17181a"/>
          <w:sz w:val="44"/>
          <w:szCs w:val="44"/>
        </w:rPr>
        <w:t xml:space="preserve">Human Review Framework</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Platform Integrity</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The conditions under which a human reviewer is assigned to a listing, landlord profile, or tenant profile, and the strict boundaries on what that reviewer can access.</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Purpose</w:t>
      </w:r>
    </w:p>
    <w:p>
      <w:pPr>
        <w:spacing w:after="80" w:before="60"/>
      </w:pPr>
      <w:r>
        <w:rPr>
          <w:rFonts w:ascii="Arial" w:cs="Arial" w:eastAsia="Arial" w:hAnsi="Arial"/>
          <w:i w:val="false"/>
          <w:iCs w:val="false"/>
          <w:color w:val="17181a"/>
          <w:sz w:val="22"/>
          <w:szCs w:val="22"/>
        </w:rPr>
        <w:t xml:space="preserve">Automated systems catch the obvious. Human reviewers catch the subtle. This PRD defines when a reviewer is assigned, what they can see, and what they can never see. The algorithm’s logic is not one of the things they can see.</w:t>
      </w:r>
    </w:p>
    <w:p>
      <w:pPr>
        <w:pStyle w:val="Heading2"/>
        <w:pBdr>
          <w:bottom w:val="single" w:color="ddd7cc" w:sz="2" w:space="4"/>
        </w:pBdr>
        <w:spacing w:after="80" w:before="280"/>
      </w:pPr>
      <w:r>
        <w:rPr>
          <w:rFonts w:ascii="Arial" w:cs="Arial" w:eastAsia="Arial" w:hAnsi="Arial"/>
          <w:b/>
          <w:bCs/>
          <w:color w:val="17181a"/>
          <w:sz w:val="26"/>
          <w:szCs w:val="26"/>
        </w:rPr>
        <w:t xml:space="preserve">Triggers for Human Review</w:t>
      </w:r>
    </w:p>
    <w:p>
      <w:pPr>
        <w:spacing w:after="80" w:before="60"/>
      </w:pPr>
      <w:r>
        <w:rPr>
          <w:rFonts w:ascii="Arial" w:cs="Arial" w:eastAsia="Arial" w:hAnsi="Arial"/>
          <w:i w:val="false"/>
          <w:iCs w:val="false"/>
          <w:color w:val="17181a"/>
          <w:sz w:val="22"/>
          <w:szCs w:val="22"/>
        </w:rPr>
        <w:t xml:space="preserve">A human review is assigned when any of the following occur:</w:t>
      </w:r>
    </w:p>
    <w:p>
      <w:pPr>
        <w:pStyle w:val="ListParagraph"/>
        <w:numPr>
          <w:ilvl w:val="0"/>
          <w:numId w:val="2"/>
        </w:numPr>
        <w:spacing w:after="40" w:before="40"/>
      </w:pPr>
      <w:r>
        <w:rPr>
          <w:rFonts w:ascii="Arial" w:cs="Arial" w:eastAsia="Arial" w:hAnsi="Arial"/>
          <w:b w:val="false"/>
          <w:bCs w:val="false"/>
          <w:color w:val="17181a"/>
          <w:sz w:val="22"/>
          <w:szCs w:val="22"/>
        </w:rPr>
        <w:t xml:space="preserve">A listing is flagged by the discrimination and predatory listings detection system (see FF-CORE-008-S7).</w:t>
      </w:r>
    </w:p>
    <w:p>
      <w:pPr>
        <w:pStyle w:val="ListParagraph"/>
        <w:numPr>
          <w:ilvl w:val="0"/>
          <w:numId w:val="2"/>
        </w:numPr>
        <w:spacing w:after="40" w:before="40"/>
      </w:pPr>
      <w:r>
        <w:rPr>
          <w:rFonts w:ascii="Arial" w:cs="Arial" w:eastAsia="Arial" w:hAnsi="Arial"/>
          <w:b w:val="false"/>
          <w:bCs w:val="false"/>
          <w:color w:val="17181a"/>
          <w:sz w:val="22"/>
          <w:szCs w:val="22"/>
        </w:rPr>
        <w:t xml:space="preserve">A landlord’s verification documents cannot be automatically cross-referenced against municipal or Crown/Council records.</w:t>
      </w:r>
    </w:p>
    <w:p>
      <w:pPr>
        <w:pStyle w:val="ListParagraph"/>
        <w:numPr>
          <w:ilvl w:val="0"/>
          <w:numId w:val="2"/>
        </w:numPr>
        <w:spacing w:after="40" w:before="40"/>
      </w:pPr>
      <w:r>
        <w:rPr>
          <w:rFonts w:ascii="Arial" w:cs="Arial" w:eastAsia="Arial" w:hAnsi="Arial"/>
          <w:b w:val="false"/>
          <w:bCs w:val="false"/>
          <w:color w:val="17181a"/>
          <w:sz w:val="22"/>
          <w:szCs w:val="22"/>
        </w:rPr>
        <w:t xml:space="preserve">A tenant’s documentation tier contains inconsistencies that cannot be resolved by automated cross-check.</w:t>
      </w:r>
    </w:p>
    <w:p>
      <w:pPr>
        <w:pStyle w:val="ListParagraph"/>
        <w:numPr>
          <w:ilvl w:val="0"/>
          <w:numId w:val="2"/>
        </w:numPr>
        <w:spacing w:after="40" w:before="40"/>
      </w:pPr>
      <w:r>
        <w:rPr>
          <w:rFonts w:ascii="Arial" w:cs="Arial" w:eastAsia="Arial" w:hAnsi="Arial"/>
          <w:b w:val="false"/>
          <w:bCs w:val="false"/>
          <w:color w:val="17181a"/>
          <w:sz w:val="22"/>
          <w:szCs w:val="22"/>
        </w:rPr>
        <w:t xml:space="preserve">A VMC thread is reported by either party.</w:t>
      </w:r>
    </w:p>
    <w:p>
      <w:pPr>
        <w:pStyle w:val="ListParagraph"/>
        <w:numPr>
          <w:ilvl w:val="0"/>
          <w:numId w:val="2"/>
        </w:numPr>
        <w:spacing w:after="40" w:before="40"/>
      </w:pPr>
      <w:r>
        <w:rPr>
          <w:rFonts w:ascii="Arial" w:cs="Arial" w:eastAsia="Arial" w:hAnsi="Arial"/>
          <w:b w:val="false"/>
          <w:bCs w:val="false"/>
          <w:color w:val="17181a"/>
          <w:sz w:val="22"/>
          <w:szCs w:val="22"/>
        </w:rPr>
        <w:t xml:space="preserve">The platform’s pattern-detection system identifies behaviour consistent with coordinated fraud.</w:t>
      </w:r>
    </w:p>
    <w:p>
      <w:pPr>
        <w:pStyle w:val="ListParagraph"/>
        <w:numPr>
          <w:ilvl w:val="0"/>
          <w:numId w:val="2"/>
        </w:numPr>
        <w:spacing w:after="40" w:before="40"/>
      </w:pPr>
      <w:r>
        <w:rPr>
          <w:rFonts w:ascii="Arial" w:cs="Arial" w:eastAsia="Arial" w:hAnsi="Arial"/>
          <w:b w:val="false"/>
          <w:bCs w:val="false"/>
          <w:color w:val="17181a"/>
          <w:sz w:val="22"/>
          <w:szCs w:val="22"/>
        </w:rPr>
        <w:t xml:space="preserve">Any user submits a formal dispute.</w:t>
      </w:r>
    </w:p>
    <w:p>
      <w:pPr>
        <w:pStyle w:val="Heading2"/>
        <w:pBdr>
          <w:bottom w:val="single" w:color="ddd7cc" w:sz="2" w:space="4"/>
        </w:pBdr>
        <w:spacing w:after="80" w:before="280"/>
      </w:pPr>
      <w:r>
        <w:rPr>
          <w:rFonts w:ascii="Arial" w:cs="Arial" w:eastAsia="Arial" w:hAnsi="Arial"/>
          <w:b/>
          <w:bCs/>
          <w:color w:val="17181a"/>
          <w:sz w:val="26"/>
          <w:szCs w:val="26"/>
        </w:rPr>
        <w:t xml:space="preserve">What Reviewers Can Access</w:t>
      </w:r>
    </w:p>
    <w:p>
      <w:pPr>
        <w:pStyle w:val="ListParagraph"/>
        <w:numPr>
          <w:ilvl w:val="0"/>
          <w:numId w:val="2"/>
        </w:numPr>
        <w:spacing w:after="40" w:before="40"/>
      </w:pPr>
      <w:r>
        <w:rPr>
          <w:rFonts w:ascii="Arial" w:cs="Arial" w:eastAsia="Arial" w:hAnsi="Arial"/>
          <w:b w:val="false"/>
          <w:bCs w:val="false"/>
          <w:color w:val="17181a"/>
          <w:sz w:val="22"/>
          <w:szCs w:val="22"/>
        </w:rPr>
        <w:t xml:space="preserve">The listing content, photographs, and landlord-submitted documents.</w:t>
      </w:r>
    </w:p>
    <w:p>
      <w:pPr>
        <w:pStyle w:val="ListParagraph"/>
        <w:numPr>
          <w:ilvl w:val="0"/>
          <w:numId w:val="2"/>
        </w:numPr>
        <w:spacing w:after="40" w:before="40"/>
      </w:pPr>
      <w:r>
        <w:rPr>
          <w:rFonts w:ascii="Arial" w:cs="Arial" w:eastAsia="Arial" w:hAnsi="Arial"/>
          <w:b w:val="false"/>
          <w:bCs w:val="false"/>
          <w:color w:val="17181a"/>
          <w:sz w:val="22"/>
          <w:szCs w:val="22"/>
        </w:rPr>
        <w:t xml:space="preserve">The landlord’s verification record: forms submitted, verification status, and any prior flags.</w:t>
      </w:r>
    </w:p>
    <w:p>
      <w:pPr>
        <w:pStyle w:val="ListParagraph"/>
        <w:numPr>
          <w:ilvl w:val="0"/>
          <w:numId w:val="2"/>
        </w:numPr>
        <w:spacing w:after="40" w:before="40"/>
      </w:pPr>
      <w:r>
        <w:rPr>
          <w:rFonts w:ascii="Arial" w:cs="Arial" w:eastAsia="Arial" w:hAnsi="Arial"/>
          <w:b w:val="false"/>
          <w:bCs w:val="false"/>
          <w:color w:val="17181a"/>
          <w:sz w:val="22"/>
          <w:szCs w:val="22"/>
        </w:rPr>
        <w:t xml:space="preserve">The VMC thread, in full, with timestamps.</w:t>
      </w:r>
    </w:p>
    <w:p>
      <w:pPr>
        <w:pStyle w:val="ListParagraph"/>
        <w:numPr>
          <w:ilvl w:val="0"/>
          <w:numId w:val="2"/>
        </w:numPr>
        <w:spacing w:after="40" w:before="40"/>
      </w:pPr>
      <w:r>
        <w:rPr>
          <w:rFonts w:ascii="Arial" w:cs="Arial" w:eastAsia="Arial" w:hAnsi="Arial"/>
          <w:b w:val="false"/>
          <w:bCs w:val="false"/>
          <w:color w:val="17181a"/>
          <w:sz w:val="22"/>
          <w:szCs w:val="22"/>
        </w:rPr>
        <w:t xml:space="preserve">Tenant documentation as submitted, within the relevant tier only.</w:t>
      </w:r>
    </w:p>
    <w:p>
      <w:pPr>
        <w:pStyle w:val="ListParagraph"/>
        <w:numPr>
          <w:ilvl w:val="0"/>
          <w:numId w:val="2"/>
        </w:numPr>
        <w:spacing w:after="40" w:before="40"/>
      </w:pPr>
      <w:r>
        <w:rPr>
          <w:rFonts w:ascii="Arial" w:cs="Arial" w:eastAsia="Arial" w:hAnsi="Arial"/>
          <w:b w:val="false"/>
          <w:bCs w:val="false"/>
          <w:color w:val="17181a"/>
          <w:sz w:val="22"/>
          <w:szCs w:val="22"/>
        </w:rPr>
        <w:t xml:space="preserve">The human-readable output of the matching process: whether a match was made, and which filters were applied.</w:t>
      </w:r>
    </w:p>
    <w:p>
      <w:pPr>
        <w:pStyle w:val="Heading2"/>
        <w:pBdr>
          <w:bottom w:val="single" w:color="ddd7cc" w:sz="2" w:space="4"/>
        </w:pBdr>
        <w:spacing w:after="80" w:before="280"/>
      </w:pPr>
      <w:r>
        <w:rPr>
          <w:rFonts w:ascii="Arial" w:cs="Arial" w:eastAsia="Arial" w:hAnsi="Arial"/>
          <w:b/>
          <w:bCs/>
          <w:color w:val="17181a"/>
          <w:sz w:val="26"/>
          <w:szCs w:val="26"/>
        </w:rPr>
        <w:t xml:space="preserve">What Reviewers Cannot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80"/>
              <w:left w:type="dxa" w:w="160"/>
              <w:bottom w:type="dxa" w:w="80"/>
              <w:right w:type="dxa" w:w="160"/>
            </w:tcMar>
          </w:tcPr>
          <w:p>
            <w:r>
              <w:rPr>
                <w:rFonts w:ascii="Arial" w:cs="Arial" w:eastAsia="Arial" w:hAnsi="Arial"/>
                <w:color w:val="17181a"/>
                <w:sz w:val="22"/>
                <w:szCs w:val="22"/>
              </w:rPr>
              <w:t xml:space="preserve">The Anti-Gatekeeping Affordability Algorithm™ — its logic, methodology, weighting, source code, or any intermediate calculation — is never accessible to human reviewers, contractors, or any external party. This rule is absolute.</w:t>
            </w:r>
          </w:p>
        </w:tc>
      </w:tr>
    </w:tbl>
    <w:p>
      <w:pPr>
        <w:spacing w:after="120" w:before="0"/>
      </w:pPr>
      <w:r>
        <w:t xml:space="preserve"/>
      </w:r>
    </w:p>
    <w:p>
      <w:pPr>
        <w:spacing w:after="80" w:before="60"/>
      </w:pPr>
      <w:r>
        <w:rPr>
          <w:rFonts w:ascii="Arial" w:cs="Arial" w:eastAsia="Arial" w:hAnsi="Arial"/>
          <w:i w:val="false"/>
          <w:iCs w:val="false"/>
          <w:color w:val="17181a"/>
          <w:sz w:val="22"/>
          <w:szCs w:val="22"/>
        </w:rPr>
        <w:t xml:space="preserve">Reviewers see only human-readable outputs: match confirmed or not confirmed, filter applied or not applied. The reasoning inside the algorithm is proprietary and confidential under CIPO patent protection.</w:t>
      </w:r>
    </w:p>
    <w:p>
      <w:pPr>
        <w:pStyle w:val="Heading2"/>
        <w:pBdr>
          <w:bottom w:val="single" w:color="ddd7cc" w:sz="2" w:space="4"/>
        </w:pBdr>
        <w:spacing w:after="80" w:before="280"/>
      </w:pPr>
      <w:r>
        <w:rPr>
          <w:rFonts w:ascii="Arial" w:cs="Arial" w:eastAsia="Arial" w:hAnsi="Arial"/>
          <w:b/>
          <w:bCs/>
          <w:color w:val="17181a"/>
          <w:sz w:val="26"/>
          <w:szCs w:val="26"/>
        </w:rPr>
        <w:t xml:space="preserve">The Double-Down Cost Model</w:t>
      </w:r>
    </w:p>
    <w:p>
      <w:pPr>
        <w:spacing w:after="80" w:before="60"/>
      </w:pPr>
      <w:r>
        <w:rPr>
          <w:rFonts w:ascii="Arial" w:cs="Arial" w:eastAsia="Arial" w:hAnsi="Arial"/>
          <w:i w:val="false"/>
          <w:iCs w:val="false"/>
          <w:color w:val="17181a"/>
          <w:sz w:val="22"/>
          <w:szCs w:val="22"/>
        </w:rPr>
        <w:t xml:space="preserve">Human review is not free. The cost model is designed to deter bad-faith use while protecting good-faith users.</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7181a"/>
          <w:sz w:val="22"/>
          <w:szCs w:val="22"/>
        </w:rPr>
        <w:t xml:space="preserve">Users with a clean record who are flagged through no fault of their own: review is conducted at no cost. If the flag is cleared, the user receives a platform credit.</w:t>
      </w:r>
    </w:p>
    <w:p>
      <w:pPr>
        <w:pStyle w:val="ListParagraph"/>
        <w:numPr>
          <w:ilvl w:val="0"/>
          <w:numId w:val="2"/>
        </w:numPr>
        <w:spacing w:after="40" w:before="40"/>
      </w:pPr>
      <w:r>
        <w:rPr>
          <w:rFonts w:ascii="Arial" w:cs="Arial" w:eastAsia="Arial" w:hAnsi="Arial"/>
          <w:b w:val="false"/>
          <w:bCs w:val="false"/>
          <w:color w:val="17181a"/>
          <w:sz w:val="22"/>
          <w:szCs w:val="22"/>
        </w:rPr>
        <w:t xml:space="preserve">Users whose own behaviour triggered the review: a processing fee is applied. The fee scales with the severity and frequency of the behaviour.</w:t>
      </w:r>
    </w:p>
    <w:p>
      <w:pPr>
        <w:pStyle w:val="ListParagraph"/>
        <w:numPr>
          <w:ilvl w:val="0"/>
          <w:numId w:val="2"/>
        </w:numPr>
        <w:spacing w:after="40" w:before="40"/>
      </w:pPr>
      <w:r>
        <w:rPr>
          <w:rFonts w:ascii="Arial" w:cs="Arial" w:eastAsia="Arial" w:hAnsi="Arial"/>
          <w:b w:val="false"/>
          <w:bCs w:val="false"/>
          <w:color w:val="17181a"/>
          <w:sz w:val="22"/>
          <w:szCs w:val="22"/>
        </w:rPr>
        <w:t xml:space="preserve">Users who are found to have deliberately triggered review as a delay tactic: immediate account suspension pending investigation.</w:t>
      </w:r>
    </w:p>
    <w:p>
      <w:pPr>
        <w:spacing w:after="12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p>
      <w:r>
        <w:br w:type="page"/>
      </w:r>
    </w:p>
    <w:p>
      <w:pPr>
        <w:spacing w:after="60" w:before="320"/>
      </w:pPr>
      <w:r>
        <w:rPr>
          <w:rFonts w:ascii="Arial" w:cs="Arial" w:eastAsia="Arial" w:hAnsi="Arial"/>
          <w:b/>
          <w:bCs/>
          <w:caps/>
          <w:color w:val="1b65a5"/>
          <w:spacing w:val="40"/>
          <w:sz w:val="18"/>
          <w:szCs w:val="18"/>
        </w:rPr>
        <w:t xml:space="preserve">FF-CORE-008-S7 · Amendment</w:t>
      </w:r>
    </w:p>
    <w:p>
      <w:pPr>
        <w:pStyle w:val="Heading1"/>
        <w:pBdr>
          <w:bottom w:val="single" w:color="17181a" w:sz="8" w:space="6"/>
        </w:pBdr>
        <w:spacing w:after="80" w:before="0"/>
      </w:pPr>
      <w:r>
        <w:rPr>
          <w:rFonts w:ascii="Arial" w:cs="Arial" w:eastAsia="Arial" w:hAnsi="Arial"/>
          <w:b/>
          <w:bCs/>
          <w:color w:val="17181a"/>
          <w:sz w:val="44"/>
          <w:szCs w:val="44"/>
        </w:rPr>
        <w:t xml:space="preserve">Discriminatory &amp; Predatory Listings</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 · Supersedes FF-CORE-008 § 7</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Zero Tolerance · Platform Integrity</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Immediate permanent ban at first detection of a discriminatory or predatory listing. Mandatory RCMP referral for predatory patterns. No appeals process.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80"/>
              <w:left w:type="dxa" w:w="160"/>
              <w:bottom w:type="dxa" w:w="80"/>
              <w:right w:type="dxa" w:w="160"/>
            </w:tcMar>
          </w:tcPr>
          <w:p>
            <w:r>
              <w:rPr>
                <w:rFonts w:ascii="Arial" w:cs="Arial" w:eastAsia="Arial" w:hAnsi="Arial"/>
                <w:color w:val="17181a"/>
                <w:sz w:val="22"/>
                <w:szCs w:val="22"/>
              </w:rPr>
              <w:t xml:space="preserve">This amendment supersedes the original Section 7 of FF-CORE-008 in its entirety. Where any conflict exists between this document and the parent PRD, this amendment prevails.</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Discriminatory Listings</w:t>
      </w:r>
    </w:p>
    <w:p>
      <w:pPr>
        <w:spacing w:after="80" w:before="60"/>
      </w:pPr>
      <w:r>
        <w:rPr>
          <w:rFonts w:ascii="Arial" w:cs="Arial" w:eastAsia="Arial" w:hAnsi="Arial"/>
          <w:i w:val="false"/>
          <w:iCs w:val="false"/>
          <w:color w:val="17181a"/>
          <w:sz w:val="22"/>
          <w:szCs w:val="22"/>
        </w:rPr>
        <w:t xml:space="preserve">A listing is classified as discriminatory if it contains, implies, or encodes any restriction or preference based on:</w:t>
      </w:r>
    </w:p>
    <w:p>
      <w:pPr>
        <w:pStyle w:val="ListParagraph"/>
        <w:numPr>
          <w:ilvl w:val="0"/>
          <w:numId w:val="2"/>
        </w:numPr>
        <w:spacing w:after="40" w:before="40"/>
      </w:pPr>
      <w:r>
        <w:rPr>
          <w:rFonts w:ascii="Arial" w:cs="Arial" w:eastAsia="Arial" w:hAnsi="Arial"/>
          <w:b w:val="false"/>
          <w:bCs w:val="false"/>
          <w:color w:val="17181a"/>
          <w:sz w:val="22"/>
          <w:szCs w:val="22"/>
        </w:rPr>
        <w:t xml:space="preserve">Race, ethnicity, national origin, or place of birth.</w:t>
      </w:r>
    </w:p>
    <w:p>
      <w:pPr>
        <w:pStyle w:val="ListParagraph"/>
        <w:numPr>
          <w:ilvl w:val="0"/>
          <w:numId w:val="2"/>
        </w:numPr>
        <w:spacing w:after="40" w:before="40"/>
      </w:pPr>
      <w:r>
        <w:rPr>
          <w:rFonts w:ascii="Arial" w:cs="Arial" w:eastAsia="Arial" w:hAnsi="Arial"/>
          <w:b w:val="false"/>
          <w:bCs w:val="false"/>
          <w:color w:val="17181a"/>
          <w:sz w:val="22"/>
          <w:szCs w:val="22"/>
        </w:rPr>
        <w:t xml:space="preserve">Religion or creed.</w:t>
      </w:r>
    </w:p>
    <w:p>
      <w:pPr>
        <w:pStyle w:val="ListParagraph"/>
        <w:numPr>
          <w:ilvl w:val="0"/>
          <w:numId w:val="2"/>
        </w:numPr>
        <w:spacing w:after="40" w:before="40"/>
      </w:pPr>
      <w:r>
        <w:rPr>
          <w:rFonts w:ascii="Arial" w:cs="Arial" w:eastAsia="Arial" w:hAnsi="Arial"/>
          <w:b w:val="false"/>
          <w:bCs w:val="false"/>
          <w:color w:val="17181a"/>
          <w:sz w:val="22"/>
          <w:szCs w:val="22"/>
        </w:rPr>
        <w:t xml:space="preserve">Sex, gender, or gender expression.</w:t>
      </w:r>
    </w:p>
    <w:p>
      <w:pPr>
        <w:pStyle w:val="ListParagraph"/>
        <w:numPr>
          <w:ilvl w:val="0"/>
          <w:numId w:val="2"/>
        </w:numPr>
        <w:spacing w:after="40" w:before="40"/>
      </w:pPr>
      <w:r>
        <w:rPr>
          <w:rFonts w:ascii="Arial" w:cs="Arial" w:eastAsia="Arial" w:hAnsi="Arial"/>
          <w:b w:val="false"/>
          <w:bCs w:val="false"/>
          <w:color w:val="17181a"/>
          <w:sz w:val="22"/>
          <w:szCs w:val="22"/>
        </w:rPr>
        <w:t xml:space="preserve">Sexual orientation.</w:t>
      </w:r>
    </w:p>
    <w:p>
      <w:pPr>
        <w:pStyle w:val="ListParagraph"/>
        <w:numPr>
          <w:ilvl w:val="0"/>
          <w:numId w:val="2"/>
        </w:numPr>
        <w:spacing w:after="40" w:before="40"/>
      </w:pPr>
      <w:r>
        <w:rPr>
          <w:rFonts w:ascii="Arial" w:cs="Arial" w:eastAsia="Arial" w:hAnsi="Arial"/>
          <w:b w:val="false"/>
          <w:bCs w:val="false"/>
          <w:color w:val="17181a"/>
          <w:sz w:val="22"/>
          <w:szCs w:val="22"/>
        </w:rPr>
        <w:t xml:space="preserve">Age, except where lawfully permitted (e.g. designated seniors’ housing).</w:t>
      </w:r>
    </w:p>
    <w:p>
      <w:pPr>
        <w:pStyle w:val="ListParagraph"/>
        <w:numPr>
          <w:ilvl w:val="0"/>
          <w:numId w:val="2"/>
        </w:numPr>
        <w:spacing w:after="40" w:before="40"/>
      </w:pPr>
      <w:r>
        <w:rPr>
          <w:rFonts w:ascii="Arial" w:cs="Arial" w:eastAsia="Arial" w:hAnsi="Arial"/>
          <w:b w:val="false"/>
          <w:bCs w:val="false"/>
          <w:color w:val="17181a"/>
          <w:sz w:val="22"/>
          <w:szCs w:val="22"/>
        </w:rPr>
        <w:t xml:space="preserve">Disability or medical condition.</w:t>
      </w:r>
    </w:p>
    <w:p>
      <w:pPr>
        <w:pStyle w:val="ListParagraph"/>
        <w:numPr>
          <w:ilvl w:val="0"/>
          <w:numId w:val="2"/>
        </w:numPr>
        <w:spacing w:after="40" w:before="40"/>
      </w:pPr>
      <w:r>
        <w:rPr>
          <w:rFonts w:ascii="Arial" w:cs="Arial" w:eastAsia="Arial" w:hAnsi="Arial"/>
          <w:b w:val="false"/>
          <w:bCs w:val="false"/>
          <w:color w:val="17181a"/>
          <w:sz w:val="22"/>
          <w:szCs w:val="22"/>
        </w:rPr>
        <w:t xml:space="preserve">Family status, including the presence of children.</w:t>
      </w:r>
    </w:p>
    <w:p>
      <w:pPr>
        <w:pStyle w:val="ListParagraph"/>
        <w:numPr>
          <w:ilvl w:val="0"/>
          <w:numId w:val="2"/>
        </w:numPr>
        <w:spacing w:after="40" w:before="40"/>
      </w:pPr>
      <w:r>
        <w:rPr>
          <w:rFonts w:ascii="Arial" w:cs="Arial" w:eastAsia="Arial" w:hAnsi="Arial"/>
          <w:b w:val="false"/>
          <w:bCs w:val="false"/>
          <w:color w:val="17181a"/>
          <w:sz w:val="22"/>
          <w:szCs w:val="22"/>
        </w:rPr>
        <w:t xml:space="preserve">Receipt of public assistance or housing benefit.</w:t>
      </w:r>
    </w:p>
    <w:p>
      <w:pPr>
        <w:pStyle w:val="ListParagraph"/>
        <w:numPr>
          <w:ilvl w:val="0"/>
          <w:numId w:val="2"/>
        </w:numPr>
        <w:spacing w:after="40" w:before="40"/>
      </w:pPr>
      <w:r>
        <w:rPr>
          <w:rFonts w:ascii="Arial" w:cs="Arial" w:eastAsia="Arial" w:hAnsi="Arial"/>
          <w:b w:val="false"/>
          <w:bCs w:val="false"/>
          <w:color w:val="17181a"/>
          <w:sz w:val="22"/>
          <w:szCs w:val="22"/>
        </w:rPr>
        <w:t xml:space="preserve">Immigration or citizenship status.</w:t>
      </w:r>
    </w:p>
    <w:p>
      <w:pPr>
        <w:spacing w:after="120" w:before="0"/>
      </w:pPr>
      <w:r>
        <w:t xml:space="preserve"/>
      </w:r>
    </w:p>
    <w:p>
      <w:pPr>
        <w:spacing w:after="80" w:before="60"/>
      </w:pPr>
      <w:r>
        <w:rPr>
          <w:rFonts w:ascii="Arial" w:cs="Arial" w:eastAsia="Arial" w:hAnsi="Arial"/>
          <w:i w:val="false"/>
          <w:iCs w:val="false"/>
          <w:color w:val="17181a"/>
          <w:sz w:val="22"/>
          <w:szCs w:val="22"/>
        </w:rPr>
        <w:t xml:space="preserve">Detection is automated at the point of listing submission and runs continuously against all live listings. Detection is also triggered by user reports.</w:t>
      </w:r>
    </w:p>
    <w:p>
      <w:pPr>
        <w:pStyle w:val="Heading2"/>
        <w:pBdr>
          <w:bottom w:val="single" w:color="ddd7cc" w:sz="2" w:space="4"/>
        </w:pBdr>
        <w:spacing w:after="80" w:before="280"/>
      </w:pPr>
      <w:r>
        <w:rPr>
          <w:rFonts w:ascii="Arial" w:cs="Arial" w:eastAsia="Arial" w:hAnsi="Arial"/>
          <w:b/>
          <w:bCs/>
          <w:color w:val="17181a"/>
          <w:sz w:val="26"/>
          <w:szCs w:val="26"/>
        </w:rPr>
        <w:t xml:space="preserve">Predatory Listings</w:t>
      </w:r>
    </w:p>
    <w:p>
      <w:pPr>
        <w:spacing w:after="80" w:before="60"/>
      </w:pPr>
      <w:r>
        <w:rPr>
          <w:rFonts w:ascii="Arial" w:cs="Arial" w:eastAsia="Arial" w:hAnsi="Arial"/>
          <w:i w:val="false"/>
          <w:iCs w:val="false"/>
          <w:color w:val="17181a"/>
          <w:sz w:val="22"/>
          <w:szCs w:val="22"/>
        </w:rPr>
        <w:t xml:space="preserve">A listing is classified as predatory if it exhibits any of the following patterns:</w:t>
      </w:r>
    </w:p>
    <w:p>
      <w:pPr>
        <w:pStyle w:val="ListParagraph"/>
        <w:numPr>
          <w:ilvl w:val="0"/>
          <w:numId w:val="2"/>
        </w:numPr>
        <w:spacing w:after="40" w:before="40"/>
      </w:pPr>
      <w:r>
        <w:rPr>
          <w:rFonts w:ascii="Arial" w:cs="Arial" w:eastAsia="Arial" w:hAnsi="Arial"/>
          <w:b w:val="false"/>
          <w:bCs w:val="false"/>
          <w:color w:val="17181a"/>
          <w:sz w:val="22"/>
          <w:szCs w:val="22"/>
        </w:rPr>
        <w:t xml:space="preserve">A property that does not exist or is not available on the stated date.</w:t>
      </w:r>
    </w:p>
    <w:p>
      <w:pPr>
        <w:pStyle w:val="ListParagraph"/>
        <w:numPr>
          <w:ilvl w:val="0"/>
          <w:numId w:val="2"/>
        </w:numPr>
        <w:spacing w:after="40" w:before="40"/>
      </w:pPr>
      <w:r>
        <w:rPr>
          <w:rFonts w:ascii="Arial" w:cs="Arial" w:eastAsia="Arial" w:hAnsi="Arial"/>
          <w:b w:val="false"/>
          <w:bCs w:val="false"/>
          <w:color w:val="17181a"/>
          <w:sz w:val="22"/>
          <w:szCs w:val="22"/>
        </w:rPr>
        <w:t xml:space="preserve">Photographs that do not represent the property at the time of listing.</w:t>
      </w:r>
    </w:p>
    <w:p>
      <w:pPr>
        <w:pStyle w:val="ListParagraph"/>
        <w:numPr>
          <w:ilvl w:val="0"/>
          <w:numId w:val="2"/>
        </w:numPr>
        <w:spacing w:after="40" w:before="40"/>
      </w:pPr>
      <w:r>
        <w:rPr>
          <w:rFonts w:ascii="Arial" w:cs="Arial" w:eastAsia="Arial" w:hAnsi="Arial"/>
          <w:b w:val="false"/>
          <w:bCs w:val="false"/>
          <w:color w:val="17181a"/>
          <w:sz w:val="22"/>
          <w:szCs w:val="22"/>
        </w:rPr>
        <w:t xml:space="preserve">A landlord who does not hold authority to list the property (see FF-CORE-010).</w:t>
      </w:r>
    </w:p>
    <w:p>
      <w:pPr>
        <w:pStyle w:val="ListParagraph"/>
        <w:numPr>
          <w:ilvl w:val="0"/>
          <w:numId w:val="2"/>
        </w:numPr>
        <w:spacing w:after="40" w:before="40"/>
      </w:pPr>
      <w:r>
        <w:rPr>
          <w:rFonts w:ascii="Arial" w:cs="Arial" w:eastAsia="Arial" w:hAnsi="Arial"/>
          <w:b w:val="false"/>
          <w:bCs w:val="false"/>
          <w:color w:val="17181a"/>
          <w:sz w:val="22"/>
          <w:szCs w:val="22"/>
        </w:rPr>
        <w:t xml:space="preserve">A deposit requested before the VMC gate is cleared (see FF-CORE-007).</w:t>
      </w:r>
    </w:p>
    <w:p>
      <w:pPr>
        <w:pStyle w:val="ListParagraph"/>
        <w:numPr>
          <w:ilvl w:val="0"/>
          <w:numId w:val="2"/>
        </w:numPr>
        <w:spacing w:after="40" w:before="40"/>
      </w:pPr>
      <w:r>
        <w:rPr>
          <w:rFonts w:ascii="Arial" w:cs="Arial" w:eastAsia="Arial" w:hAnsi="Arial"/>
          <w:b w:val="false"/>
          <w:bCs w:val="false"/>
          <w:color w:val="17181a"/>
          <w:sz w:val="22"/>
          <w:szCs w:val="22"/>
        </w:rPr>
        <w:t xml:space="preserve">Any request for payment via untraceable means.</w:t>
      </w:r>
    </w:p>
    <w:p>
      <w:pPr>
        <w:pStyle w:val="ListParagraph"/>
        <w:numPr>
          <w:ilvl w:val="0"/>
          <w:numId w:val="2"/>
        </w:numPr>
        <w:spacing w:after="40" w:before="40"/>
      </w:pPr>
      <w:r>
        <w:rPr>
          <w:rFonts w:ascii="Arial" w:cs="Arial" w:eastAsia="Arial" w:hAnsi="Arial"/>
          <w:b w:val="false"/>
          <w:bCs w:val="false"/>
          <w:color w:val="17181a"/>
          <w:sz w:val="22"/>
          <w:szCs w:val="22"/>
        </w:rPr>
        <w:t xml:space="preserve">Identity documents requested from a tenant before a match is confirmed.</w:t>
      </w:r>
    </w:p>
    <w:p>
      <w:pPr>
        <w:pStyle w:val="ListParagraph"/>
        <w:numPr>
          <w:ilvl w:val="0"/>
          <w:numId w:val="2"/>
        </w:numPr>
        <w:spacing w:after="40" w:before="40"/>
      </w:pPr>
      <w:r>
        <w:rPr>
          <w:rFonts w:ascii="Arial" w:cs="Arial" w:eastAsia="Arial" w:hAnsi="Arial"/>
          <w:b w:val="false"/>
          <w:bCs w:val="false"/>
          <w:color w:val="17181a"/>
          <w:sz w:val="22"/>
          <w:szCs w:val="22"/>
        </w:rPr>
        <w:t xml:space="preserve">A listing designed to harvest personal data rather than match a tenant.</w:t>
      </w:r>
    </w:p>
    <w:p>
      <w:pPr>
        <w:pStyle w:val="Heading2"/>
        <w:pBdr>
          <w:bottom w:val="single" w:color="ddd7cc" w:sz="2" w:space="4"/>
        </w:pBdr>
        <w:spacing w:after="80" w:before="280"/>
      </w:pPr>
      <w:r>
        <w:rPr>
          <w:rFonts w:ascii="Arial" w:cs="Arial" w:eastAsia="Arial" w:hAnsi="Arial"/>
          <w:b/>
          <w:bCs/>
          <w:color w:val="17181a"/>
          <w:sz w:val="26"/>
          <w:szCs w:val="26"/>
        </w:rPr>
        <w:t xml:space="preserve">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80"/>
              <w:left w:type="dxa" w:w="160"/>
              <w:bottom w:type="dxa" w:w="80"/>
              <w:right w:type="dxa" w:w="160"/>
            </w:tcMar>
          </w:tcPr>
          <w:p>
            <w:r>
              <w:rPr>
                <w:rFonts w:ascii="Arial" w:cs="Arial" w:eastAsia="Arial" w:hAnsi="Arial"/>
                <w:color w:val="17181a"/>
                <w:sz w:val="22"/>
                <w:szCs w:val="22"/>
              </w:rPr>
              <w:t xml:space="preserve">First detection: immediate permanent ban. The listing is removed. The account is suspended. No warnings. No grace period.</w:t>
            </w:r>
          </w:p>
        </w:tc>
      </w:tr>
    </w:tbl>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17181a"/>
          <w:sz w:val="22"/>
          <w:szCs w:val="22"/>
        </w:rPr>
        <w:t xml:space="preserve">The landlord’s details are added to the Do Not Fly List. They cannot create a new account.</w:t>
      </w:r>
    </w:p>
    <w:p>
      <w:pPr>
        <w:pStyle w:val="ListParagraph"/>
        <w:numPr>
          <w:ilvl w:val="0"/>
          <w:numId w:val="2"/>
        </w:numPr>
        <w:spacing w:after="40" w:before="40"/>
      </w:pPr>
      <w:r>
        <w:rPr>
          <w:rFonts w:ascii="Arial" w:cs="Arial" w:eastAsia="Arial" w:hAnsi="Arial"/>
          <w:b w:val="false"/>
          <w:bCs w:val="false"/>
          <w:color w:val="17181a"/>
          <w:sz w:val="22"/>
          <w:szCs w:val="22"/>
        </w:rPr>
        <w:t xml:space="preserve">Where a predatory pattern is detected, a mandatory referral is made to the RCMP (Canada) or the relevant authority in the jurisdiction of operation.</w:t>
      </w:r>
    </w:p>
    <w:p>
      <w:pPr>
        <w:pStyle w:val="ListParagraph"/>
        <w:numPr>
          <w:ilvl w:val="0"/>
          <w:numId w:val="2"/>
        </w:numPr>
        <w:spacing w:after="40" w:before="40"/>
      </w:pPr>
      <w:r>
        <w:rPr>
          <w:rFonts w:ascii="Arial" w:cs="Arial" w:eastAsia="Arial" w:hAnsi="Arial"/>
          <w:b w:val="false"/>
          <w:bCs w:val="false"/>
          <w:color w:val="17181a"/>
          <w:sz w:val="22"/>
          <w:szCs w:val="22"/>
        </w:rPr>
        <w:t xml:space="preserve">The affected tenant or tenants are notified, returned to the active match pool with priority status, and offered access to FlatFinder’s partner legal resource directory.</w:t>
      </w:r>
    </w:p>
    <w:p>
      <w:pPr>
        <w:pStyle w:val="ListParagraph"/>
        <w:numPr>
          <w:ilvl w:val="0"/>
          <w:numId w:val="2"/>
        </w:numPr>
        <w:spacing w:after="40" w:before="40"/>
      </w:pPr>
      <w:r>
        <w:rPr>
          <w:rFonts w:ascii="Arial" w:cs="Arial" w:eastAsia="Arial" w:hAnsi="Arial"/>
          <w:b w:val="false"/>
          <w:bCs w:val="false"/>
          <w:color w:val="17181a"/>
          <w:sz w:val="22"/>
          <w:szCs w:val="22"/>
        </w:rPr>
        <w:t xml:space="preserve">There is no appeals process for a predatory listing. A discriminatory listing may be appealed once, in writing, within 14 days of the ban. The appeal is reviewed by a senior FlatFinder human reviewer. The outcome is final.</w:t>
      </w:r>
    </w:p>
    <w:p>
      <w:pPr>
        <w:pStyle w:val="Heading2"/>
        <w:pBdr>
          <w:bottom w:val="single" w:color="ddd7cc" w:sz="2" w:space="4"/>
        </w:pBdr>
        <w:spacing w:after="80" w:before="280"/>
      </w:pPr>
      <w:r>
        <w:rPr>
          <w:rFonts w:ascii="Arial" w:cs="Arial" w:eastAsia="Arial" w:hAnsi="Arial"/>
          <w:b/>
          <w:bCs/>
          <w:color w:val="17181a"/>
          <w:sz w:val="26"/>
          <w:szCs w:val="26"/>
        </w:rPr>
        <w:t xml:space="preserve">Internal Classification</w:t>
      </w:r>
    </w:p>
    <w:p>
      <w:pPr>
        <w:spacing w:after="80" w:before="60"/>
      </w:pPr>
      <w:r>
        <w:rPr>
          <w:rFonts w:ascii="Arial" w:cs="Arial" w:eastAsia="Arial" w:hAnsi="Arial"/>
          <w:i w:val="false"/>
          <w:iCs w:val="false"/>
          <w:color w:val="17181a"/>
          <w:sz w:val="22"/>
          <w:szCs w:val="22"/>
        </w:rPr>
        <w:t xml:space="preserve">The system flag that fires when a landlord’s behaviour patterns match discriminatory gatekeeping is an internal classification. Renters never see its designation. It operates silently. The landlord is added to the Do Not Fly List.</w:t>
      </w:r>
    </w:p>
    <w:p>
      <w:pPr>
        <w:spacing w:after="12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p>
      <w:r>
        <w:br w:type="page"/>
      </w:r>
    </w:p>
    <w:p>
      <w:pPr>
        <w:spacing w:after="60" w:before="320"/>
      </w:pPr>
      <w:r>
        <w:rPr>
          <w:rFonts w:ascii="Arial" w:cs="Arial" w:eastAsia="Arial" w:hAnsi="Arial"/>
          <w:b/>
          <w:bCs/>
          <w:caps/>
          <w:color w:val="1b65a5"/>
          <w:spacing w:val="40"/>
          <w:sz w:val="18"/>
          <w:szCs w:val="18"/>
        </w:rPr>
        <w:t xml:space="preserve">FF-CORE-009</w:t>
      </w:r>
    </w:p>
    <w:p>
      <w:pPr>
        <w:pStyle w:val="Heading1"/>
        <w:pBdr>
          <w:bottom w:val="single" w:color="17181a" w:sz="8" w:space="6"/>
        </w:pBdr>
        <w:spacing w:after="80" w:before="0"/>
      </w:pPr>
      <w:r>
        <w:rPr>
          <w:rFonts w:ascii="Arial" w:cs="Arial" w:eastAsia="Arial" w:hAnsi="Arial"/>
          <w:b/>
          <w:bCs/>
          <w:color w:val="17181a"/>
          <w:sz w:val="44"/>
          <w:szCs w:val="44"/>
        </w:rPr>
        <w:t xml:space="preserve">Tenant Verification &amp; Financial Standing</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Verification</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Six documentation tiers for tenant verification. Bank reserve statements carry the highest evidentiary weight. Credit score is never a matching gate.</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Founding Principle</w:t>
      </w:r>
    </w:p>
    <w:p>
      <w:pPr>
        <w:spacing w:after="80" w:before="60"/>
      </w:pPr>
      <w:r>
        <w:rPr>
          <w:rFonts w:ascii="Arial" w:cs="Arial" w:eastAsia="Arial" w:hAnsi="Arial"/>
          <w:i w:val="false"/>
          <w:iCs w:val="false"/>
          <w:color w:val="17181a"/>
          <w:sz w:val="22"/>
          <w:szCs w:val="22"/>
        </w:rPr>
        <w:t xml:space="preserve">The traditional rental market gatekeeps on credit score and employment type. Both are proxies, not evidence. A retiree with £500,000 in savings and a perfect payment history can be rejected because they have no “active” credit. A full-time employee with recurring debt and a missed payment history can be approved. FlatFinder measures ability and intent to pay, not the metric a lender invented for a different purpose.</w:t>
      </w:r>
    </w:p>
    <w:p>
      <w:pPr>
        <w:spacing w:after="120" w:before="0"/>
      </w:pPr>
      <w:r>
        <w:t xml:space="preserve"/>
      </w:r>
    </w:p>
    <w:p>
      <w:pPr>
        <w:spacing w:after="80" w:before="60"/>
      </w:pPr>
      <w:r>
        <w:rPr>
          <w:rFonts w:ascii="Arial" w:cs="Arial" w:eastAsia="Arial" w:hAnsi="Arial"/>
          <w:i w:val="false"/>
          <w:iCs w:val="false"/>
          <w:color w:val="17181a"/>
          <w:sz w:val="22"/>
          <w:szCs w:val="22"/>
        </w:rPr>
        <w:t xml:space="preserve">Credit score is never a matching gate on this platform. It may be one data point among many. It is never the reason a match is refused.</w:t>
      </w:r>
    </w:p>
    <w:p>
      <w:pPr>
        <w:pStyle w:val="Heading2"/>
        <w:pBdr>
          <w:bottom w:val="single" w:color="ddd7cc" w:sz="2" w:space="4"/>
        </w:pBdr>
        <w:spacing w:after="80" w:before="280"/>
      </w:pPr>
      <w:r>
        <w:rPr>
          <w:rFonts w:ascii="Arial" w:cs="Arial" w:eastAsia="Arial" w:hAnsi="Arial"/>
          <w:b/>
          <w:bCs/>
          <w:color w:val="17181a"/>
          <w:sz w:val="26"/>
          <w:szCs w:val="26"/>
        </w:rPr>
        <w:t xml:space="preserve">Standing Commitment: Lateral Thinking</w:t>
      </w:r>
    </w:p>
    <w:p>
      <w:pPr>
        <w:spacing w:after="80" w:before="60"/>
      </w:pPr>
      <w:r>
        <w:rPr>
          <w:rFonts w:ascii="Arial" w:cs="Arial" w:eastAsia="Arial" w:hAnsi="Arial"/>
          <w:i w:val="false"/>
          <w:iCs w:val="false"/>
          <w:color w:val="17181a"/>
          <w:sz w:val="22"/>
          <w:szCs w:val="22"/>
        </w:rPr>
        <w:t xml:space="preserve">Every verification rule carries a standing obligation to ask: is there a legitimate tenant whom this rule would incorrectly exclude? If the answer is yes, the rule must be amended before it is enforced.</w:t>
      </w:r>
    </w:p>
    <w:p>
      <w:pPr>
        <w:pStyle w:val="Heading2"/>
        <w:pBdr>
          <w:bottom w:val="single" w:color="ddd7cc" w:sz="2" w:space="4"/>
        </w:pBdr>
        <w:spacing w:after="80" w:before="280"/>
      </w:pPr>
      <w:r>
        <w:rPr>
          <w:rFonts w:ascii="Arial" w:cs="Arial" w:eastAsia="Arial" w:hAnsi="Arial"/>
          <w:b/>
          <w:bCs/>
          <w:color w:val="17181a"/>
          <w:sz w:val="26"/>
          <w:szCs w:val="26"/>
        </w:rPr>
        <w:t xml:space="preserve">The Six Documentation Tiers</w:t>
      </w:r>
    </w:p>
    <w:p>
      <w:pPr>
        <w:pStyle w:val="Heading3"/>
        <w:spacing w:after="60" w:before="200"/>
      </w:pPr>
      <w:r>
        <w:rPr>
          <w:rFonts w:ascii="Arial" w:cs="Arial" w:eastAsia="Arial" w:hAnsi="Arial"/>
          <w:b/>
          <w:bCs/>
          <w:color w:val="1b65a5"/>
          <w:sz w:val="22"/>
          <w:szCs w:val="22"/>
        </w:rPr>
        <w:t xml:space="preserve">Tier 1 — Bank Reserve Statements (Highest Weight)</w:t>
      </w:r>
    </w:p>
    <w:p>
      <w:pPr>
        <w:spacing w:after="80" w:before="60"/>
      </w:pPr>
      <w:r>
        <w:rPr>
          <w:rFonts w:ascii="Arial" w:cs="Arial" w:eastAsia="Arial" w:hAnsi="Arial"/>
          <w:i w:val="false"/>
          <w:iCs w:val="false"/>
          <w:color w:val="17181a"/>
          <w:sz w:val="22"/>
          <w:szCs w:val="22"/>
        </w:rPr>
        <w:t xml:space="preserve">Three months of bank statements showing consistent reserve balance. A reserve-to-rent ratio of 6:1 or above qualifies at this tier. This is the highest evidentiary weight on the platform. A tenant who can demonstrate six months of rent held in reserve is, by any practical measure, a low-risk tenancy.</w:t>
      </w:r>
    </w:p>
    <w:p>
      <w:pPr>
        <w:pStyle w:val="Heading3"/>
        <w:spacing w:after="60" w:before="200"/>
      </w:pPr>
      <w:r>
        <w:rPr>
          <w:rFonts w:ascii="Arial" w:cs="Arial" w:eastAsia="Arial" w:hAnsi="Arial"/>
          <w:b/>
          <w:bCs/>
          <w:color w:val="1b65a5"/>
          <w:sz w:val="22"/>
          <w:szCs w:val="22"/>
        </w:rPr>
        <w:t xml:space="preserve">Tier 2 — Employment Income</w:t>
      </w:r>
    </w:p>
    <w:p>
      <w:pPr>
        <w:spacing w:after="80" w:before="60"/>
      </w:pPr>
      <w:r>
        <w:rPr>
          <w:rFonts w:ascii="Arial" w:cs="Arial" w:eastAsia="Arial" w:hAnsi="Arial"/>
          <w:i w:val="false"/>
          <w:iCs w:val="false"/>
          <w:color w:val="17181a"/>
          <w:sz w:val="22"/>
          <w:szCs w:val="22"/>
        </w:rPr>
        <w:t xml:space="preserve">A current employment contract or letter of employment, and two months of payslips or equivalent payroll records. Income must demonstrate the tenant’s affordability under the Anti-Gatekeeping Affordability Algorithm™ (see FF-CORE-011). Affordability is assessed at 40% of net income, not 3x gross rent.</w:t>
      </w:r>
    </w:p>
    <w:p>
      <w:pPr>
        <w:pStyle w:val="Heading3"/>
        <w:spacing w:after="60" w:before="200"/>
      </w:pPr>
      <w:r>
        <w:rPr>
          <w:rFonts w:ascii="Arial" w:cs="Arial" w:eastAsia="Arial" w:hAnsi="Arial"/>
          <w:b/>
          <w:bCs/>
          <w:color w:val="1b65a5"/>
          <w:sz w:val="22"/>
          <w:szCs w:val="22"/>
        </w:rPr>
        <w:t xml:space="preserve">Tier 3 — Self-Employment Income</w:t>
      </w:r>
    </w:p>
    <w:p>
      <w:pPr>
        <w:spacing w:after="80" w:before="60"/>
      </w:pPr>
      <w:r>
        <w:rPr>
          <w:rFonts w:ascii="Arial" w:cs="Arial" w:eastAsia="Arial" w:hAnsi="Arial"/>
          <w:i w:val="false"/>
          <w:iCs w:val="false"/>
          <w:color w:val="17181a"/>
          <w:sz w:val="22"/>
          <w:szCs w:val="22"/>
        </w:rPr>
        <w:t xml:space="preserve">Two years of tax returns or equivalent self-assessment records, and an accountant’s letter confirming current trading status. A single good year following a bad year is assessed in context, not in isolation. Trend matters more than peak.</w:t>
      </w:r>
    </w:p>
    <w:p>
      <w:pPr>
        <w:pStyle w:val="Heading3"/>
        <w:spacing w:after="60" w:before="200"/>
      </w:pPr>
      <w:r>
        <w:rPr>
          <w:rFonts w:ascii="Arial" w:cs="Arial" w:eastAsia="Arial" w:hAnsi="Arial"/>
          <w:b/>
          <w:bCs/>
          <w:color w:val="1b65a5"/>
          <w:sz w:val="22"/>
          <w:szCs w:val="22"/>
        </w:rPr>
        <w:t xml:space="preserve">Tier 4 — Pension or Fixed Income</w:t>
      </w:r>
    </w:p>
    <w:p>
      <w:pPr>
        <w:spacing w:after="80" w:before="60"/>
      </w:pPr>
      <w:r>
        <w:rPr>
          <w:rFonts w:ascii="Arial" w:cs="Arial" w:eastAsia="Arial" w:hAnsi="Arial"/>
          <w:i w:val="false"/>
          <w:iCs w:val="false"/>
          <w:color w:val="17181a"/>
          <w:sz w:val="22"/>
          <w:szCs w:val="22"/>
        </w:rPr>
        <w:t xml:space="preserve">Pension statement or government benefit letter confirming the amount and continuity of income. A pensioner on a fixed income has, by definition, the most predictable income stream of any tenant on the platform. This tier carries strong weight.</w:t>
      </w:r>
    </w:p>
    <w:p>
      <w:pPr>
        <w:pStyle w:val="Heading3"/>
        <w:spacing w:after="60" w:before="200"/>
      </w:pPr>
      <w:r>
        <w:rPr>
          <w:rFonts w:ascii="Arial" w:cs="Arial" w:eastAsia="Arial" w:hAnsi="Arial"/>
          <w:b/>
          <w:bCs/>
          <w:color w:val="1b65a5"/>
          <w:sz w:val="22"/>
          <w:szCs w:val="22"/>
        </w:rPr>
        <w:t xml:space="preserve">Tier 5 — Investment or Passive Income</w:t>
      </w:r>
    </w:p>
    <w:p>
      <w:pPr>
        <w:spacing w:after="80" w:before="60"/>
      </w:pPr>
      <w:r>
        <w:rPr>
          <w:rFonts w:ascii="Arial" w:cs="Arial" w:eastAsia="Arial" w:hAnsi="Arial"/>
          <w:i w:val="false"/>
          <w:iCs w:val="false"/>
          <w:color w:val="17181a"/>
          <w:sz w:val="22"/>
          <w:szCs w:val="22"/>
        </w:rPr>
        <w:t xml:space="preserve">Investment account statements or passive income records demonstrating consistent receipt over a minimum of 12 months. Rental income from other properties the tenant owns is included here.</w:t>
      </w:r>
    </w:p>
    <w:p>
      <w:pPr>
        <w:pStyle w:val="Heading3"/>
        <w:spacing w:after="60" w:before="200"/>
      </w:pPr>
      <w:r>
        <w:rPr>
          <w:rFonts w:ascii="Arial" w:cs="Arial" w:eastAsia="Arial" w:hAnsi="Arial"/>
          <w:b/>
          <w:bCs/>
          <w:color w:val="1b65a5"/>
          <w:sz w:val="22"/>
          <w:szCs w:val="22"/>
        </w:rPr>
        <w:t xml:space="preserve">Tier 6 — Alternative Documentation</w:t>
      </w:r>
    </w:p>
    <w:p>
      <w:pPr>
        <w:spacing w:after="80" w:before="60"/>
      </w:pPr>
      <w:r>
        <w:rPr>
          <w:rFonts w:ascii="Arial" w:cs="Arial" w:eastAsia="Arial" w:hAnsi="Arial"/>
          <w:i w:val="false"/>
          <w:iCs w:val="false"/>
          <w:color w:val="17181a"/>
          <w:sz w:val="22"/>
          <w:szCs w:val="22"/>
        </w:rPr>
        <w:t xml:space="preserve">For tenants whose circumstances do not fit any of the above — recent arrivals, those rebuilding after a life event, those whose income is informal but consistent — alternative documentation is assessed on a case-by-case basis by the Human Review team (see FF-CORE-008). The default is to find a path to verification, not to reject.</w:t>
      </w:r>
    </w:p>
    <w:p>
      <w:pPr>
        <w:pStyle w:val="Heading2"/>
        <w:pBdr>
          <w:bottom w:val="single" w:color="ddd7cc" w:sz="2" w:space="4"/>
        </w:pBdr>
        <w:spacing w:after="80" w:before="280"/>
      </w:pPr>
      <w:r>
        <w:rPr>
          <w:rFonts w:ascii="Arial" w:cs="Arial" w:eastAsia="Arial" w:hAnsi="Arial"/>
          <w:b/>
          <w:bCs/>
          <w:color w:val="17181a"/>
          <w:sz w:val="26"/>
          <w:szCs w:val="26"/>
        </w:rPr>
        <w:t xml:space="preserve">What Is Never Permitted</w:t>
      </w:r>
    </w:p>
    <w:p>
      <w:pPr>
        <w:pStyle w:val="ListParagraph"/>
        <w:numPr>
          <w:ilvl w:val="0"/>
          <w:numId w:val="2"/>
        </w:numPr>
        <w:spacing w:after="40" w:before="40"/>
      </w:pPr>
      <w:r>
        <w:rPr>
          <w:rFonts w:ascii="Arial" w:cs="Arial" w:eastAsia="Arial" w:hAnsi="Arial"/>
          <w:b w:val="false"/>
          <w:bCs w:val="false"/>
          <w:color w:val="17181a"/>
          <w:sz w:val="22"/>
          <w:szCs w:val="22"/>
        </w:rPr>
        <w:t xml:space="preserve">Rejecting a tenant on the basis of credit score alone.</w:t>
      </w:r>
    </w:p>
    <w:p>
      <w:pPr>
        <w:pStyle w:val="ListParagraph"/>
        <w:numPr>
          <w:ilvl w:val="0"/>
          <w:numId w:val="2"/>
        </w:numPr>
        <w:spacing w:after="40" w:before="40"/>
      </w:pPr>
      <w:r>
        <w:rPr>
          <w:rFonts w:ascii="Arial" w:cs="Arial" w:eastAsia="Arial" w:hAnsi="Arial"/>
          <w:b w:val="false"/>
          <w:bCs w:val="false"/>
          <w:color w:val="17181a"/>
          <w:sz w:val="22"/>
          <w:szCs w:val="22"/>
        </w:rPr>
        <w:t xml:space="preserve">Requiring a tenant to provide more documentation than their tier demands.</w:t>
      </w:r>
    </w:p>
    <w:p>
      <w:pPr>
        <w:pStyle w:val="ListParagraph"/>
        <w:numPr>
          <w:ilvl w:val="0"/>
          <w:numId w:val="2"/>
        </w:numPr>
        <w:spacing w:after="40" w:before="40"/>
      </w:pPr>
      <w:r>
        <w:rPr>
          <w:rFonts w:ascii="Arial" w:cs="Arial" w:eastAsia="Arial" w:hAnsi="Arial"/>
          <w:b w:val="false"/>
          <w:bCs w:val="false"/>
          <w:color w:val="17181a"/>
          <w:sz w:val="22"/>
          <w:szCs w:val="22"/>
        </w:rPr>
        <w:t xml:space="preserve">Using income source as a proxy for income reliability without evidence.</w:t>
      </w:r>
    </w:p>
    <w:p>
      <w:pPr>
        <w:pStyle w:val="ListParagraph"/>
        <w:numPr>
          <w:ilvl w:val="0"/>
          <w:numId w:val="2"/>
        </w:numPr>
        <w:spacing w:after="40" w:before="40"/>
      </w:pPr>
      <w:r>
        <w:rPr>
          <w:rFonts w:ascii="Arial" w:cs="Arial" w:eastAsia="Arial" w:hAnsi="Arial"/>
          <w:b w:val="false"/>
          <w:bCs w:val="false"/>
          <w:color w:val="17181a"/>
          <w:sz w:val="22"/>
          <w:szCs w:val="22"/>
        </w:rPr>
        <w:t xml:space="preserve">Requesting identity documents before a match is confirmed.</w:t>
      </w:r>
    </w:p>
    <w:p>
      <w:pPr>
        <w:spacing w:after="12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p>
      <w:r>
        <w:br w:type="page"/>
      </w:r>
    </w:p>
    <w:p>
      <w:pPr>
        <w:spacing w:after="60" w:before="320"/>
      </w:pPr>
      <w:r>
        <w:rPr>
          <w:rFonts w:ascii="Arial" w:cs="Arial" w:eastAsia="Arial" w:hAnsi="Arial"/>
          <w:b/>
          <w:bCs/>
          <w:caps/>
          <w:color w:val="1b65a5"/>
          <w:spacing w:val="40"/>
          <w:sz w:val="18"/>
          <w:szCs w:val="18"/>
        </w:rPr>
        <w:t xml:space="preserve">FF-CORE-010</w:t>
      </w:r>
    </w:p>
    <w:p>
      <w:pPr>
        <w:pStyle w:val="Heading1"/>
        <w:pBdr>
          <w:bottom w:val="single" w:color="17181a" w:sz="8" w:space="6"/>
        </w:pBdr>
        <w:spacing w:after="80" w:before="0"/>
      </w:pPr>
      <w:r>
        <w:rPr>
          <w:rFonts w:ascii="Arial" w:cs="Arial" w:eastAsia="Arial" w:hAnsi="Arial"/>
          <w:b/>
          <w:bCs/>
          <w:color w:val="17181a"/>
          <w:sz w:val="44"/>
          <w:szCs w:val="44"/>
        </w:rPr>
        <w:t xml:space="preserve">Landlord Verification &amp; Listing Standards</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Verification · Listing Standards</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Five sequential forms, Crown/Council verification, mandatory floor plan and inspection. A landlord who cannot complete verification does not list on this platform.</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The Five Sequential Forms</w:t>
      </w:r>
    </w:p>
    <w:p>
      <w:pPr>
        <w:spacing w:after="80" w:before="60"/>
      </w:pPr>
      <w:r>
        <w:rPr>
          <w:rFonts w:ascii="Arial" w:cs="Arial" w:eastAsia="Arial" w:hAnsi="Arial"/>
          <w:i w:val="false"/>
          <w:iCs w:val="false"/>
          <w:color w:val="17181a"/>
          <w:sz w:val="22"/>
          <w:szCs w:val="22"/>
        </w:rPr>
        <w:t xml:space="preserve">Every landlord must complete all five forms in order before a listing is published. No form can be skipped. No listing is published while any form is incomplete. The sequence is fixed.</w:t>
      </w:r>
    </w:p>
    <w:p>
      <w:pPr>
        <w:spacing w:after="120" w:before="0"/>
      </w:pPr>
      <w:r>
        <w:t xml:space="preserve"/>
      </w:r>
    </w:p>
    <w:p>
      <w:pPr>
        <w:pStyle w:val="Heading3"/>
        <w:spacing w:after="60" w:before="200"/>
      </w:pPr>
      <w:r>
        <w:rPr>
          <w:rFonts w:ascii="Arial" w:cs="Arial" w:eastAsia="Arial" w:hAnsi="Arial"/>
          <w:b/>
          <w:bCs/>
          <w:color w:val="1b65a5"/>
          <w:sz w:val="22"/>
          <w:szCs w:val="22"/>
        </w:rPr>
        <w:t xml:space="preserve">Form 1 — Know Your Customer (KYC)</w:t>
      </w:r>
    </w:p>
    <w:p>
      <w:pPr>
        <w:pStyle w:val="ListParagraph"/>
        <w:numPr>
          <w:ilvl w:val="0"/>
          <w:numId w:val="2"/>
        </w:numPr>
        <w:spacing w:after="40" w:before="40"/>
      </w:pPr>
      <w:r>
        <w:rPr>
          <w:rFonts w:ascii="Arial" w:cs="Arial" w:eastAsia="Arial" w:hAnsi="Arial"/>
          <w:b w:val="false"/>
          <w:bCs w:val="false"/>
          <w:color w:val="17181a"/>
          <w:sz w:val="22"/>
          <w:szCs w:val="22"/>
        </w:rPr>
        <w:t xml:space="preserve">Full legal name and date of birth.</w:t>
      </w:r>
    </w:p>
    <w:p>
      <w:pPr>
        <w:pStyle w:val="ListParagraph"/>
        <w:numPr>
          <w:ilvl w:val="0"/>
          <w:numId w:val="2"/>
        </w:numPr>
        <w:spacing w:after="40" w:before="40"/>
      </w:pPr>
      <w:r>
        <w:rPr>
          <w:rFonts w:ascii="Arial" w:cs="Arial" w:eastAsia="Arial" w:hAnsi="Arial"/>
          <w:b w:val="false"/>
          <w:bCs w:val="false"/>
          <w:color w:val="17181a"/>
          <w:sz w:val="22"/>
          <w:szCs w:val="22"/>
        </w:rPr>
        <w:t xml:space="preserve">Government-issued photo identification (passport or provincial/national ID).</w:t>
      </w:r>
    </w:p>
    <w:p>
      <w:pPr>
        <w:pStyle w:val="ListParagraph"/>
        <w:numPr>
          <w:ilvl w:val="0"/>
          <w:numId w:val="2"/>
        </w:numPr>
        <w:spacing w:after="40" w:before="40"/>
      </w:pPr>
      <w:r>
        <w:rPr>
          <w:rFonts w:ascii="Arial" w:cs="Arial" w:eastAsia="Arial" w:hAnsi="Arial"/>
          <w:b w:val="false"/>
          <w:bCs w:val="false"/>
          <w:color w:val="17181a"/>
          <w:sz w:val="22"/>
          <w:szCs w:val="22"/>
        </w:rPr>
        <w:t xml:space="preserve">Current residential address, verified against a utility bill or equivalent dated within 90 days.</w:t>
      </w:r>
    </w:p>
    <w:p>
      <w:pPr>
        <w:pStyle w:val="ListParagraph"/>
        <w:numPr>
          <w:ilvl w:val="0"/>
          <w:numId w:val="2"/>
        </w:numPr>
        <w:spacing w:after="40" w:before="40"/>
      </w:pPr>
      <w:r>
        <w:rPr>
          <w:rFonts w:ascii="Arial" w:cs="Arial" w:eastAsia="Arial" w:hAnsi="Arial"/>
          <w:b w:val="false"/>
          <w:bCs w:val="false"/>
          <w:color w:val="17181a"/>
          <w:sz w:val="22"/>
          <w:szCs w:val="22"/>
        </w:rPr>
        <w:t xml:space="preserve">Contact information: primary telephone and email address.</w:t>
      </w:r>
    </w:p>
    <w:p>
      <w:pPr>
        <w:pStyle w:val="ListParagraph"/>
        <w:numPr>
          <w:ilvl w:val="0"/>
          <w:numId w:val="2"/>
        </w:numPr>
        <w:spacing w:after="40" w:before="40"/>
      </w:pPr>
      <w:r>
        <w:rPr>
          <w:rFonts w:ascii="Arial" w:cs="Arial" w:eastAsia="Arial" w:hAnsi="Arial"/>
          <w:b w:val="false"/>
          <w:bCs w:val="false"/>
          <w:color w:val="17181a"/>
          <w:sz w:val="22"/>
          <w:szCs w:val="22"/>
        </w:rPr>
        <w:t xml:space="preserve">Declaration of any prior landlord-tenant tribunal decisions against the applicant.</w:t>
      </w:r>
    </w:p>
    <w:p>
      <w:pPr>
        <w:pStyle w:val="Heading3"/>
        <w:spacing w:after="60" w:before="200"/>
      </w:pPr>
      <w:r>
        <w:rPr>
          <w:rFonts w:ascii="Arial" w:cs="Arial" w:eastAsia="Arial" w:hAnsi="Arial"/>
          <w:b/>
          <w:bCs/>
          <w:color w:val="1b65a5"/>
          <w:sz w:val="22"/>
          <w:szCs w:val="22"/>
        </w:rPr>
        <w:t xml:space="preserve">Form 2 — Authority to List</w:t>
      </w:r>
    </w:p>
    <w:p>
      <w:pPr>
        <w:pStyle w:val="ListParagraph"/>
        <w:numPr>
          <w:ilvl w:val="0"/>
          <w:numId w:val="2"/>
        </w:numPr>
        <w:spacing w:after="40" w:before="40"/>
      </w:pPr>
      <w:r>
        <w:rPr>
          <w:rFonts w:ascii="Arial" w:cs="Arial" w:eastAsia="Arial" w:hAnsi="Arial"/>
          <w:b w:val="false"/>
          <w:bCs w:val="false"/>
          <w:color w:val="17181a"/>
          <w:sz w:val="22"/>
          <w:szCs w:val="22"/>
        </w:rPr>
        <w:t xml:space="preserve">Proof of ownership: a copy of the land title, property deed, or equivalent instrument confirming the applicant’s legal right to let the property.</w:t>
      </w:r>
    </w:p>
    <w:p>
      <w:pPr>
        <w:pStyle w:val="ListParagraph"/>
        <w:numPr>
          <w:ilvl w:val="0"/>
          <w:numId w:val="2"/>
        </w:numPr>
        <w:spacing w:after="40" w:before="40"/>
      </w:pPr>
      <w:r>
        <w:rPr>
          <w:rFonts w:ascii="Arial" w:cs="Arial" w:eastAsia="Arial" w:hAnsi="Arial"/>
          <w:b w:val="false"/>
          <w:bCs w:val="false"/>
          <w:color w:val="17181a"/>
          <w:sz w:val="22"/>
          <w:szCs w:val="22"/>
        </w:rPr>
        <w:t xml:space="preserve">Where the applicant is not the registered owner: a signed letter of authority from the registered owner, together with a FlatFinder verification call made directly to the owner at a number sourced independently (not provided by the agent).</w:t>
      </w:r>
    </w:p>
    <w:p>
      <w:pPr>
        <w:pStyle w:val="ListParagraph"/>
        <w:numPr>
          <w:ilvl w:val="0"/>
          <w:numId w:val="2"/>
        </w:numPr>
        <w:spacing w:after="40" w:before="40"/>
      </w:pPr>
      <w:r>
        <w:rPr>
          <w:rFonts w:ascii="Arial" w:cs="Arial" w:eastAsia="Arial" w:hAnsi="Arial"/>
          <w:b w:val="false"/>
          <w:bCs w:val="false"/>
          <w:color w:val="17181a"/>
          <w:sz w:val="22"/>
          <w:szCs w:val="22"/>
        </w:rPr>
        <w:t xml:space="preserve">Where a property management company is acting on behalf of an owner: the management agreement, executed by both parties, with the owner’s contact details confirmed by FlatFinder directly.</w:t>
      </w:r>
    </w:p>
    <w:p>
      <w:pPr>
        <w:pStyle w:val="ListParagraph"/>
        <w:numPr>
          <w:ilvl w:val="0"/>
          <w:numId w:val="2"/>
        </w:numPr>
        <w:spacing w:after="40" w:before="40"/>
      </w:pPr>
      <w:r>
        <w:rPr>
          <w:rFonts w:ascii="Arial" w:cs="Arial" w:eastAsia="Arial" w:hAnsi="Arial"/>
          <w:b w:val="false"/>
          <w:bCs w:val="false"/>
          <w:color w:val="17181a"/>
          <w:sz w:val="22"/>
          <w:szCs w:val="22"/>
        </w:rPr>
        <w:t xml:space="preserve">No listing is published on the basis of an agent’s authority alone.</w:t>
      </w:r>
    </w:p>
    <w:p>
      <w:pPr>
        <w:pStyle w:val="Heading3"/>
        <w:spacing w:after="60" w:before="200"/>
      </w:pPr>
      <w:r>
        <w:rPr>
          <w:rFonts w:ascii="Arial" w:cs="Arial" w:eastAsia="Arial" w:hAnsi="Arial"/>
          <w:b/>
          <w:bCs/>
          <w:color w:val="1b65a5"/>
          <w:sz w:val="22"/>
          <w:szCs w:val="22"/>
        </w:rPr>
        <w:t xml:space="preserve">Form 3 — Municipal Records Declaration</w:t>
      </w:r>
    </w:p>
    <w:p>
      <w:pPr>
        <w:pStyle w:val="ListParagraph"/>
        <w:numPr>
          <w:ilvl w:val="0"/>
          <w:numId w:val="2"/>
        </w:numPr>
        <w:spacing w:after="40" w:before="40"/>
      </w:pPr>
      <w:r>
        <w:rPr>
          <w:rFonts w:ascii="Arial" w:cs="Arial" w:eastAsia="Arial" w:hAnsi="Arial"/>
          <w:b w:val="false"/>
          <w:bCs w:val="false"/>
          <w:color w:val="17181a"/>
          <w:sz w:val="22"/>
          <w:szCs w:val="22"/>
        </w:rPr>
        <w:t xml:space="preserve">Current building permit status for the property.</w:t>
      </w:r>
    </w:p>
    <w:p>
      <w:pPr>
        <w:pStyle w:val="ListParagraph"/>
        <w:numPr>
          <w:ilvl w:val="0"/>
          <w:numId w:val="2"/>
        </w:numPr>
        <w:spacing w:after="40" w:before="40"/>
      </w:pPr>
      <w:r>
        <w:rPr>
          <w:rFonts w:ascii="Arial" w:cs="Arial" w:eastAsia="Arial" w:hAnsi="Arial"/>
          <w:b w:val="false"/>
          <w:bCs w:val="false"/>
          <w:color w:val="17181a"/>
          <w:sz w:val="22"/>
          <w:szCs w:val="22"/>
        </w:rPr>
        <w:t xml:space="preserve">Confirmation that the unit is registered as a legal dwelling with the relevant municipal authority.</w:t>
      </w:r>
    </w:p>
    <w:p>
      <w:pPr>
        <w:pStyle w:val="ListParagraph"/>
        <w:numPr>
          <w:ilvl w:val="0"/>
          <w:numId w:val="2"/>
        </w:numPr>
        <w:spacing w:after="40" w:before="40"/>
      </w:pPr>
      <w:r>
        <w:rPr>
          <w:rFonts w:ascii="Arial" w:cs="Arial" w:eastAsia="Arial" w:hAnsi="Arial"/>
          <w:b w:val="false"/>
          <w:bCs w:val="false"/>
          <w:color w:val="17181a"/>
          <w:sz w:val="22"/>
          <w:szCs w:val="22"/>
        </w:rPr>
        <w:t xml:space="preserve">Disclosure of any outstanding orders, notices, or enforcement actions issued by any authority against the property.</w:t>
      </w:r>
    </w:p>
    <w:p>
      <w:pPr>
        <w:pStyle w:val="ListParagraph"/>
        <w:numPr>
          <w:ilvl w:val="0"/>
          <w:numId w:val="2"/>
        </w:numPr>
        <w:spacing w:after="40" w:before="40"/>
      </w:pPr>
      <w:r>
        <w:rPr>
          <w:rFonts w:ascii="Arial" w:cs="Arial" w:eastAsia="Arial" w:hAnsi="Arial"/>
          <w:b w:val="false"/>
          <w:bCs w:val="false"/>
          <w:color w:val="17181a"/>
          <w:sz w:val="22"/>
          <w:szCs w:val="22"/>
        </w:rPr>
        <w:t xml:space="preserve">Zoning classification confirming the property is permitted for residential use.</w:t>
      </w:r>
    </w:p>
    <w:p>
      <w:pPr>
        <w:pStyle w:val="Heading3"/>
        <w:spacing w:after="60" w:before="200"/>
      </w:pPr>
      <w:r>
        <w:rPr>
          <w:rFonts w:ascii="Arial" w:cs="Arial" w:eastAsia="Arial" w:hAnsi="Arial"/>
          <w:b/>
          <w:bCs/>
          <w:color w:val="1b65a5"/>
          <w:sz w:val="22"/>
          <w:szCs w:val="22"/>
        </w:rPr>
        <w:t xml:space="preserve">Form 4 — Property History Disclosure</w:t>
      </w:r>
    </w:p>
    <w:p>
      <w:pPr>
        <w:pStyle w:val="ListParagraph"/>
        <w:numPr>
          <w:ilvl w:val="0"/>
          <w:numId w:val="2"/>
        </w:numPr>
        <w:spacing w:after="40" w:before="40"/>
      </w:pPr>
      <w:r>
        <w:rPr>
          <w:rFonts w:ascii="Arial" w:cs="Arial" w:eastAsia="Arial" w:hAnsi="Arial"/>
          <w:b w:val="false"/>
          <w:bCs w:val="false"/>
          <w:color w:val="17181a"/>
          <w:sz w:val="22"/>
          <w:szCs w:val="22"/>
        </w:rPr>
        <w:t xml:space="preserve">Date of most recent professional inspection, with inspector’s name and licence number.</w:t>
      </w:r>
    </w:p>
    <w:p>
      <w:pPr>
        <w:pStyle w:val="ListParagraph"/>
        <w:numPr>
          <w:ilvl w:val="0"/>
          <w:numId w:val="2"/>
        </w:numPr>
        <w:spacing w:after="40" w:before="40"/>
      </w:pPr>
      <w:r>
        <w:rPr>
          <w:rFonts w:ascii="Arial" w:cs="Arial" w:eastAsia="Arial" w:hAnsi="Arial"/>
          <w:b w:val="false"/>
          <w:bCs w:val="false"/>
          <w:color w:val="17181a"/>
          <w:sz w:val="22"/>
          <w:szCs w:val="22"/>
        </w:rPr>
        <w:t xml:space="preserve">Disclosure of any known defects, ongoing repairs, or planned works that will affect the property during the proposed tenancy.</w:t>
      </w:r>
    </w:p>
    <w:p>
      <w:pPr>
        <w:pStyle w:val="ListParagraph"/>
        <w:numPr>
          <w:ilvl w:val="0"/>
          <w:numId w:val="2"/>
        </w:numPr>
        <w:spacing w:after="40" w:before="40"/>
      </w:pPr>
      <w:r>
        <w:rPr>
          <w:rFonts w:ascii="Arial" w:cs="Arial" w:eastAsia="Arial" w:hAnsi="Arial"/>
          <w:b w:val="false"/>
          <w:bCs w:val="false"/>
          <w:color w:val="17181a"/>
          <w:sz w:val="22"/>
          <w:szCs w:val="22"/>
        </w:rPr>
        <w:t xml:space="preserve">History of any insurance claims against the property in the preceding five years.</w:t>
      </w:r>
    </w:p>
    <w:p>
      <w:pPr>
        <w:pStyle w:val="ListParagraph"/>
        <w:numPr>
          <w:ilvl w:val="0"/>
          <w:numId w:val="2"/>
        </w:numPr>
        <w:spacing w:after="40" w:before="40"/>
      </w:pPr>
      <w:r>
        <w:rPr>
          <w:rFonts w:ascii="Arial" w:cs="Arial" w:eastAsia="Arial" w:hAnsi="Arial"/>
          <w:b w:val="false"/>
          <w:bCs w:val="false"/>
          <w:color w:val="17181a"/>
          <w:sz w:val="22"/>
          <w:szCs w:val="22"/>
        </w:rPr>
        <w:t xml:space="preserve">Disclosure of any pest control treatments in the preceding 24 months.</w:t>
      </w:r>
    </w:p>
    <w:p>
      <w:pPr>
        <w:pStyle w:val="ListParagraph"/>
        <w:numPr>
          <w:ilvl w:val="0"/>
          <w:numId w:val="2"/>
        </w:numPr>
        <w:spacing w:after="40" w:before="40"/>
      </w:pPr>
      <w:r>
        <w:rPr>
          <w:rFonts w:ascii="Arial" w:cs="Arial" w:eastAsia="Arial" w:hAnsi="Arial"/>
          <w:b w:val="false"/>
          <w:bCs w:val="false"/>
          <w:color w:val="17181a"/>
          <w:sz w:val="22"/>
          <w:szCs w:val="22"/>
        </w:rPr>
        <w:t xml:space="preserve">Disclosure of any mould remediation in the preceding 36 months.</w:t>
      </w:r>
    </w:p>
    <w:p>
      <w:pPr>
        <w:pStyle w:val="ListParagraph"/>
        <w:numPr>
          <w:ilvl w:val="0"/>
          <w:numId w:val="2"/>
        </w:numPr>
        <w:spacing w:after="40" w:before="40"/>
      </w:pPr>
      <w:r>
        <w:rPr>
          <w:rFonts w:ascii="Arial" w:cs="Arial" w:eastAsia="Arial" w:hAnsi="Arial"/>
          <w:b w:val="false"/>
          <w:bCs w:val="false"/>
          <w:color w:val="17181a"/>
          <w:sz w:val="22"/>
          <w:szCs w:val="22"/>
        </w:rPr>
        <w:t xml:space="preserve">Utility provider details and, where applicable, current consumption averages.</w:t>
      </w:r>
    </w:p>
    <w:p>
      <w:pPr>
        <w:pStyle w:val="Heading3"/>
        <w:spacing w:after="60" w:before="200"/>
      </w:pPr>
      <w:r>
        <w:rPr>
          <w:rFonts w:ascii="Arial" w:cs="Arial" w:eastAsia="Arial" w:hAnsi="Arial"/>
          <w:b/>
          <w:bCs/>
          <w:color w:val="1b65a5"/>
          <w:sz w:val="22"/>
          <w:szCs w:val="22"/>
        </w:rPr>
        <w:t xml:space="preserve">Form 5 — Platform Agreement</w:t>
      </w:r>
    </w:p>
    <w:p>
      <w:pPr>
        <w:pStyle w:val="ListParagraph"/>
        <w:numPr>
          <w:ilvl w:val="0"/>
          <w:numId w:val="2"/>
        </w:numPr>
        <w:spacing w:after="40" w:before="40"/>
      </w:pPr>
      <w:r>
        <w:rPr>
          <w:rFonts w:ascii="Arial" w:cs="Arial" w:eastAsia="Arial" w:hAnsi="Arial"/>
          <w:b w:val="false"/>
          <w:bCs w:val="false"/>
          <w:color w:val="17181a"/>
          <w:sz w:val="22"/>
          <w:szCs w:val="22"/>
        </w:rPr>
        <w:t xml:space="preserve">Agreement to FlatFinder’s listing standards (see Listing Standards below).</w:t>
      </w:r>
    </w:p>
    <w:p>
      <w:pPr>
        <w:pStyle w:val="ListParagraph"/>
        <w:numPr>
          <w:ilvl w:val="0"/>
          <w:numId w:val="2"/>
        </w:numPr>
        <w:spacing w:after="40" w:before="40"/>
      </w:pPr>
      <w:r>
        <w:rPr>
          <w:rFonts w:ascii="Arial" w:cs="Arial" w:eastAsia="Arial" w:hAnsi="Arial"/>
          <w:b w:val="false"/>
          <w:bCs w:val="false"/>
          <w:color w:val="17181a"/>
          <w:sz w:val="22"/>
          <w:szCs w:val="22"/>
        </w:rPr>
        <w:t xml:space="preserve">Agreement to the 24-hour VMC response requirement (FF-CORE-007).</w:t>
      </w:r>
    </w:p>
    <w:p>
      <w:pPr>
        <w:pStyle w:val="ListParagraph"/>
        <w:numPr>
          <w:ilvl w:val="0"/>
          <w:numId w:val="2"/>
        </w:numPr>
        <w:spacing w:after="40" w:before="40"/>
      </w:pPr>
      <w:r>
        <w:rPr>
          <w:rFonts w:ascii="Arial" w:cs="Arial" w:eastAsia="Arial" w:hAnsi="Arial"/>
          <w:b w:val="false"/>
          <w:bCs w:val="false"/>
          <w:color w:val="17181a"/>
          <w:sz w:val="22"/>
          <w:szCs w:val="22"/>
        </w:rPr>
        <w:t xml:space="preserve">Agreement that deposit funds will be held in a registered protection scheme for the duration of the tenancy.</w:t>
      </w:r>
    </w:p>
    <w:p>
      <w:pPr>
        <w:pStyle w:val="ListParagraph"/>
        <w:numPr>
          <w:ilvl w:val="0"/>
          <w:numId w:val="2"/>
        </w:numPr>
        <w:spacing w:after="40" w:before="40"/>
      </w:pPr>
      <w:r>
        <w:rPr>
          <w:rFonts w:ascii="Arial" w:cs="Arial" w:eastAsia="Arial" w:hAnsi="Arial"/>
          <w:b w:val="false"/>
          <w:bCs w:val="false"/>
          <w:color w:val="17181a"/>
          <w:sz w:val="22"/>
          <w:szCs w:val="22"/>
        </w:rPr>
        <w:t xml:space="preserve">Agreement that FlatFinder may verify any information submitted in Forms 1–4 at any time during the landlord’s active use of the platform.</w:t>
      </w:r>
    </w:p>
    <w:p>
      <w:pPr>
        <w:pStyle w:val="ListParagraph"/>
        <w:numPr>
          <w:ilvl w:val="0"/>
          <w:numId w:val="2"/>
        </w:numPr>
        <w:spacing w:after="40" w:before="40"/>
      </w:pPr>
      <w:r>
        <w:rPr>
          <w:rFonts w:ascii="Arial" w:cs="Arial" w:eastAsia="Arial" w:hAnsi="Arial"/>
          <w:b w:val="false"/>
          <w:bCs w:val="false"/>
          <w:color w:val="17181a"/>
          <w:sz w:val="22"/>
          <w:szCs w:val="22"/>
        </w:rPr>
        <w:t xml:space="preserve">Agreement that a breach of any representation made in these forms constitutes grounds for immediate permanent removal from the platform.</w:t>
      </w:r>
    </w:p>
    <w:p>
      <w:pPr>
        <w:pStyle w:val="Heading2"/>
        <w:pBdr>
          <w:bottom w:val="single" w:color="ddd7cc" w:sz="2" w:space="4"/>
        </w:pBdr>
        <w:spacing w:after="80" w:before="280"/>
      </w:pPr>
      <w:r>
        <w:rPr>
          <w:rFonts w:ascii="Arial" w:cs="Arial" w:eastAsia="Arial" w:hAnsi="Arial"/>
          <w:b/>
          <w:bCs/>
          <w:color w:val="17181a"/>
          <w:sz w:val="26"/>
          <w:szCs w:val="26"/>
        </w:rPr>
        <w:t xml:space="preserve">Crown/Council Verification</w:t>
      </w:r>
    </w:p>
    <w:p>
      <w:pPr>
        <w:spacing w:after="80" w:before="60"/>
      </w:pPr>
      <w:r>
        <w:rPr>
          <w:rFonts w:ascii="Arial" w:cs="Arial" w:eastAsia="Arial" w:hAnsi="Arial"/>
          <w:i w:val="false"/>
          <w:iCs w:val="false"/>
          <w:color w:val="17181a"/>
          <w:sz w:val="22"/>
          <w:szCs w:val="22"/>
        </w:rPr>
        <w:t xml:space="preserve">FlatFinder cross-references every listing against official land title and property records. Verification is conducted against:</w:t>
      </w:r>
    </w:p>
    <w:p>
      <w:pPr>
        <w:pStyle w:val="ListParagraph"/>
        <w:numPr>
          <w:ilvl w:val="0"/>
          <w:numId w:val="2"/>
        </w:numPr>
        <w:spacing w:after="40" w:before="40"/>
      </w:pPr>
      <w:r>
        <w:rPr>
          <w:rFonts w:ascii="Arial" w:cs="Arial" w:eastAsia="Arial" w:hAnsi="Arial"/>
          <w:b w:val="false"/>
          <w:bCs w:val="false"/>
          <w:color w:val="17181a"/>
          <w:sz w:val="22"/>
          <w:szCs w:val="22"/>
        </w:rPr>
        <w:t xml:space="preserve">Canada: provincial land title registries (e.g. Teranet in Ontario, BC Land Title and Survey Authority).</w:t>
      </w:r>
    </w:p>
    <w:p>
      <w:pPr>
        <w:pStyle w:val="ListParagraph"/>
        <w:numPr>
          <w:ilvl w:val="0"/>
          <w:numId w:val="2"/>
        </w:numPr>
        <w:spacing w:after="40" w:before="40"/>
      </w:pPr>
      <w:r>
        <w:rPr>
          <w:rFonts w:ascii="Arial" w:cs="Arial" w:eastAsia="Arial" w:hAnsi="Arial"/>
          <w:b w:val="false"/>
          <w:bCs w:val="false"/>
          <w:color w:val="17181a"/>
          <w:sz w:val="22"/>
          <w:szCs w:val="22"/>
        </w:rPr>
        <w:t xml:space="preserve">Scotland: Registers of Scotland.</w:t>
      </w:r>
    </w:p>
    <w:p>
      <w:pPr>
        <w:pStyle w:val="ListParagraph"/>
        <w:numPr>
          <w:ilvl w:val="0"/>
          <w:numId w:val="2"/>
        </w:numPr>
        <w:spacing w:after="40" w:before="40"/>
      </w:pPr>
      <w:r>
        <w:rPr>
          <w:rFonts w:ascii="Arial" w:cs="Arial" w:eastAsia="Arial" w:hAnsi="Arial"/>
          <w:b w:val="false"/>
          <w:bCs w:val="false"/>
          <w:color w:val="17181a"/>
          <w:sz w:val="22"/>
          <w:szCs w:val="22"/>
        </w:rPr>
        <w:t xml:space="preserve">England and Wales: HM Land Registry.</w:t>
      </w:r>
    </w:p>
    <w:p>
      <w:pPr>
        <w:pStyle w:val="ListParagraph"/>
        <w:numPr>
          <w:ilvl w:val="0"/>
          <w:numId w:val="2"/>
        </w:numPr>
        <w:spacing w:after="40" w:before="40"/>
      </w:pPr>
      <w:r>
        <w:rPr>
          <w:rFonts w:ascii="Arial" w:cs="Arial" w:eastAsia="Arial" w:hAnsi="Arial"/>
          <w:b w:val="false"/>
          <w:bCs w:val="false"/>
          <w:color w:val="17181a"/>
          <w:sz w:val="22"/>
          <w:szCs w:val="22"/>
        </w:rPr>
        <w:t xml:space="preserve">France: cadastre and Direction Générale des Finances Publiques (DGFiP).</w:t>
      </w:r>
    </w:p>
    <w:p>
      <w:pPr>
        <w:spacing w:after="120" w:before="0"/>
      </w:pPr>
      <w:r>
        <w:t xml:space="preserve"/>
      </w:r>
    </w:p>
    <w:p>
      <w:pPr>
        <w:spacing w:after="80" w:before="60"/>
      </w:pPr>
      <w:r>
        <w:rPr>
          <w:rFonts w:ascii="Arial" w:cs="Arial" w:eastAsia="Arial" w:hAnsi="Arial"/>
          <w:i w:val="false"/>
          <w:iCs w:val="false"/>
          <w:color w:val="17181a"/>
          <w:sz w:val="22"/>
          <w:szCs w:val="22"/>
        </w:rPr>
        <w:t xml:space="preserve">A listing cannot be published until the ownership record returned by the relevant registry matches the information submitted in Form 2. Discrepancies are referred to the Human Review team.</w:t>
      </w:r>
    </w:p>
    <w:p>
      <w:pPr>
        <w:pStyle w:val="Heading2"/>
        <w:pBdr>
          <w:bottom w:val="single" w:color="ddd7cc" w:sz="2" w:space="4"/>
        </w:pBdr>
        <w:spacing w:after="80" w:before="280"/>
      </w:pPr>
      <w:r>
        <w:rPr>
          <w:rFonts w:ascii="Arial" w:cs="Arial" w:eastAsia="Arial" w:hAnsi="Arial"/>
          <w:b/>
          <w:bCs/>
          <w:color w:val="17181a"/>
          <w:sz w:val="26"/>
          <w:szCs w:val="26"/>
        </w:rPr>
        <w:t xml:space="preserve">Listing Standards</w:t>
      </w:r>
    </w:p>
    <w:p>
      <w:pPr>
        <w:pStyle w:val="Heading3"/>
        <w:spacing w:after="60" w:before="200"/>
      </w:pPr>
      <w:r>
        <w:rPr>
          <w:rFonts w:ascii="Arial" w:cs="Arial" w:eastAsia="Arial" w:hAnsi="Arial"/>
          <w:b/>
          <w:bCs/>
          <w:color w:val="1b65a5"/>
          <w:sz w:val="22"/>
          <w:szCs w:val="22"/>
        </w:rPr>
        <w:t xml:space="preserve">Floor plan</w:t>
      </w:r>
    </w:p>
    <w:p>
      <w:pPr>
        <w:spacing w:after="80" w:before="60"/>
      </w:pPr>
      <w:r>
        <w:rPr>
          <w:rFonts w:ascii="Arial" w:cs="Arial" w:eastAsia="Arial" w:hAnsi="Arial"/>
          <w:i w:val="false"/>
          <w:iCs w:val="false"/>
          <w:color w:val="17181a"/>
          <w:sz w:val="22"/>
          <w:szCs w:val="22"/>
        </w:rPr>
        <w:t xml:space="preserve">A floor plan is mandatory for every listing, every tier, no exceptions. The floor plan must show room dimensions, the location of all doors and windows, and the relationship between rooms. A photograph of a hand-drawn floor plan is accepted. A listing without a floor plan is not published.</w:t>
      </w:r>
    </w:p>
    <w:p>
      <w:pPr>
        <w:pStyle w:val="Heading3"/>
        <w:spacing w:after="60" w:before="200"/>
      </w:pPr>
      <w:r>
        <w:rPr>
          <w:rFonts w:ascii="Arial" w:cs="Arial" w:eastAsia="Arial" w:hAnsi="Arial"/>
          <w:b/>
          <w:bCs/>
          <w:color w:val="1b65a5"/>
          <w:sz w:val="22"/>
          <w:szCs w:val="22"/>
        </w:rPr>
        <w:t xml:space="preserve">Inspection date</w:t>
      </w:r>
    </w:p>
    <w:p>
      <w:pPr>
        <w:spacing w:after="80" w:before="60"/>
      </w:pPr>
      <w:r>
        <w:rPr>
          <w:rFonts w:ascii="Arial" w:cs="Arial" w:eastAsia="Arial" w:hAnsi="Arial"/>
          <w:i w:val="false"/>
          <w:iCs w:val="false"/>
          <w:color w:val="17181a"/>
          <w:sz w:val="22"/>
          <w:szCs w:val="22"/>
        </w:rPr>
        <w:t xml:space="preserve">Every listing must carry a verified inspection date. If the property was not inspected within 30 days of listing, the listing may not use the word “clean” or any equivalent descriptor. The inspection date appears on the published listing.</w:t>
      </w:r>
    </w:p>
    <w:p>
      <w:pPr>
        <w:pStyle w:val="Heading3"/>
        <w:spacing w:after="60" w:before="200"/>
      </w:pPr>
      <w:r>
        <w:rPr>
          <w:rFonts w:ascii="Arial" w:cs="Arial" w:eastAsia="Arial" w:hAnsi="Arial"/>
          <w:b/>
          <w:bCs/>
          <w:color w:val="1b65a5"/>
          <w:sz w:val="22"/>
          <w:szCs w:val="22"/>
        </w:rPr>
        <w:t xml:space="preserve">Photographs</w:t>
      </w:r>
    </w:p>
    <w:p>
      <w:pPr>
        <w:spacing w:after="80" w:before="60"/>
      </w:pPr>
      <w:r>
        <w:rPr>
          <w:rFonts w:ascii="Arial" w:cs="Arial" w:eastAsia="Arial" w:hAnsi="Arial"/>
          <w:i w:val="false"/>
          <w:iCs w:val="false"/>
          <w:color w:val="17181a"/>
          <w:sz w:val="22"/>
          <w:szCs w:val="22"/>
        </w:rPr>
        <w:t xml:space="preserve">All photographs must be dated. Photographs older than 90 days at the time of listing are flagged. The landlord must confirm in writing that the photographs represent the current condition of the property.</w:t>
      </w:r>
    </w:p>
    <w:p>
      <w:pPr>
        <w:pStyle w:val="Heading3"/>
        <w:spacing w:after="60" w:before="200"/>
      </w:pPr>
      <w:r>
        <w:rPr>
          <w:rFonts w:ascii="Arial" w:cs="Arial" w:eastAsia="Arial" w:hAnsi="Arial"/>
          <w:b/>
          <w:bCs/>
          <w:color w:val="1b65a5"/>
          <w:sz w:val="22"/>
          <w:szCs w:val="22"/>
        </w:rPr>
        <w:t xml:space="preserve">Prohibited terms</w:t>
      </w:r>
    </w:p>
    <w:p>
      <w:pPr>
        <w:spacing w:after="80" w:before="60"/>
      </w:pPr>
      <w:r>
        <w:rPr>
          <w:rFonts w:ascii="Arial" w:cs="Arial" w:eastAsia="Arial" w:hAnsi="Arial"/>
          <w:i w:val="false"/>
          <w:iCs w:val="false"/>
          <w:color w:val="17181a"/>
          <w:sz w:val="22"/>
          <w:szCs w:val="22"/>
        </w:rPr>
        <w:t xml:space="preserve">The following terms are prohibited in all listing copy on this platform: luxury, premium rental, upscale, high-end, exclusive. These terms are not markers of quality. They are markers of vague language, and vague language is what this platform exists to eliminate.</w:t>
      </w:r>
    </w:p>
    <w:p>
      <w:pPr>
        <w:pStyle w:val="Heading3"/>
        <w:spacing w:after="60" w:before="200"/>
      </w:pPr>
      <w:r>
        <w:rPr>
          <w:rFonts w:ascii="Arial" w:cs="Arial" w:eastAsia="Arial" w:hAnsi="Arial"/>
          <w:b/>
          <w:bCs/>
          <w:color w:val="1b65a5"/>
          <w:sz w:val="22"/>
          <w:szCs w:val="22"/>
        </w:rPr>
        <w:t xml:space="preserve">Accurate availability</w:t>
      </w:r>
    </w:p>
    <w:p>
      <w:pPr>
        <w:spacing w:after="80" w:before="60"/>
      </w:pPr>
      <w:r>
        <w:rPr>
          <w:rFonts w:ascii="Arial" w:cs="Arial" w:eastAsia="Arial" w:hAnsi="Arial"/>
          <w:i w:val="false"/>
          <w:iCs w:val="false"/>
          <w:color w:val="17181a"/>
          <w:sz w:val="22"/>
          <w:szCs w:val="22"/>
        </w:rPr>
        <w:t xml:space="preserve">A listing must carry a specific, confirmed move-in date. “Available soon” and “flexible” are not acceptable. The date must be locked at the time of publication.</w:t>
      </w:r>
    </w:p>
    <w:p>
      <w:pPr>
        <w:spacing w:after="12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p>
      <w:r>
        <w:br w:type="page"/>
      </w:r>
    </w:p>
    <w:p>
      <w:pPr>
        <w:spacing w:after="60" w:before="320"/>
      </w:pPr>
      <w:r>
        <w:rPr>
          <w:rFonts w:ascii="Arial" w:cs="Arial" w:eastAsia="Arial" w:hAnsi="Arial"/>
          <w:b/>
          <w:bCs/>
          <w:caps/>
          <w:color w:val="1b65a5"/>
          <w:spacing w:val="40"/>
          <w:sz w:val="18"/>
          <w:szCs w:val="18"/>
        </w:rPr>
        <w:t xml:space="preserve">FF-CORE-011</w:t>
      </w:r>
    </w:p>
    <w:p>
      <w:pPr>
        <w:pStyle w:val="Heading1"/>
        <w:pBdr>
          <w:bottom w:val="single" w:color="17181a" w:sz="8" w:space="6"/>
        </w:pBdr>
        <w:spacing w:after="80" w:before="0"/>
      </w:pPr>
      <w:r>
        <w:rPr>
          <w:rFonts w:ascii="Arial" w:cs="Arial" w:eastAsia="Arial" w:hAnsi="Arial"/>
          <w:b/>
          <w:bCs/>
          <w:color w:val="17181a"/>
          <w:sz w:val="44"/>
          <w:szCs w:val="44"/>
        </w:rPr>
        <w:t xml:space="preserve">Matching Logic &amp; Filter Hierarchy</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Status</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Live · Version 1.0</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Category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Core Algorithm</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single" w:color="1b65a5" w:sz="6"/>
              <w:bottom w:val="none" w:color="FFFFFF" w:sz="0"/>
              <w:right w:val="none" w:color="FFFFFF" w:sz="0"/>
            </w:tcBorders>
            <w:shd w:fill="f7f4ef" w:val="clear"/>
            <w:tcMar>
              <w:top w:type="dxa" w:w="40"/>
              <w:left w:type="dxa" w:w="120"/>
              <w:bottom w:type="dxa" w:w="40"/>
              <w:right w:type="dxa" w:w="120"/>
            </w:tcMar>
          </w:tcPr>
          <w:p>
            <w:r>
              <w:rPr>
                <w:rFonts w:ascii="Arial" w:cs="Arial" w:eastAsia="Arial" w:hAnsi="Arial"/>
                <w:b/>
                <w:bCs/>
                <w:caps/>
                <w:color w:val="7a7670"/>
                <w:spacing w:val="30"/>
                <w:sz w:val="18"/>
                <w:szCs w:val="18"/>
              </w:rPr>
              <w:t xml:space="preserve">Summary</w:t>
            </w:r>
          </w:p>
        </w:tc>
        <w:tc>
          <w:tcPr>
            <w:tcW w:type="dxa" w:w="7360"/>
            <w:tcBorders>
              <w:top w:val="none" w:color="FFFFFF" w:sz="0"/>
              <w:left w:val="none" w:color="FFFFFF" w:sz="0"/>
              <w:bottom w:val="none" w:color="FFFFFF" w:sz="0"/>
              <w:right w:val="none" w:color="FFFFFF" w:sz="0"/>
            </w:tcBorders>
            <w:shd w:fill="f7f4ef" w:val="clear"/>
            <w:tcMar>
              <w:top w:type="dxa" w:w="40"/>
              <w:left w:type="dxa" w:w="120"/>
              <w:bottom w:type="dxa" w:w="40"/>
              <w:right w:type="dxa" w:w="80"/>
            </w:tcMar>
          </w:tcPr>
          <w:p>
            <w:r>
              <w:rPr>
                <w:rFonts w:ascii="Arial" w:cs="Arial" w:eastAsia="Arial" w:hAnsi="Arial"/>
                <w:color w:val="17181a"/>
                <w:sz w:val="22"/>
                <w:szCs w:val="22"/>
              </w:rPr>
              <w:t xml:space="preserve">Six sequential filters run before the Anti-Gatekeeping Affordability Algorithm™ processes any match. A listing that fails any filter does not reach the algorithm.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80"/>
              <w:left w:type="dxa" w:w="160"/>
              <w:bottom w:type="dxa" w:w="80"/>
              <w:right w:type="dxa" w:w="160"/>
            </w:tcMar>
          </w:tcPr>
          <w:p>
            <w:r>
              <w:rPr>
                <w:rFonts w:ascii="Arial" w:cs="Arial" w:eastAsia="Arial" w:hAnsi="Arial"/>
                <w:color w:val="17181a"/>
                <w:sz w:val="22"/>
                <w:szCs w:val="22"/>
              </w:rPr>
              <w:t xml:space="preserve">The Anti-Gatekeeping Affordability Algorithm™ — its logic, methodology, weighting, and source code — is proprietary and confidential. This PRD documents the filter hierarchy only. Internal algorithm mechanics are not disclosed here or anywhere accessible to external parties.</w:t>
            </w:r>
          </w:p>
        </w:tc>
      </w:tr>
    </w:tbl>
    <w:p>
      <w:pPr>
        <w:spacing w:after="120" w:before="0"/>
      </w:pPr>
      <w:r>
        <w:t xml:space="preserve"/>
      </w:r>
    </w:p>
    <w:p>
      <w:pPr>
        <w:pStyle w:val="Heading2"/>
        <w:pBdr>
          <w:bottom w:val="single" w:color="ddd7cc" w:sz="2" w:space="4"/>
        </w:pBdr>
        <w:spacing w:after="80" w:before="280"/>
      </w:pPr>
      <w:r>
        <w:rPr>
          <w:rFonts w:ascii="Arial" w:cs="Arial" w:eastAsia="Arial" w:hAnsi="Arial"/>
          <w:b/>
          <w:bCs/>
          <w:color w:val="17181a"/>
          <w:sz w:val="26"/>
          <w:szCs w:val="26"/>
        </w:rPr>
        <w:t xml:space="preserve">The Algorithm</w:t>
      </w:r>
    </w:p>
    <w:p>
      <w:pPr>
        <w:spacing w:after="80" w:before="60"/>
      </w:pPr>
      <w:r>
        <w:rPr>
          <w:rFonts w:ascii="Arial" w:cs="Arial" w:eastAsia="Arial" w:hAnsi="Arial"/>
          <w:i w:val="false"/>
          <w:iCs w:val="false"/>
          <w:color w:val="17181a"/>
          <w:sz w:val="22"/>
          <w:szCs w:val="22"/>
        </w:rPr>
        <w:t xml:space="preserve">The Anti-Gatekeeping Affordability Algorithm™ caps affordability assessment at 40% of the tenant’s net income. It does not use the traditional 3x gross rent rule, which was designed by lenders for mortgage assessment and has no validity as a rental affordability measure. The algorithm processes only listings and tenant profiles that have passed all six filters below.</w:t>
      </w:r>
    </w:p>
    <w:p>
      <w:pPr>
        <w:pStyle w:val="Heading2"/>
        <w:pBdr>
          <w:bottom w:val="single" w:color="ddd7cc" w:sz="2" w:space="4"/>
        </w:pBdr>
        <w:spacing w:after="80" w:before="280"/>
      </w:pPr>
      <w:r>
        <w:rPr>
          <w:rFonts w:ascii="Arial" w:cs="Arial" w:eastAsia="Arial" w:hAnsi="Arial"/>
          <w:b/>
          <w:bCs/>
          <w:color w:val="17181a"/>
          <w:sz w:val="26"/>
          <w:szCs w:val="26"/>
        </w:rPr>
        <w:t xml:space="preserve">The Six Filters</w:t>
      </w:r>
    </w:p>
    <w:p>
      <w:pPr>
        <w:pStyle w:val="Heading3"/>
        <w:spacing w:after="60" w:before="200"/>
      </w:pPr>
      <w:r>
        <w:rPr>
          <w:rFonts w:ascii="Arial" w:cs="Arial" w:eastAsia="Arial" w:hAnsi="Arial"/>
          <w:b/>
          <w:bCs/>
          <w:color w:val="1b65a5"/>
          <w:sz w:val="22"/>
          <w:szCs w:val="22"/>
        </w:rPr>
        <w:t xml:space="preserve">Filter 1 — Listing Verification Status</w:t>
      </w:r>
    </w:p>
    <w:p>
      <w:pPr>
        <w:spacing w:after="80" w:before="60"/>
      </w:pPr>
      <w:r>
        <w:rPr>
          <w:rFonts w:ascii="Arial" w:cs="Arial" w:eastAsia="Arial" w:hAnsi="Arial"/>
          <w:i w:val="false"/>
          <w:iCs w:val="false"/>
          <w:color w:val="17181a"/>
          <w:sz w:val="22"/>
          <w:szCs w:val="22"/>
        </w:rPr>
        <w:t xml:space="preserve">The listing must hold a verified status across all five landlord forms (FF-CORE-010) and Crown/Council verification. An unverified listing does not enter the matching pool.</w:t>
      </w:r>
    </w:p>
    <w:p>
      <w:pPr>
        <w:pStyle w:val="Heading3"/>
        <w:spacing w:after="60" w:before="200"/>
      </w:pPr>
      <w:r>
        <w:rPr>
          <w:rFonts w:ascii="Arial" w:cs="Arial" w:eastAsia="Arial" w:hAnsi="Arial"/>
          <w:b/>
          <w:bCs/>
          <w:color w:val="1b65a5"/>
          <w:sz w:val="22"/>
          <w:szCs w:val="22"/>
        </w:rPr>
        <w:t xml:space="preserve">Filter 2 — Tenant Verification Status</w:t>
      </w:r>
    </w:p>
    <w:p>
      <w:pPr>
        <w:spacing w:after="80" w:before="60"/>
      </w:pPr>
      <w:r>
        <w:rPr>
          <w:rFonts w:ascii="Arial" w:cs="Arial" w:eastAsia="Arial" w:hAnsi="Arial"/>
          <w:i w:val="false"/>
          <w:iCs w:val="false"/>
          <w:color w:val="17181a"/>
          <w:sz w:val="22"/>
          <w:szCs w:val="22"/>
        </w:rPr>
        <w:t xml:space="preserve">The tenant profile must hold a verified status at one of the six documentation tiers (FF-CORE-009). An unverified tenant profile does not enter the matching pool.</w:t>
      </w:r>
    </w:p>
    <w:p>
      <w:pPr>
        <w:pStyle w:val="Heading3"/>
        <w:spacing w:after="60" w:before="200"/>
      </w:pPr>
      <w:r>
        <w:rPr>
          <w:rFonts w:ascii="Arial" w:cs="Arial" w:eastAsia="Arial" w:hAnsi="Arial"/>
          <w:b/>
          <w:bCs/>
          <w:color w:val="1b65a5"/>
          <w:sz w:val="22"/>
          <w:szCs w:val="22"/>
        </w:rPr>
        <w:t xml:space="preserve">Filter 3 — Location &amp; Property Type</w:t>
      </w:r>
    </w:p>
    <w:p>
      <w:pPr>
        <w:spacing w:after="80" w:before="60"/>
      </w:pPr>
      <w:r>
        <w:rPr>
          <w:rFonts w:ascii="Arial" w:cs="Arial" w:eastAsia="Arial" w:hAnsi="Arial"/>
          <w:i w:val="false"/>
          <w:iCs w:val="false"/>
          <w:color w:val="17181a"/>
          <w:sz w:val="22"/>
          <w:szCs w:val="22"/>
        </w:rPr>
        <w:t xml:space="preserve">The tenant’s stated requirements for location and property type (flat, house, studio, shared ownership) must match the listing’s classification. No algorithm processing occurs before this physical compatibility is confirmed.</w:t>
      </w:r>
    </w:p>
    <w:p>
      <w:pPr>
        <w:pStyle w:val="Heading3"/>
        <w:spacing w:after="60" w:before="200"/>
      </w:pPr>
      <w:r>
        <w:rPr>
          <w:rFonts w:ascii="Arial" w:cs="Arial" w:eastAsia="Arial" w:hAnsi="Arial"/>
          <w:b/>
          <w:bCs/>
          <w:color w:val="1b65a5"/>
          <w:sz w:val="22"/>
          <w:szCs w:val="22"/>
        </w:rPr>
        <w:t xml:space="preserve">Filter 4 — Availability Date</w:t>
      </w:r>
    </w:p>
    <w:p>
      <w:pPr>
        <w:spacing w:after="80" w:before="60"/>
      </w:pPr>
      <w:r>
        <w:rPr>
          <w:rFonts w:ascii="Arial" w:cs="Arial" w:eastAsia="Arial" w:hAnsi="Arial"/>
          <w:i w:val="false"/>
          <w:iCs w:val="false"/>
          <w:color w:val="17181a"/>
          <w:sz w:val="22"/>
          <w:szCs w:val="22"/>
        </w:rPr>
        <w:t xml:space="preserve">The listing’s confirmed move-in date must fall within the tenant’s required window. A listing available three months after the tenant’s required date does not enter the match. No exceptions based on landlord preference or tenant flexibility unless the tenant has explicitly extended their window.</w:t>
      </w:r>
    </w:p>
    <w:p>
      <w:pPr>
        <w:pStyle w:val="Heading3"/>
        <w:spacing w:after="60" w:before="200"/>
      </w:pPr>
      <w:r>
        <w:rPr>
          <w:rFonts w:ascii="Arial" w:cs="Arial" w:eastAsia="Arial" w:hAnsi="Arial"/>
          <w:b/>
          <w:bCs/>
          <w:color w:val="1b65a5"/>
          <w:sz w:val="22"/>
          <w:szCs w:val="22"/>
        </w:rPr>
        <w:t xml:space="preserve">Filter 5 — Non-Negotiable Requirements</w:t>
      </w:r>
    </w:p>
    <w:p>
      <w:pPr>
        <w:spacing w:after="80" w:before="60"/>
      </w:pPr>
      <w:r>
        <w:rPr>
          <w:rFonts w:ascii="Arial" w:cs="Arial" w:eastAsia="Arial" w:hAnsi="Arial"/>
          <w:i w:val="false"/>
          <w:iCs w:val="false"/>
          <w:color w:val="17181a"/>
          <w:sz w:val="22"/>
          <w:szCs w:val="22"/>
        </w:rPr>
        <w:t xml:space="preserve">Any requirement marked as non-negotiable by the tenant — in-suite laundry, no basement, above ground only, pet permission, accessibility requirements, scent-free building — is treated as a hard gate. A listing that does not meet every non-negotiable is excluded from the match, regardless of affordability or location.</w:t>
      </w:r>
    </w:p>
    <w:p>
      <w:pPr>
        <w:pStyle w:val="Heading3"/>
        <w:spacing w:after="60" w:before="200"/>
      </w:pPr>
      <w:r>
        <w:rPr>
          <w:rFonts w:ascii="Arial" w:cs="Arial" w:eastAsia="Arial" w:hAnsi="Arial"/>
          <w:b/>
          <w:bCs/>
          <w:color w:val="1b65a5"/>
          <w:sz w:val="22"/>
          <w:szCs w:val="22"/>
        </w:rPr>
        <w:t xml:space="preserve">Filter 6 — Discrimination &amp; Safety Flags</w:t>
      </w:r>
    </w:p>
    <w:p>
      <w:pPr>
        <w:spacing w:after="80" w:before="60"/>
      </w:pPr>
      <w:r>
        <w:rPr>
          <w:rFonts w:ascii="Arial" w:cs="Arial" w:eastAsia="Arial" w:hAnsi="Arial"/>
          <w:i w:val="false"/>
          <w:iCs w:val="false"/>
          <w:color w:val="17181a"/>
          <w:sz w:val="22"/>
          <w:szCs w:val="22"/>
        </w:rPr>
        <w:t xml:space="preserve">Any listing or landlord profile carrying an active flag under FF-CORE-008-S7 does not enter the matching pool. A tenant cannot be matched to a flagged landlord. This filter runs last because a flagged listing should have been removed before reaching this point — this is the safety net.</w:t>
      </w:r>
    </w:p>
    <w:p>
      <w:pPr>
        <w:pStyle w:val="Heading2"/>
        <w:pBdr>
          <w:bottom w:val="single" w:color="ddd7cc" w:sz="2" w:space="4"/>
        </w:pBdr>
        <w:spacing w:after="80" w:before="280"/>
      </w:pPr>
      <w:r>
        <w:rPr>
          <w:rFonts w:ascii="Arial" w:cs="Arial" w:eastAsia="Arial" w:hAnsi="Arial"/>
          <w:b/>
          <w:bCs/>
          <w:color w:val="17181a"/>
          <w:sz w:val="26"/>
          <w:szCs w:val="26"/>
        </w:rPr>
        <w:t xml:space="preserve">After the Filters</w:t>
      </w:r>
    </w:p>
    <w:p>
      <w:pPr>
        <w:spacing w:after="80" w:before="60"/>
      </w:pPr>
      <w:r>
        <w:rPr>
          <w:rFonts w:ascii="Arial" w:cs="Arial" w:eastAsia="Arial" w:hAnsi="Arial"/>
          <w:i w:val="false"/>
          <w:iCs w:val="false"/>
          <w:color w:val="17181a"/>
          <w:sz w:val="22"/>
          <w:szCs w:val="22"/>
        </w:rPr>
        <w:t xml:space="preserve">Listings and tenant profiles that pass all six filters are processed by the Anti-Gatekeeping Affordability Algorithm™. The algorithm’s output is a ranked match list. The ranking methodology is proprietary. The output — the list of matches presented to the tenant — is the only thing that is user-facing.</w:t>
      </w:r>
    </w:p>
    <w:p>
      <w:pPr>
        <w:pStyle w:val="Heading2"/>
        <w:pBdr>
          <w:bottom w:val="single" w:color="ddd7cc" w:sz="2" w:space="4"/>
        </w:pBdr>
        <w:spacing w:after="80" w:before="280"/>
      </w:pPr>
      <w:r>
        <w:rPr>
          <w:rFonts w:ascii="Arial" w:cs="Arial" w:eastAsia="Arial" w:hAnsi="Arial"/>
          <w:b/>
          <w:bCs/>
          <w:color w:val="17181a"/>
          <w:sz w:val="26"/>
          <w:szCs w:val="26"/>
        </w:rPr>
        <w:t xml:space="preserve">Standing Commitment: Lateral Thinking</w:t>
      </w:r>
    </w:p>
    <w:p>
      <w:pPr>
        <w:spacing w:after="80" w:before="60"/>
      </w:pPr>
      <w:r>
        <w:rPr>
          <w:rFonts w:ascii="Arial" w:cs="Arial" w:eastAsia="Arial" w:hAnsi="Arial"/>
          <w:i w:val="false"/>
          <w:iCs w:val="false"/>
          <w:color w:val="17181a"/>
          <w:sz w:val="22"/>
          <w:szCs w:val="22"/>
        </w:rPr>
        <w:t xml:space="preserve">Every filter carries the same standing obligation as FF-CORE-009: before any filter is enforced, ask whether a legitimate tenant or landlord exists who would be incorrectly excluded. If the answer is yes, the filter must be reviewed.</w:t>
      </w:r>
    </w:p>
    <w:p>
      <w:pPr>
        <w:spacing w:after="240" w:before="0"/>
      </w:pPr>
      <w:r>
        <w:t xml:space="preserve"/>
      </w:r>
    </w:p>
    <w:p>
      <w:pPr>
        <w:spacing w:after="0" w:before="0"/>
      </w:pPr>
      <w:r>
        <w:rPr>
          <w:rFonts w:ascii="Arial" w:cs="Arial" w:eastAsia="Arial" w:hAnsi="Arial"/>
          <w:color w:val="7a7670"/>
          <w:sz w:val="16"/>
          <w:szCs w:val="16"/>
        </w:rPr>
        <w:t xml:space="preserve">© 2024–2026 Lila Inglis Abegunrin · FlatFinder Inc. · Trademarks and Patents Pending (CIPO) · Proprietary and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7cc" w:sz="2" w:space="6"/>
      </w:pBdr>
      <w:tabs>
        <w:tab w:val="right" w:pos="9026"/>
      </w:tabs>
    </w:pPr>
    <w:r>
      <w:rPr>
        <w:rFonts w:ascii="Arial" w:cs="Arial" w:eastAsia="Arial" w:hAnsi="Arial"/>
        <w:color w:val="7a7670"/>
        <w:sz w:val="16"/>
        <w:szCs w:val="16"/>
      </w:rPr>
      <w:t xml:space="preserve">© 2024–2026 Lila Inglis Abegunrin · FlatFinder Inc. · Proprietary and Confidential</w:t>
    </w:r>
    <w:r>
      <w:rPr>
        <w:rFonts w:ascii="Arial" w:cs="Arial" w:eastAsia="Arial" w:hAnsi="Arial"/>
        <w:sz w:val="16"/>
        <w:szCs w:val="16"/>
      </w:rPr>
      <w:t xml:space="preserve">	</w:t>
    </w:r>
    <w:r>
      <w:rPr>
        <w:rFonts w:ascii="Arial" w:cs="Arial" w:eastAsia="Arial" w:hAnsi="Arial"/>
        <w:color w:val="7a7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7cc" w:sz="2" w:space="6"/>
      </w:pBdr>
      <w:tabs>
        <w:tab w:val="right" w:pos="9026"/>
      </w:tabs>
    </w:pPr>
    <w:r>
      <w:rPr>
        <w:rFonts w:ascii="Arial" w:cs="Arial" w:eastAsia="Arial" w:hAnsi="Arial"/>
        <w:b/>
        <w:bCs/>
        <w:color w:val="1b65a5"/>
        <w:sz w:val="18"/>
        <w:szCs w:val="18"/>
      </w:rPr>
      <w:t xml:space="preserve">FlatFinder Inc.</w:t>
    </w:r>
    <w:r>
      <w:rPr>
        <w:rFonts w:ascii="Arial" w:cs="Arial" w:eastAsia="Arial" w:hAnsi="Arial"/>
        <w:color w:val="7a7670"/>
        <w:sz w:val="18"/>
        <w:szCs w:val="18"/>
      </w:rPr>
      <w:t xml:space="preserve">	PRD Library ·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b65a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8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7181a"/>
      <w:sz w:val="44"/>
      <w:szCs w:val="44"/>
    </w:rPr>
  </w:style>
  <w:style w:type="paragraph" w:styleId="Heading2">
    <w:name w:val="Heading 2"/>
    <w:basedOn w:val="Normal"/>
    <w:next w:val="Normal"/>
    <w:qFormat/>
    <w:pPr>
      <w:spacing w:after="80" w:before="280"/>
      <w:outlineLvl w:val="1"/>
    </w:pPr>
    <w:rPr>
      <w:rFonts w:ascii="Arial" w:cs="Arial" w:eastAsia="Arial" w:hAnsi="Arial"/>
      <w:b/>
      <w:bCs/>
      <w:color w:val="17181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65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2026-04-06T17:43:17.538Z</dcterms:created>
  <dcterms:modified xsi:type="dcterms:W3CDTF">2026-04-06T17:43:17.539Z</dcterms:modified>
</cp:coreProperties>
</file>

<file path=docProps/custom.xml><?xml version="1.0" encoding="utf-8"?>
<Properties xmlns="http://schemas.openxmlformats.org/officeDocument/2006/custom-properties" xmlns:vt="http://schemas.openxmlformats.org/officeDocument/2006/docPropsVTypes"/>
</file>