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Implementando Monitoramento no Azure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Azure Monitor</w:t>
      </w:r>
      <w:r w:rsidDel="00000000" w:rsidR="00000000" w:rsidRPr="00000000">
        <w:rPr>
          <w:rtl w:val="0"/>
        </w:rPr>
        <w:t xml:space="preserve"> é o serviço nativo da Microsoft para </w:t>
      </w:r>
      <w:r w:rsidDel="00000000" w:rsidR="00000000" w:rsidRPr="00000000">
        <w:rPr>
          <w:b w:val="1"/>
          <w:rtl w:val="0"/>
        </w:rPr>
        <w:t xml:space="preserve">monitoramento e observabilidade</w:t>
      </w:r>
      <w:r w:rsidDel="00000000" w:rsidR="00000000" w:rsidRPr="00000000">
        <w:rPr>
          <w:rtl w:val="0"/>
        </w:rPr>
        <w:t xml:space="preserve"> no Azure. Ele fornece uma visão centralizada sobre a </w:t>
      </w:r>
      <w:r w:rsidDel="00000000" w:rsidR="00000000" w:rsidRPr="00000000">
        <w:rPr>
          <w:b w:val="1"/>
          <w:rtl w:val="0"/>
        </w:rPr>
        <w:t xml:space="preserve">saúde, desempenho e disponibilidade</w:t>
      </w:r>
      <w:r w:rsidDel="00000000" w:rsidR="00000000" w:rsidRPr="00000000">
        <w:rPr>
          <w:rtl w:val="0"/>
        </w:rPr>
        <w:t xml:space="preserve"> de aplicações, serviços e recursos de infraestrutura — tanto em </w:t>
      </w:r>
      <w:r w:rsidDel="00000000" w:rsidR="00000000" w:rsidRPr="00000000">
        <w:rPr>
          <w:b w:val="1"/>
          <w:rtl w:val="0"/>
        </w:rPr>
        <w:t xml:space="preserve">nuvem (Azure)</w:t>
      </w:r>
      <w:r w:rsidDel="00000000" w:rsidR="00000000" w:rsidRPr="00000000">
        <w:rPr>
          <w:rtl w:val="0"/>
        </w:rPr>
        <w:t xml:space="preserve"> quanto em </w:t>
      </w:r>
      <w:r w:rsidDel="00000000" w:rsidR="00000000" w:rsidRPr="00000000">
        <w:rPr>
          <w:b w:val="1"/>
          <w:rtl w:val="0"/>
        </w:rPr>
        <w:t xml:space="preserve">ambientes on-premises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Objectivo deste trabalho é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Apresentar os principais recursos do Azure Monitor</w:t>
      </w:r>
      <w:r w:rsidDel="00000000" w:rsidR="00000000" w:rsidRPr="00000000">
        <w:rPr>
          <w:rtl w:val="0"/>
        </w:rPr>
        <w:t xml:space="preserve">, destacando as suas funcionalidades no monitoramento de infraestrutura, aplicações e serviços, tanto em ambientes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on-premises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Demonstrar, passo a passo, a configuração do Azure Monitor</w:t>
      </w:r>
      <w:r w:rsidDel="00000000" w:rsidR="00000000" w:rsidRPr="00000000">
        <w:rPr>
          <w:rtl w:val="0"/>
        </w:rPr>
        <w:t xml:space="preserve">, incluindo: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Ativação da coleta de métricas e logs.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de alertas e dashboards.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Mostrar como o Azure Monitor pode ser utilizado para manter </w:t>
      </w:r>
      <w:r w:rsidDel="00000000" w:rsidR="00000000" w:rsidRPr="00000000">
        <w:rPr>
          <w:b w:val="1"/>
          <w:rtl w:val="0"/>
        </w:rPr>
        <w:t xml:space="preserve">visibilidade, controle, investigação de incidentes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automação de respostas.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155cc"/>
          <w:rPrChange w:author="Flavio Vandunem" w:id="0" w:date="2025-09-02T22:10:25Z">
            <w:rPr>
              <w:b w:val="1"/>
              <w:color w:val="1155cc"/>
            </w:rPr>
          </w:rPrChange>
        </w:rPr>
      </w:pPr>
      <w:r w:rsidDel="00000000" w:rsidR="00000000" w:rsidRPr="00000000">
        <w:rPr>
          <w:b w:val="1"/>
          <w:color w:val="1155cc"/>
          <w:rtl w:val="0"/>
          <w:rPrChange w:author="Flavio Vandunem" w:id="0" w:date="2025-09-02T22:10:25Z">
            <w:rPr>
              <w:b w:val="1"/>
              <w:color w:val="1155cc"/>
            </w:rPr>
          </w:rPrChange>
        </w:rPr>
        <w:t xml:space="preserve">Requisitos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Conta com subscrição ativa.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de recursos (onde será aplicado o monitoramento).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Diagrama</w:t>
      </w:r>
    </w:p>
    <w:p w:rsidR="00000000" w:rsidDel="00000000" w:rsidP="00000000" w:rsidRDefault="00000000" w:rsidRPr="00000000" w14:paraId="00000014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                                                                                                                      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80963</wp:posOffset>
            </wp:positionH>
            <wp:positionV relativeFrom="paragraph">
              <wp:posOffset>152400</wp:posOffset>
            </wp:positionV>
            <wp:extent cx="1466850" cy="717556"/>
            <wp:effectExtent b="12700" l="12700" r="12700" t="12700"/>
            <wp:wrapSquare wrapText="bothSides" distB="57150" distT="57150" distL="57150" distR="571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175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                                  </w:t>
      </w:r>
    </w:p>
    <w:tbl>
      <w:tblPr>
        <w:tblStyle w:val="Table1"/>
        <w:tblW w:w="3420.0" w:type="dxa"/>
        <w:jc w:val="left"/>
        <w:tblInd w:w="559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  <w:tblPrChange w:id="1" w:author="Flavio Vandunem" w:date="2025-09-02T22:04:48Z">
          <w:tblPr>
            <w:tblStyle w:val="Table1"/>
            <w:tblW w:w="3420.0" w:type="dxa"/>
            <w:jc w:val="left"/>
            <w:tblInd w:w="55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</w:tblPrChange>
      </w:tblPr>
      <w:tblGrid>
        <w:gridCol w:w="3420"/>
        <w:tblGridChange w:id="0">
          <w:tblGrid>
            <w:gridCol w:w="3420"/>
          </w:tblGrid>
        </w:tblGridChange>
      </w:tblGrid>
      <w:tr>
        <w:trPr>
          <w:trPrChange w:author="Flavio Vandunem" w:id="1" w:date="2025-09-02T22:04:48Z">
            <w:trPr>
              <w:cantSplit w:val="0"/>
              <w:trHeight w:val="2423.7890625" w:hRule="atLeast"/>
              <w:tblHeader w:val="0"/>
            </w:trPr>
          </w:trPrChange>
        </w:trPr>
        <w:tc>
          <w:tcPr>
            <w:tcPrChange w:author="Flavio Vandunem" w:id="1" w:date="2025-09-02T22:04:48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</w:rPr>
              <w:drawing>
                <wp:inline distB="114300" distT="114300" distL="114300" distR="114300">
                  <wp:extent cx="1208038" cy="1009575"/>
                  <wp:effectExtent b="0" l="0" r="0" t="0"/>
                  <wp:docPr id="4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038" cy="10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                                    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</w:rPr>
        <w:drawing>
          <wp:inline distB="114300" distT="114300" distL="114300" distR="114300">
            <wp:extent cx="1604963" cy="61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left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Configuração do Log Analytics Workspace no Portal Azure</w:t>
      </w:r>
    </w:p>
    <w:p w:rsidR="00000000" w:rsidDel="00000000" w:rsidP="00000000" w:rsidRDefault="00000000" w:rsidRPr="00000000" w14:paraId="0000001F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monitor </w:t>
      </w:r>
      <w:r w:rsidDel="00000000" w:rsidR="00000000" w:rsidRPr="00000000">
        <w:rPr>
          <w:sz w:val="24"/>
          <w:szCs w:val="24"/>
          <w:rtl w:val="0"/>
        </w:rPr>
        <w:t xml:space="preserve">e depois</w:t>
      </w:r>
      <w:r w:rsidDel="00000000" w:rsidR="00000000" w:rsidRPr="00000000">
        <w:rPr>
          <w:b w:val="1"/>
          <w:sz w:val="24"/>
          <w:szCs w:val="24"/>
          <w:rtl w:val="0"/>
        </w:rPr>
        <w:t xml:space="preserve"> informações de vm.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Ativação da coleta de métricas para máquinas virtuais.</w:t>
      </w:r>
    </w:p>
    <w:p w:rsidR="00000000" w:rsidDel="00000000" w:rsidP="00000000" w:rsidRDefault="00000000" w:rsidRPr="00000000" w14:paraId="00000025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configurar informações</w:t>
      </w:r>
    </w:p>
    <w:p w:rsidR="00000000" w:rsidDel="00000000" w:rsidP="00000000" w:rsidRDefault="00000000" w:rsidRPr="00000000" w14:paraId="00000027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155cc"/>
          <w:sz w:val="24"/>
          <w:szCs w:val="24"/>
        </w:rPr>
      </w:pPr>
      <w:commentRangeStart w:id="0"/>
      <w:r w:rsidDel="00000000" w:rsidR="00000000" w:rsidRPr="00000000">
        <w:rPr>
          <w:b w:val="1"/>
          <w:color w:val="1155cc"/>
          <w:sz w:val="24"/>
          <w:szCs w:val="24"/>
        </w:rPr>
        <w:drawing>
          <wp:inline distB="114300" distT="114300" distL="114300" distR="114300">
            <wp:extent cx="5731200" cy="2413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o recurso (vm) e clicar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ativar</w:t>
      </w:r>
    </w:p>
    <w:p w:rsidR="00000000" w:rsidDel="00000000" w:rsidP="00000000" w:rsidRDefault="00000000" w:rsidRPr="00000000" w14:paraId="00000037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Página de conformidade e insights no Azure Monitor</w:t>
      </w:r>
    </w:p>
    <w:p w:rsidR="00000000" w:rsidDel="00000000" w:rsidP="00000000" w:rsidRDefault="00000000" w:rsidRPr="00000000" w14:paraId="0000003F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ativar</w:t>
      </w:r>
    </w:p>
    <w:p w:rsidR="00000000" w:rsidDel="00000000" w:rsidP="00000000" w:rsidRDefault="00000000" w:rsidRPr="00000000" w14:paraId="00000041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</w:rPr>
        <w:drawing>
          <wp:inline distB="114300" distT="114300" distL="114300" distR="114300">
            <wp:extent cx="5734050" cy="30622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configurações</w:t>
      </w:r>
    </w:p>
    <w:p w:rsidR="00000000" w:rsidDel="00000000" w:rsidP="00000000" w:rsidRDefault="00000000" w:rsidRPr="00000000" w14:paraId="00000048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</w:rPr>
        <w:drawing>
          <wp:inline distB="114300" distT="114300" distL="114300" distR="114300">
            <wp:extent cx="5895975" cy="35956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color w:val="1155cc"/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Alertas</w:t>
      </w:r>
    </w:p>
    <w:p w:rsidR="00000000" w:rsidDel="00000000" w:rsidP="00000000" w:rsidRDefault="00000000" w:rsidRPr="00000000" w14:paraId="0000004B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</w:t>
      </w:r>
      <w:r w:rsidDel="00000000" w:rsidR="00000000" w:rsidRPr="00000000">
        <w:rPr>
          <w:sz w:val="24"/>
          <w:szCs w:val="24"/>
          <w:rtl w:val="0"/>
        </w:rPr>
        <w:t xml:space="preserve"> a conclusão da configuração, </w:t>
      </w:r>
      <w:r w:rsidDel="00000000" w:rsidR="00000000" w:rsidRPr="00000000">
        <w:rPr>
          <w:sz w:val="24"/>
          <w:szCs w:val="24"/>
          <w:rtl w:val="0"/>
        </w:rPr>
        <w:t xml:space="preserve">clicar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alertas.</w:t>
      </w:r>
    </w:p>
    <w:p w:rsidR="00000000" w:rsidDel="00000000" w:rsidP="00000000" w:rsidRDefault="00000000" w:rsidRPr="00000000" w14:paraId="0000004D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</w:rPr>
        <w:drawing>
          <wp:inline distB="114300" distT="114300" distL="114300" distR="114300">
            <wp:extent cx="5843588" cy="19716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5-09-02T21:07:37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reação no total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Flavio Vandunem reagiu com ➕ à(s) 2025-09-02 21:07 da tarde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