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Fazer pelo menos um exercício de cada método de resolução de sistemas lineares: eliminação de Gauss (ou escalonamento), fatoração LU, Gauss-Jacobi, Gauss-Seidel.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  <w:rtl w:val="0"/>
        </w:rPr>
        <w:t xml:space="preserve">Eliminação de Gauss: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</w:rPr>
        <w:drawing>
          <wp:inline distB="114300" distT="114300" distL="114300" distR="114300">
            <wp:extent cx="5731200" cy="35179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  <w:rtl w:val="0"/>
        </w:rPr>
        <w:t xml:space="preserve">Fatoração LU: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</w:rPr>
        <w:drawing>
          <wp:inline distB="114300" distT="114300" distL="114300" distR="114300">
            <wp:extent cx="5391150" cy="28111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1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  <w:rtl w:val="0"/>
        </w:rPr>
        <w:t xml:space="preserve">Gauss-Jacobi: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</w:rPr>
        <w:drawing>
          <wp:inline distB="114300" distT="114300" distL="114300" distR="114300">
            <wp:extent cx="5731200" cy="39878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  <w:rtl w:val="0"/>
        </w:rPr>
        <w:t xml:space="preserve">Gauss-Seidel: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</w:rPr>
        <w:drawing>
          <wp:inline distB="114300" distT="114300" distL="114300" distR="114300">
            <wp:extent cx="5731200" cy="38989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5731200" cy="80010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