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00"/>
          <w:tab w:val="left" w:pos="9801"/>
        </w:tabs>
        <w:spacing w:line="250" w:lineRule="auto"/>
        <w:ind w:left="10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left="4314" w:right="4971" w:firstLine="0"/>
        <w:jc w:val="center"/>
        <w:rPr/>
      </w:pPr>
      <w:r w:rsidDel="00000000" w:rsidR="00000000" w:rsidRPr="00000000">
        <w:rPr>
          <w:rtl w:val="0"/>
        </w:rPr>
        <w:t xml:space="preserve">PROVA nº 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1" w:line="360" w:lineRule="auto"/>
        <w:ind w:left="853" w:right="7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pontos) Como escolher entre um modelo de Regressão Logística Binária e um modelo de Regressão Logística Multinomial?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https://estatistica.pt/conduzir-e-interpretar-uma-regressao-logistica-multinomial/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1" w:line="360" w:lineRule="auto"/>
        <w:ind w:left="853" w:right="7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1" w:line="360" w:lineRule="auto"/>
        <w:ind w:left="853" w:right="7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 Regressão Logística Multinomial é similar à Regressão Logística. A diferença é que, para utilizá-la, a variável resposta deve ser qualitativa nominal com três ou mais categorias. Entre as categorias deve-se escolher uma de referência, assim como na regressão logística binária, para conseguir compará-la às outras categorias. O recomendado é que as categorias sejam 0, 1, 2, …, k, sendo k a quantidade de categorias da variável resposta menos um. Assim, a categoria 0 será a de referência.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1" w:line="360" w:lineRule="auto"/>
        <w:ind w:left="853" w:right="78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pontos) Por que é desaconselhável o uso de um modelo de Regressão Linear para situações que exigem modelos para dados de contagem?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http://leg.ufpr.br/~lucambio/GLM/GLM.html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50.3937007874017" w:right="0" w:hanging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 aplicação de modelos de regressão com erros normais na análise de contagens, embora frequente, em geral é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50.3937007874017" w:right="0" w:hanging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desaconselhável, pois: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 modelo linear com erros normais não considera a natureza discreta dos dados;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Associa probabilidade nula a qualquer possível contagem;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Admite probabilidades não nulas a valores negativos da variável;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 uso de transformações dificulta a interpretação dos resultados;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 uso da transformação logarítmica apresenta problemas para contagens iguais a zero;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850.3937007874017" w:right="0" w:hanging="0"/>
        <w:jc w:val="both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Não se contempla a relação não constante entre variância e média, característica de dados de contagens.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50.3937007874017" w:right="0" w:hanging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0" w:line="357" w:lineRule="auto"/>
        <w:ind w:left="853" w:right="78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pontos) Relate as etapas necessárias para a análise de um modelo de Regressão para Dados Positivos Assimétricos.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0" w:line="357" w:lineRule="auto"/>
        <w:ind w:right="78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a situação e os resultados a seguir.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360" w:lineRule="auto"/>
        <w:ind w:left="841" w:right="7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fim de estudar os efeitos cancerígenos de um produto tóxico em ratos, foram administradas três diferentes doses da substância tóxica (0, 0.45 e 0.75 partes por 10 000) a algumas centenas de ratos, durante um de dois períodos de exposição (16 ou 24 meses). No final do período de exposição verificava-se a existência de tumores nos ratos. Os resultados da experiência foram os seguintes: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1973269</wp:posOffset>
            </wp:positionH>
            <wp:positionV relativeFrom="paragraph">
              <wp:posOffset>174534</wp:posOffset>
            </wp:positionV>
            <wp:extent cx="2793002" cy="906208"/>
            <wp:effectExtent b="0" l="0" r="0" t="0"/>
            <wp:wrapTopAndBottom distB="0" distT="0"/>
            <wp:docPr descr="Tabela  Descrição gerada automaticamente" id="16" name="image4.png"/>
            <a:graphic>
              <a:graphicData uri="http://schemas.openxmlformats.org/drawingml/2006/picture">
                <pic:pic>
                  <pic:nvPicPr>
                    <pic:cNvPr descr="Tabela  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002" cy="906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before="114" w:line="360" w:lineRule="auto"/>
        <w:ind w:left="0" w:right="79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841" w:right="8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340" w:left="1000" w:right="3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Agora, responda </w:t>
      </w:r>
      <w:r w:rsidDel="00000000" w:rsidR="00000000" w:rsidRPr="00000000">
        <w:rPr>
          <w:sz w:val="20"/>
          <w:szCs w:val="20"/>
          <w:rtl w:val="0"/>
        </w:rPr>
        <w:t xml:space="preserve">às questões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 e 5.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69" w:line="240" w:lineRule="auto"/>
        <w:ind w:left="853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pontos) O modelo a seguir está adequado para o tipo de situação?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573621</wp:posOffset>
            </wp:positionH>
            <wp:positionV relativeFrom="paragraph">
              <wp:posOffset>109837</wp:posOffset>
            </wp:positionV>
            <wp:extent cx="6062478" cy="3509962"/>
            <wp:effectExtent b="0" l="0" r="0" t="0"/>
            <wp:wrapTopAndBottom distB="0" distT="0"/>
            <wp:docPr descr="Texto  Descrição gerada automaticamente" id="12" name="image5.jpg"/>
            <a:graphic>
              <a:graphicData uri="http://schemas.openxmlformats.org/drawingml/2006/picture">
                <pic:pic>
                  <pic:nvPicPr>
                    <pic:cNvPr descr="Texto  Descrição gerada automaticamente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478" cy="3509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593781</wp:posOffset>
            </wp:positionH>
            <wp:positionV relativeFrom="paragraph">
              <wp:posOffset>3814766</wp:posOffset>
            </wp:positionV>
            <wp:extent cx="5479885" cy="4026503"/>
            <wp:effectExtent b="0" l="0" r="0" t="0"/>
            <wp:wrapTopAndBottom distB="0" distT="0"/>
            <wp:docPr descr="Texto  Descrição gerada automaticamente" id="15" name="image1.jpg"/>
            <a:graphic>
              <a:graphicData uri="http://schemas.openxmlformats.org/drawingml/2006/picture">
                <pic:pic>
                  <pic:nvPicPr>
                    <pic:cNvPr descr="Texto  Descrição gerada automaticamente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885" cy="4026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20" w:left="1000" w:right="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"/>
          <w:tab w:val="left" w:pos="854"/>
        </w:tabs>
        <w:spacing w:after="0" w:before="69" w:line="240" w:lineRule="auto"/>
        <w:ind w:left="853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pontos) Qual dos dois modelos é preferível, o da questão 4 ou da questão 5?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583852</wp:posOffset>
            </wp:positionH>
            <wp:positionV relativeFrom="paragraph">
              <wp:posOffset>156412</wp:posOffset>
            </wp:positionV>
            <wp:extent cx="6108731" cy="3494246"/>
            <wp:effectExtent b="0" l="0" r="0" t="0"/>
            <wp:wrapTopAndBottom distB="0" distT="0"/>
            <wp:docPr descr="Texto, Carta  Descrição gerada automaticamente" id="13" name="image3.png"/>
            <a:graphic>
              <a:graphicData uri="http://schemas.openxmlformats.org/drawingml/2006/picture">
                <pic:pic>
                  <pic:nvPicPr>
                    <pic:cNvPr descr="Texto, Carta  Descrição gerada automaticament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31" cy="3494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569685</wp:posOffset>
            </wp:positionH>
            <wp:positionV relativeFrom="paragraph">
              <wp:posOffset>3853636</wp:posOffset>
            </wp:positionV>
            <wp:extent cx="6061194" cy="3032950"/>
            <wp:effectExtent b="0" l="0" r="0" t="0"/>
            <wp:wrapTopAndBottom distB="0" distT="0"/>
            <wp:docPr descr="Texto, Carta  Descrição gerada automaticamente" id="14" name="image2.jpg"/>
            <a:graphic>
              <a:graphicData uri="http://schemas.openxmlformats.org/drawingml/2006/picture">
                <pic:pic>
                  <pic:nvPicPr>
                    <pic:cNvPr descr="Texto, Carta  Descrição gerada automaticamente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194" cy="303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1" w:lineRule="auto"/>
        <w:ind w:right="795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820" w:left="1000" w:right="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3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0"/>
      </w:pPr>
      <w:rPr/>
    </w:lvl>
    <w:lvl w:ilvl="2">
      <w:start w:val="0"/>
      <w:numFmt w:val="bullet"/>
      <w:lvlText w:val="•"/>
      <w:lvlJc w:val="left"/>
      <w:pPr>
        <w:ind w:left="2801" w:hanging="360"/>
      </w:pPr>
      <w:rPr/>
    </w:lvl>
    <w:lvl w:ilvl="3">
      <w:start w:val="0"/>
      <w:numFmt w:val="bullet"/>
      <w:lvlText w:val="•"/>
      <w:lvlJc w:val="left"/>
      <w:pPr>
        <w:ind w:left="3771" w:hanging="360"/>
      </w:pPr>
      <w:rPr/>
    </w:lvl>
    <w:lvl w:ilvl="4">
      <w:start w:val="0"/>
      <w:numFmt w:val="bullet"/>
      <w:lvlText w:val="•"/>
      <w:lvlJc w:val="left"/>
      <w:pPr>
        <w:ind w:left="4742" w:hanging="360"/>
      </w:pPr>
      <w:rPr/>
    </w:lvl>
    <w:lvl w:ilvl="5">
      <w:start w:val="0"/>
      <w:numFmt w:val="bullet"/>
      <w:lvlText w:val="•"/>
      <w:lvlJc w:val="left"/>
      <w:pPr>
        <w:ind w:left="5713" w:hanging="360"/>
      </w:pPr>
      <w:rPr/>
    </w:lvl>
    <w:lvl w:ilvl="6">
      <w:start w:val="0"/>
      <w:numFmt w:val="bullet"/>
      <w:lvlText w:val="•"/>
      <w:lvlJc w:val="left"/>
      <w:pPr>
        <w:ind w:left="6683" w:hanging="360"/>
      </w:pPr>
      <w:rPr/>
    </w:lvl>
    <w:lvl w:ilvl="7">
      <w:start w:val="0"/>
      <w:numFmt w:val="bullet"/>
      <w:lvlText w:val="•"/>
      <w:lvlJc w:val="left"/>
      <w:pPr>
        <w:ind w:left="7654" w:hanging="360"/>
      </w:pPr>
      <w:rPr/>
    </w:lvl>
    <w:lvl w:ilvl="8">
      <w:start w:val="0"/>
      <w:numFmt w:val="bullet"/>
      <w:lvlText w:val="•"/>
      <w:lvlJc w:val="left"/>
      <w:pPr>
        <w:ind w:left="862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="250" w:lineRule="auto"/>
      <w:ind w:left="10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pt-PT"/>
    </w:rPr>
  </w:style>
  <w:style w:type="paragraph" w:styleId="Ttulo1">
    <w:name w:val="heading 1"/>
    <w:basedOn w:val="Normal"/>
    <w:uiPriority w:val="9"/>
    <w:qFormat w:val="1"/>
    <w:pPr>
      <w:spacing w:before="85" w:line="250" w:lineRule="exact"/>
      <w:ind w:left="104"/>
      <w:outlineLvl w:val="0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spacing w:before="1"/>
      <w:ind w:left="853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Fontepargpadro"/>
    <w:uiPriority w:val="99"/>
    <w:unhideWhenUsed w:val="1"/>
    <w:rsid w:val="00FF2EB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F2E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tatistica.pt/conduzir-e-interpretar-uma-regressao-logistica-multinomial/" TargetMode="External"/><Relationship Id="rId8" Type="http://schemas.openxmlformats.org/officeDocument/2006/relationships/hyperlink" Target="http://leg.ufpr.br/~lucambio/GLM/GL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iuVc1t6YExtkSMuDy8AInHs1g==">AMUW2mUCVC3Xxzr798zPx0LAiy72kvNuvFLmEtEOPqd8zVSZ7AKgr8yUq9YIN1IvIvi92TbSH67Yh0GLs87WWLaluJfVohYSluZZTNCXhiL9vC80EmFvhqQ=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2022-06-15T18:13:00Z</dcterms:created>
  <dc:creator>Maria Teresa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2022-06-15T00:00:00Z</vt:filetime>
  </property>
</Properties>
</file>