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Revisão de topologia e SIRGAS2000</w:t>
      </w:r>
    </w:p>
    <w:p>
      <w:pPr>
        <w:pStyle w:val="Subtitle"/>
      </w:pPr>
      <w:r>
        <w:t xml:space="preserve">Caderno técnico de exercícios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01_revisao_de_topologia_e_sirgas2000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Desafio: Consistência topológica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Dados de entrada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Procedimento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Apoio técnico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Entrega exigida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Gabarito comentado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Testes adicionais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Critérios de revisão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Extensão do desafio</w:t>
        </w:r>
      </w:hyperlink>
    </w:p>
    <w:p>
      <w:pPr>
        <w:pStyle w:val="TOC1"/>
      </w:pPr>
      <w:hyperlink w:anchor="Sec_011">
        <w:r>
          <w:rPr>
            <w:color w:val="167380"/>
          </w:rPr>
          <w:t xml:space="preserve">11.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Pratique a identificação de inconsistências sem alterar dados por suposição.</w:t>
      </w:r>
    </w:p>
    <w:p>
      <w:pPr>
        <w:pStyle w:val="Heading1"/>
      </w:pPr>
      <w:bookmarkStart w:id="2" w:name="Sec_002"/>
      <w:r>
        <w:t xml:space="preserve">2. Desafio: Consistência topológica</w:t>
      </w:r>
      <w:bookmarkStart w:id="2" w:name="Sec_002"/>
      <w:bookmarkEnd w:id="2"/>
    </w:p>
    <w:p>
      <w:pPr>
        <w:pStyle w:val="Normal"/>
      </w:pPr>
      <w:r>
        <w:t xml:space="preserve">Os dados e resultados de referência são sintéticos para treinamento. O objetivo é verificar operações e raciocínio, não representar uma área ou fenômeno real.</w:t>
      </w:r>
    </w:p>
    <w:p>
      <w:pPr>
        <w:pStyle w:val="Heading1"/>
      </w:pPr>
      <w:bookmarkStart w:id="3" w:name="Sec_003"/>
      <w:r>
        <w:t xml:space="preserve">3. Dados de entrada</w:t>
      </w:r>
      <w:bookmarkStart w:id="3" w:name="Sec_003"/>
      <w:bookmarkEnd w:id="3"/>
    </w:p>
    <w:p>
      <w:pPr>
        <w:pStyle w:val="Code"/>
      </w:pPr>
      <w:r>
        <w:t xml:space="preserve">Dois quadrados em CRS métrico: A=(0,0)-(1000,1000), B=(900,0)-(1900,1000). Os números são locais para cálculo didático, não localização real.</w:t>
      </w:r>
    </w:p>
    <w:p>
      <w:pPr>
        <w:pStyle w:val="Heading1"/>
      </w:pPr>
      <w:bookmarkStart w:id="4" w:name="Sec_004"/>
      <w:r>
        <w:t xml:space="preserve">4. Procedimento</w:t>
      </w:r>
      <w:bookmarkStart w:id="4" w:name="Sec_004"/>
      <w:bookmarkEnd w:id="4"/>
    </w:p>
    <w:p>
      <w:pPr>
        <w:pStyle w:val="ListText"/>
      </w:pPr>
      <w:r>
        <w:t xml:space="preserve">1. Crie os dois polígonos e declare um CRS métrico apenas para o ensaio.</w:t>
      </w:r>
    </w:p>
    <w:p>
      <w:pPr>
        <w:pStyle w:val="ListText"/>
      </w:pPr>
      <w:r>
        <w:t xml:space="preserve">2. Verifique validade geométrica e sobreposição.</w:t>
      </w:r>
    </w:p>
    <w:p>
      <w:pPr>
        <w:pStyle w:val="ListText"/>
      </w:pPr>
      <w:r>
        <w:t xml:space="preserve">3. Calcule áreas individuais, interseção e união.</w:t>
      </w:r>
    </w:p>
    <w:p>
      <w:pPr>
        <w:pStyle w:val="ListText"/>
      </w:pPr>
      <w:r>
        <w:t xml:space="preserve">4. Proponha uma correção somente após definir a regra da cobertura.</w:t>
      </w:r>
    </w:p>
    <w:p>
      <w:pPr>
        <w:pStyle w:val="ListText"/>
      </w:pPr>
      <w:r>
        <w:t xml:space="preserve">5. Documente atribuir CRS versus reprojetar em dados reais.</w:t>
      </w:r>
    </w:p>
    <w:p>
      <w:pPr>
        <w:pStyle w:val="Heading1"/>
      </w:pPr>
      <w:bookmarkStart w:id="5" w:name="Sec_005"/>
      <w:r>
        <w:t xml:space="preserve">5. Apoio técnico</w:t>
      </w:r>
      <w:bookmarkStart w:id="5" w:name="Sec_005"/>
      <w:bookmarkEnd w:id="5"/>
    </w:p>
    <w:p>
      <w:pPr>
        <w:pStyle w:val="Code"/>
      </w:pPr>
      <w:r>
        <w:t xml:space="preserve">ST_Area(ST_Intersection(a.geom,b.geom))/10000.0; no QGIS use interseção seguida de área plana.</w:t>
      </w:r>
    </w:p>
    <w:p>
      <w:pPr>
        <w:pStyle w:val="Normal"/>
      </w:pPr>
      <w:r>
        <w:t xml:space="preserve">As expressões são orientações específicas da ferramenta indicada. Em arquivos de texto, blocos de código não são executados automaticamente. Registre software e versão e adapte nomes de campos à estrutura criada.</w:t>
      </w:r>
    </w:p>
    <w:p>
      <w:pPr>
        <w:pStyle w:val="Heading1"/>
      </w:pPr>
      <w:bookmarkStart w:id="6" w:name="Sec_006"/>
      <w:r>
        <w:t xml:space="preserve">6. Entrega exigida</w:t>
      </w:r>
      <w:bookmarkStart w:id="6" w:name="Sec_006"/>
      <w:bookmarkEnd w:id="6"/>
    </w:p>
    <w:p>
      <w:pPr>
        <w:pStyle w:val="ListText"/>
      </w:pPr>
      <w:r>
        <w:t xml:space="preserve">1. Uma tabela ou camada de entrada identificada, com unidade e CRS quando aplicável.</w:t>
      </w:r>
    </w:p>
    <w:p>
      <w:pPr>
        <w:pStyle w:val="ListText"/>
      </w:pPr>
      <w:r>
        <w:t xml:space="preserve">2. Registro das etapas, parâmetros e decisões de tratamento de erros.</w:t>
      </w:r>
    </w:p>
    <w:p>
      <w:pPr>
        <w:pStyle w:val="ListText"/>
      </w:pPr>
      <w:r>
        <w:t xml:space="preserve">3. Tabela de resultado e pelo menos uma evidência verificável.</w:t>
      </w:r>
    </w:p>
    <w:p>
      <w:pPr>
        <w:pStyle w:val="ListText"/>
      </w:pPr>
      <w:r>
        <w:t xml:space="preserve">4. Resposta que explique o significado do resultado e as limitações.</w:t>
      </w:r>
    </w:p>
    <w:p>
      <w:pPr>
        <w:pStyle w:val="ListText"/>
      </w:pPr>
      <w:r>
        <w:t xml:space="preserve">5. Revisão de contagem, valores ausentes e consistência dos vínculos.</w:t>
      </w:r>
    </w:p>
    <w:p>
      <w:pPr>
        <w:pStyle w:val="Heading1"/>
      </w:pPr>
      <w:bookmarkStart w:id="7" w:name="Sec_007"/>
      <w:r>
        <w:t xml:space="preserve">7. Gabarito comentado</w:t>
      </w:r>
      <w:bookmarkStart w:id="7" w:name="Sec_007"/>
      <w:bookmarkEnd w:id="7"/>
    </w:p>
    <w:p>
      <w:pPr>
        <w:pStyle w:val="Normal"/>
      </w:pPr>
      <w:r>
        <w:t xml:space="preserve">Cada polígono tem 100 ha; sobreposição=10 ha; união=190 ha. Ambos podem ser geometricamente válidos apesar da sobreposição.</w:t>
      </w:r>
    </w:p>
    <w:p>
      <w:pPr>
        <w:pStyle w:val="Heading1"/>
      </w:pPr>
      <w:bookmarkStart w:id="8" w:name="Sec_008"/>
      <w:r>
        <w:t xml:space="preserve">8. Testes adicionais</w:t>
      </w:r>
      <w:bookmarkStart w:id="8" w:name="Sec_008"/>
      <w:bookmarkEnd w:id="8"/>
    </w:p>
    <w:p>
      <w:pPr>
        <w:pStyle w:val="ListText"/>
      </w:pPr>
      <w:r>
        <w:t xml:space="preserve">• Execute com uma entrada vazia ou sem correspondência e descreva o comportamento.</w:t>
      </w:r>
    </w:p>
    <w:p>
      <w:pPr>
        <w:pStyle w:val="ListText"/>
      </w:pPr>
      <w:r>
        <w:t xml:space="preserve">• Verifique o efeito de valores ausentes e de registros duplicados.</w:t>
      </w:r>
    </w:p>
    <w:p>
      <w:pPr>
        <w:pStyle w:val="ListText"/>
      </w:pPr>
      <w:r>
        <w:t xml:space="preserve">• Em operações geométricas, compare unidades e método de medição.</w:t>
      </w:r>
    </w:p>
    <w:p>
      <w:pPr>
        <w:pStyle w:val="ListText"/>
      </w:pPr>
      <w:r>
        <w:t xml:space="preserve">• Se usar amostras para modelo, separe treino e avaliação antes do ajuste.</w:t>
      </w:r>
    </w:p>
    <w:p>
      <w:pPr>
        <w:pStyle w:val="ListText"/>
      </w:pPr>
      <w:r>
        <w:t xml:space="preserve">• Reabra a saída exportada para conferir que preserva valores e metadados.</w:t>
      </w:r>
    </w:p>
    <w:p>
      <w:pPr>
        <w:pStyle w:val="Heading1"/>
      </w:pPr>
      <w:bookmarkStart w:id="9" w:name="Sec_009"/>
      <w:r>
        <w:t xml:space="preserve">9. Critérios de revisão</w:t>
      </w:r>
      <w:bookmarkStart w:id="9" w:name="Sec_009"/>
      <w:bookmarkEnd w:id="9"/>
    </w:p>
    <w:p>
      <w:pPr>
        <w:pStyle w:val="Normal"/>
      </w:pPr>
      <w:r>
        <w:t xml:space="preserve">O resultado precisa coincidir com a referência quando há valor determinístico. Aceite diferenças de arredondamento justificadas, mantendo o cálculo original. Registre divergências de predicados e aproximações geométricas quando o software emprega modelos distintos. Um mapa visualmente plausível não substitui a conferência.</w:t>
      </w:r>
    </w:p>
    <w:p>
      <w:pPr>
        <w:pStyle w:val="Heading1"/>
      </w:pPr>
      <w:bookmarkStart w:id="10" w:name="Sec_010"/>
      <w:r>
        <w:t xml:space="preserve">10. Extensão do desafio</w:t>
      </w:r>
      <w:bookmarkStart w:id="10" w:name="Sec_010"/>
      <w:bookmarkEnd w:id="10"/>
    </w:p>
    <w:p>
      <w:pPr>
        <w:pStyle w:val="Normal"/>
      </w:pPr>
      <w:r>
        <w:t xml:space="preserve">Altere uma hipótese ou um parâmetro e explique o impacto. Escolha um caso em que o método deixa de ser adequado; proponha uma alternativa e o teste necessário para compará-la. Anexe a resposta ao seu portfólio como exercício demonstrativo.</w:t>
      </w:r>
    </w:p>
    <w:p>
      <w:pPr>
        <w:pStyle w:val="Heading1"/>
      </w:pPr>
      <w:bookmarkStart w:id="11" w:name="Sec_011"/>
      <w:r>
        <w:t xml:space="preserve">11. Conclusão, revisão e emissão</w:t>
      </w:r>
      <w:bookmarkStart w:id="11" w:name="Sec_011"/>
      <w:bookmarkEnd w:id="11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Revis&#227;o de topologia e SIRGAS2000

**DataGeo Academy &#8212; material t&#233;cnico | edi&#231;&#227;o 1.0 | 2026-10-01**

Pratique a identifica&#231;&#227;o de inconsist&#234;ncias sem alterar dados por suposi&#231;&#227;o.

## Desafio: Consist&#234;ncia topol&#243;gica

Os dados e resultados de refer&#234;ncia s&#227;o sint&#233;ticos para treinamento. O objetivo &#233;
verificar opera&#231;&#245;es e racioc&#237;nio, n&#227;o representar uma &#225;rea ou fen&#244;meno real.

## Dados de entrada

```text
Dois quadrados em CRS m&#233;trico: A=(0,0)-(1000,1000), B=(900,0)-(1900,1000). Os n&#250;meros s&#227;o locais para c&#225;lculo did&#225;tico, n&#227;o localiza&#231;&#227;o real.
```

## Procedimento

1. Crie os dois pol&#237;gonos e declare um CRS m&#233;trico apenas para o ensaio.
2. Verifique validade geom&#233;trica e sobreposi&#231;&#227;o.
3. Calcule &#225;reas individuais, interse&#231;&#227;o e uni&#227;o.
4. Proponha uma corre&#231;&#227;o somente ap&#243;s definir a regra da cobertura.
5. Documente atribuir CRS versus reprojetar em dados reais.

## Apoio t&#233;cnico

```text
ST_Area(ST_Intersection(a.geom,b.geom))/10000.0; no QGIS use interse&#231;&#227;o seguida de &#225;rea plana.
```

As express&#245;es s&#227;o orienta&#231;&#245;es espec&#237;ficas da ferramenta indicada. Em arquivos de
texto, blocos de c&#243;digo n&#227;o s&#227;o executados automaticamente. Registre software e
vers&#227;o e adapte nomes de campos &#224; estrutura criada.

## Entrega exigida

1. Uma tabela ou camada de entrada identificada, com unidade e CRS quando aplic&#225;vel.
2. Registro das etapas, par&#226;metros e decis&#245;es de tratamento de erros.
3. Tabela de resultado e pelo menos uma evid&#234;ncia verific&#225;vel.
4. Resposta que explique o significado do resultado e as limita&#231;&#245;es.
5. Revis&#227;o de contagem, valores ausentes e consist&#234;ncia dos v&#237;nculos.

## Gabarito comentado

Cada pol&#237;gono tem 100 ha; sobreposi&#231;&#227;o=10 ha; uni&#227;o=190 ha. Ambos podem ser geometricamente v&#225;lidos apesar da sobreposi&#231;&#227;o.

## Testes adicionais

- Execute com uma entrada vazia ou sem correspond&#234;ncia e descreva o comportamento.
- Verifique o efeito de valores ausentes e de registros duplicados.
- Em opera&#231;&#245;es geom&#233;tricas, compare unidades e m&#233;todo de medi&#231;&#227;o.
- Se usar amostras para modelo, separe treino e avalia&#231;&#227;o antes do ajuste.
- Reabra a sa&#237;da exportada para conferir que preserva valores e metadados.

## Crit&#233;rios de revis&#227;o

O resultado precisa coincidir com a refer&#234;ncia quando h&#225; valor determin&#237;stico.
Aceite diferen&#231;as de arredondamento justificadas, mantendo o c&#225;lculo original.
Registre diverg&#234;ncias de predicados e aproxima&#231;&#245;es geom&#233;tricas quando o software
emprega modelos distintos. Um mapa visualmente plaus&#237;vel n&#227;o substitui a confer&#234;ncia.

## Extens&#227;o do desafio

Altere uma hip&#243;tese ou um par&#226;metro e explique o impacto. Escolha um caso em que
o m&#233;todo deixa de ser adequado; proponha uma alternativa e o teste necess&#225;rio
para compar&#225;-la. Anexe a resposta ao seu portf&#243;lio como exerc&#237;cio demonstrativo.

</file>