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txt" ContentType="text/plain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BIBLIOTECA CORPORATIVA · INTELIGÊNCIA GEOGRÁFICA</w:t>
      </w:r>
    </w:p>
    <w:p>
      <w:pPr>
        <w:pStyle w:val="Title"/>
      </w:pPr>
      <w:r>
        <w:t xml:space="preserve">Análise de proximidade e cobertura</w:t>
      </w:r>
    </w:p>
    <w:p>
      <w:pPr>
        <w:pStyle w:val="Subtitle"/>
      </w:pPr>
      <w:r>
        <w:t xml:space="preserve">Caderno técnico de exercícios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CONTROLE DOCUMENTAL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Identificação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07_analise_de_proximidade_e_cobertura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1.0 · Material demonstrativo / formativo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Elaboração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Classificação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Uso educacional e desenvolvimento profissional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Revisão do usuário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[Responsável / data / versão de aplicação]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Heading2"/>
      </w:pPr>
      <w:r>
        <w:t xml:space="preserve">FINALIDADE E USO</w:t>
      </w:r>
    </w:p>
    <w:p>
      <w:pPr>
        <w:pStyle w:val="Note"/>
      </w:pPr>
      <w:r>
        <w:t xml:space="preserve">Documento técnico editável para orientação e prática. Os exemplos são didáticos e não constituem laudo assinado, avaliação de local real ou resultado de cliente. Adapte dados, escopo e critérios antes de usar em um serviço.</w:t>
      </w:r>
    </w:p>
    <w:p>
      <w:pPr>
        <w:pStyle w:val="Normal"/>
      </w:pPr>
      <w:r>
        <w:t xml:space="preserve">Este material reúne orientação de método, desenvolvimento, revisão e evidências para apoiar entregas rastreáveis.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Identificação e aplicação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Desafio: Proximidade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Dados de entrada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Procedimento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Apoio técnico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Entrega exigida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Gabarito comentado</w:t>
        </w:r>
      </w:hyperlink>
    </w:p>
    <w:p>
      <w:pPr>
        <w:pStyle w:val="TOC1"/>
      </w:pPr>
      <w:hyperlink w:anchor="Sec_008">
        <w:r>
          <w:rPr>
            <w:color w:val="167380"/>
          </w:rPr>
          <w:t xml:space="preserve">8. Testes adicionais</w:t>
        </w:r>
      </w:hyperlink>
    </w:p>
    <w:p>
      <w:pPr>
        <w:pStyle w:val="TOC1"/>
      </w:pPr>
      <w:hyperlink w:anchor="Sec_009">
        <w:r>
          <w:rPr>
            <w:color w:val="167380"/>
          </w:rPr>
          <w:t xml:space="preserve">9. Critérios de revisão</w:t>
        </w:r>
      </w:hyperlink>
    </w:p>
    <w:p>
      <w:pPr>
        <w:pStyle w:val="TOC1"/>
      </w:pPr>
      <w:hyperlink w:anchor="Sec_010">
        <w:r>
          <w:rPr>
            <w:color w:val="167380"/>
          </w:rPr>
          <w:t xml:space="preserve">10. Extensão do desafio</w:t>
        </w:r>
      </w:hyperlink>
    </w:p>
    <w:p>
      <w:pPr>
        <w:pStyle w:val="TOC1"/>
      </w:pPr>
      <w:hyperlink w:anchor="Sec_011">
        <w:r>
          <w:rPr>
            <w:color w:val="167380"/>
          </w:rPr>
          <w:t xml:space="preserve">11. Conclusão, revisão e emissão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Identificação e aplicação</w:t>
      </w:r>
      <w:bookmarkStart w:id="1" w:name="Sec_001"/>
      <w:bookmarkEnd w:id="1"/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CAMPO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PREENCHIMENTO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Projeto / atividade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[Definir contexto e objetivo]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Dados / origem / período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[Identificar fontes, versões e autorização de uso]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Ferramentas / parâmetros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[Registrar ambiente, versões e escolhas]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Critérios de qualidade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[Definir resultados esperados e tolerâncias]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[Distinguir dados sintéticos e evidências reais]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Aplique o conteúdo ao problema definido, preserve fontes e registre o método. Referência espacial, unidades, seleção de dados e critérios de avaliação devem ser conhecidos antes da interpretação dos resultados.</w:t>
      </w:r>
    </w:p>
    <w:p>
      <w:pPr>
        <w:pStyle w:val="Normal"/>
      </w:pPr>
      <w:r>
        <w:t xml:space="preserve">Compare alternativas de atendimento com critérios espaciais explícitos.</w:t>
      </w:r>
    </w:p>
    <w:p>
      <w:pPr>
        <w:pStyle w:val="Heading1"/>
      </w:pPr>
      <w:bookmarkStart w:id="2" w:name="Sec_002"/>
      <w:r>
        <w:t xml:space="preserve">2. Desafio: Proximidade</w:t>
      </w:r>
      <w:bookmarkStart w:id="2" w:name="Sec_002"/>
      <w:bookmarkEnd w:id="2"/>
    </w:p>
    <w:p>
      <w:pPr>
        <w:pStyle w:val="Normal"/>
      </w:pPr>
      <w:r>
        <w:t xml:space="preserve">Os dados e resultados de referência são sintéticos para treinamento. O objetivo é verificar operações e raciocínio, não representar uma área ou fenômeno real.</w:t>
      </w:r>
    </w:p>
    <w:p>
      <w:pPr>
        <w:pStyle w:val="Heading1"/>
      </w:pPr>
      <w:bookmarkStart w:id="3" w:name="Sec_003"/>
      <w:r>
        <w:t xml:space="preserve">3. Dados de entrada</w:t>
      </w:r>
      <w:bookmarkStart w:id="3" w:name="Sec_003"/>
      <w:bookmarkEnd w:id="3"/>
    </w:p>
    <w:p>
      <w:pPr>
        <w:pStyle w:val="Code"/>
      </w:pPr>
      <w:r>
        <w:t xml:space="preserve">Dois pontos em metros: P=(0,0), Q=(300,400); raio de cobertura=500 m.</w:t>
      </w:r>
    </w:p>
    <w:p>
      <w:pPr>
        <w:pStyle w:val="Heading1"/>
      </w:pPr>
      <w:bookmarkStart w:id="4" w:name="Sec_004"/>
      <w:r>
        <w:t xml:space="preserve">4. Procedimento</w:t>
      </w:r>
      <w:bookmarkStart w:id="4" w:name="Sec_004"/>
      <w:bookmarkEnd w:id="4"/>
    </w:p>
    <w:p>
      <w:pPr>
        <w:pStyle w:val="ListText"/>
      </w:pPr>
      <w:r>
        <w:t xml:space="preserve">1. Calcule distância euclidiana.</w:t>
      </w:r>
    </w:p>
    <w:p>
      <w:pPr>
        <w:pStyle w:val="ListText"/>
      </w:pPr>
      <w:r>
        <w:t xml:space="preserve">2. Construa buffer circular em CRS métrico.</w:t>
      </w:r>
    </w:p>
    <w:p>
      <w:pPr>
        <w:pStyle w:val="ListText"/>
      </w:pPr>
      <w:r>
        <w:t xml:space="preserve">3. Compare predicados estrito e inclusivo.</w:t>
      </w:r>
    </w:p>
    <w:p>
      <w:pPr>
        <w:pStyle w:val="ListText"/>
      </w:pPr>
      <w:r>
        <w:t xml:space="preserve">4. Repita com ponto a 501 m.</w:t>
      </w:r>
    </w:p>
    <w:p>
      <w:pPr>
        <w:pStyle w:val="ListText"/>
      </w:pPr>
      <w:r>
        <w:t xml:space="preserve">5. Explique diferença entre proximidade em linha reta e rede.</w:t>
      </w:r>
    </w:p>
    <w:p>
      <w:pPr>
        <w:pStyle w:val="Heading1"/>
      </w:pPr>
      <w:bookmarkStart w:id="5" w:name="Sec_005"/>
      <w:r>
        <w:t xml:space="preserve">5. Apoio técnico</w:t>
      </w:r>
      <w:bookmarkStart w:id="5" w:name="Sec_005"/>
      <w:bookmarkEnd w:id="5"/>
    </w:p>
    <w:p>
      <w:pPr>
        <w:pStyle w:val="Code"/>
      </w:pPr>
      <w:r>
        <w:t xml:space="preserve">distancia=((x2-x1)**2+(y2-y1)**2)**0.5</w:t>
      </w:r>
    </w:p>
    <w:p>
      <w:pPr>
        <w:pStyle w:val="Code"/>
      </w:pPr>
      <w:r>
        <w:t xml:space="preserve">Em PostGIS, ST_DWithin(geom_p,geom_q,500) usa distância inclusiva em unidades do CRS.</w:t>
      </w:r>
    </w:p>
    <w:p>
      <w:pPr>
        <w:pStyle w:val="Normal"/>
      </w:pPr>
      <w:r>
        <w:t xml:space="preserve">As expressões são orientações específicas da ferramenta indicada. Em arquivos de texto, blocos de código não são executados automaticamente. Registre software e versão e adapte nomes de campos à estrutura criada.</w:t>
      </w:r>
    </w:p>
    <w:p>
      <w:pPr>
        <w:pStyle w:val="Heading1"/>
      </w:pPr>
      <w:bookmarkStart w:id="6" w:name="Sec_006"/>
      <w:r>
        <w:t xml:space="preserve">6. Entrega exigida</w:t>
      </w:r>
      <w:bookmarkStart w:id="6" w:name="Sec_006"/>
      <w:bookmarkEnd w:id="6"/>
    </w:p>
    <w:p>
      <w:pPr>
        <w:pStyle w:val="ListText"/>
      </w:pPr>
      <w:r>
        <w:t xml:space="preserve">1. Uma tabela ou camada de entrada identificada, com unidade e CRS quando aplicável.</w:t>
      </w:r>
    </w:p>
    <w:p>
      <w:pPr>
        <w:pStyle w:val="ListText"/>
      </w:pPr>
      <w:r>
        <w:t xml:space="preserve">2. Registro das etapas, parâmetros e decisões de tratamento de erros.</w:t>
      </w:r>
    </w:p>
    <w:p>
      <w:pPr>
        <w:pStyle w:val="ListText"/>
      </w:pPr>
      <w:r>
        <w:t xml:space="preserve">3. Tabela de resultado e pelo menos uma evidência verificável.</w:t>
      </w:r>
    </w:p>
    <w:p>
      <w:pPr>
        <w:pStyle w:val="ListText"/>
      </w:pPr>
      <w:r>
        <w:t xml:space="preserve">4. Resposta que explique o significado do resultado e as limitações.</w:t>
      </w:r>
    </w:p>
    <w:p>
      <w:pPr>
        <w:pStyle w:val="ListText"/>
      </w:pPr>
      <w:r>
        <w:t xml:space="preserve">5. Revisão de contagem, valores ausentes e consistência dos vínculos.</w:t>
      </w:r>
    </w:p>
    <w:p>
      <w:pPr>
        <w:pStyle w:val="Heading1"/>
      </w:pPr>
      <w:bookmarkStart w:id="7" w:name="Sec_007"/>
      <w:r>
        <w:t xml:space="preserve">7. Gabarito comentado</w:t>
      </w:r>
      <w:bookmarkStart w:id="7" w:name="Sec_007"/>
      <w:bookmarkEnd w:id="7"/>
    </w:p>
    <w:p>
      <w:pPr>
        <w:pStyle w:val="Normal"/>
      </w:pPr>
      <w:r>
        <w:t xml:space="preserve">Distância P-Q=500 m. Em cálculo analítico Q está no limite; aproximação poligonal do buffer pode alterar relação. Use distância&lt;=500 para o teste inclusivo.</w:t>
      </w:r>
    </w:p>
    <w:p>
      <w:pPr>
        <w:pStyle w:val="Heading1"/>
      </w:pPr>
      <w:bookmarkStart w:id="8" w:name="Sec_008"/>
      <w:r>
        <w:t xml:space="preserve">8. Testes adicionais</w:t>
      </w:r>
      <w:bookmarkStart w:id="8" w:name="Sec_008"/>
      <w:bookmarkEnd w:id="8"/>
    </w:p>
    <w:p>
      <w:pPr>
        <w:pStyle w:val="ListText"/>
      </w:pPr>
      <w:r>
        <w:t xml:space="preserve">• Execute com uma entrada vazia ou sem correspondência e descreva o comportamento.</w:t>
      </w:r>
    </w:p>
    <w:p>
      <w:pPr>
        <w:pStyle w:val="ListText"/>
      </w:pPr>
      <w:r>
        <w:t xml:space="preserve">• Verifique o efeito de valores ausentes e de registros duplicados.</w:t>
      </w:r>
    </w:p>
    <w:p>
      <w:pPr>
        <w:pStyle w:val="ListText"/>
      </w:pPr>
      <w:r>
        <w:t xml:space="preserve">• Em operações geométricas, compare unidades e método de medição.</w:t>
      </w:r>
    </w:p>
    <w:p>
      <w:pPr>
        <w:pStyle w:val="ListText"/>
      </w:pPr>
      <w:r>
        <w:t xml:space="preserve">• Se usar amostras para modelo, separe treino e avaliação antes do ajuste.</w:t>
      </w:r>
    </w:p>
    <w:p>
      <w:pPr>
        <w:pStyle w:val="ListText"/>
      </w:pPr>
      <w:r>
        <w:t xml:space="preserve">• Reabra a saída exportada para conferir que preserva valores e metadados.</w:t>
      </w:r>
    </w:p>
    <w:p>
      <w:pPr>
        <w:pStyle w:val="Heading1"/>
      </w:pPr>
      <w:bookmarkStart w:id="9" w:name="Sec_009"/>
      <w:r>
        <w:t xml:space="preserve">9. Critérios de revisão</w:t>
      </w:r>
      <w:bookmarkStart w:id="9" w:name="Sec_009"/>
      <w:bookmarkEnd w:id="9"/>
    </w:p>
    <w:p>
      <w:pPr>
        <w:pStyle w:val="Normal"/>
      </w:pPr>
      <w:r>
        <w:t xml:space="preserve">O resultado precisa coincidir com a referência quando há valor determinístico. Aceite diferenças de arredondamento justificadas, mantendo o cálculo original. Registre divergências de predicados e aproximações geométricas quando o software emprega modelos distintos. Um mapa visualmente plausível não substitui a conferência.</w:t>
      </w:r>
    </w:p>
    <w:p>
      <w:pPr>
        <w:pStyle w:val="Heading1"/>
      </w:pPr>
      <w:bookmarkStart w:id="10" w:name="Sec_010"/>
      <w:r>
        <w:t xml:space="preserve">10. Extensão do desafio</w:t>
      </w:r>
      <w:bookmarkStart w:id="10" w:name="Sec_010"/>
      <w:bookmarkEnd w:id="10"/>
    </w:p>
    <w:p>
      <w:pPr>
        <w:pStyle w:val="Normal"/>
      </w:pPr>
      <w:r>
        <w:t xml:space="preserve">Altere uma hipótese ou um parâmetro e explique o impacto. Escolha um caso em que o método deixa de ser adequado; proponha uma alternativa e o teste necessário para compará-la. Anexe a resposta ao seu portfólio como exercício demonstrativo.</w:t>
      </w:r>
    </w:p>
    <w:p>
      <w:pPr>
        <w:pStyle w:val="Heading1"/>
      </w:pPr>
      <w:bookmarkStart w:id="11" w:name="Sec_011"/>
      <w:r>
        <w:t xml:space="preserve">11. Conclusão, revisão e emissão</w:t>
      </w:r>
      <w:bookmarkStart w:id="11" w:name="Sec_011"/>
      <w:bookmarkEnd w:id="11"/>
    </w:p>
    <w:p>
      <w:pPr>
        <w:pStyle w:val="Normal"/>
      </w:pPr>
      <w:r>
        <w:t xml:space="preserve">Documente o que foi executado, o resultado observado e as limitações. Emita conclusão apenas proporcional às evidências disponíveis. O conteúdo deste guia não comprova por si só precisão cartográfica, conformidade ambiental ou competência profissional.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ITEM DE REVISÃO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REGISTRO / DECISÃO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Escopo e dados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[Verificados / pendências]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Método e resultados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[Evidências / limitações]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Exceções e ajustes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[Justificativa / aprovação]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Elaboração / revisão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[Nomes / função / data]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Situação da emissão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[Rascunho / revisado / aprovado para a finalidade definida]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Quando houver utilização profissional, a revisão, assinatura e responsabilidade são dos profissionais habilitados para o serviço. Não atribua assinatura ou aprovação a esta edição de referência.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Material técnico / demonstrativo  • 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 |  Biblioteca corporativa · Edição 1.0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48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28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4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  <w:style w:type="paragraph" w:styleId="Code">
    <w:name w:val="Code"/>
    <w:basedOn w:val="Normal"/>
    <w:pPr>
      <w:spacing w:after="90"/>
      <w:shd w:fill="EFF4F8"/>
    </w:pPr>
    <w:rPr>
      <w:rFonts w:ascii="Consolas" w:hAnsi="Consolas"/>
      <w:sz w:val="17"/>
    </w:rPr>
  </w:style>
  <w:style w:type="paragraph" w:styleId="ListText">
    <w:name w:val="ListText"/>
    <w:basedOn w:val="Normal"/>
    <w:pPr>
      <w:spacing w:after="90"/>
    </w:pPr>
    <w:rPr>
      <w:rFonts w:ascii="Calibri" w:hAnsi="Calibri"/>
      <w:sz w:val="20"/>
    </w:rPr>
  </w:style>
  <w:style w:type="paragraph" w:styleId="TOC1">
    <w:name w:val="TOC1"/>
    <w:basedOn w:val="Normal"/>
    <w:pPr>
      <w:spacing w:after="90"/>
    </w:pPr>
    <w:rPr>
      <w:rFonts w:ascii="Calibri" w:hAnsi="Calibri"/>
      <w:sz w:val="21"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/Relationships>
</file>

<file path=datageo/fonte.txt># An&#225;lise de proximidade e cobertura

**DataGeo Academy &#8212; material t&#233;cnico | edi&#231;&#227;o 1.0 | 2026-10-01**

Compare alternativas de atendimento com crit&#233;rios espaciais expl&#237;citos.

## Desafio: Proximidade

Os dados e resultados de refer&#234;ncia s&#227;o sint&#233;ticos para treinamento. O objetivo &#233;
verificar opera&#231;&#245;es e racioc&#237;nio, n&#227;o representar uma &#225;rea ou fen&#244;meno real.

## Dados de entrada

```text
Dois pontos em metros: P=(0,0), Q=(300,400); raio de cobertura=500 m.
```

## Procedimento

1. Calcule dist&#226;ncia euclidiana.
2. Construa buffer circular em CRS m&#233;trico.
3. Compare predicados estrito e inclusivo.
4. Repita com ponto a 501 m.
5. Explique diferen&#231;a entre proximidade em linha reta e rede.

## Apoio t&#233;cnico

```text
distancia=((x2-x1)**2+(y2-y1)**2)**0.5
Em PostGIS, ST_DWithin(geom_p,geom_q,500) usa dist&#226;ncia inclusiva em unidades do CRS.
```

As express&#245;es s&#227;o orienta&#231;&#245;es espec&#237;ficas da ferramenta indicada. Em arquivos de
texto, blocos de c&#243;digo n&#227;o s&#227;o executados automaticamente. Registre software e
vers&#227;o e adapte nomes de campos &#224; estrutura criada.

## Entrega exigida

1. Uma tabela ou camada de entrada identificada, com unidade e CRS quando aplic&#225;vel.
2. Registro das etapas, par&#226;metros e decis&#245;es de tratamento de erros.
3. Tabela de resultado e pelo menos uma evid&#234;ncia verific&#225;vel.
4. Resposta que explique o significado do resultado e as limita&#231;&#245;es.
5. Revis&#227;o de contagem, valores ausentes e consist&#234;ncia dos v&#237;nculos.

## Gabarito comentado

Dist&#226;ncia P-Q=500 m. Em c&#225;lculo anal&#237;tico Q est&#225; no limite; aproxima&#231;&#227;o poligonal do buffer pode alterar rela&#231;&#227;o. Use dist&#226;ncia<=500 para o teste inclusivo.

## Testes adicionais

- Execute com uma entrada vazia ou sem correspond&#234;ncia e descreva o comportamento.
- Verifique o efeito de valores ausentes e de registros duplicados.
- Em opera&#231;&#245;es geom&#233;tricas, compare unidades e m&#233;todo de medi&#231;&#227;o.
- Se usar amostras para modelo, separe treino e avalia&#231;&#227;o antes do ajuste.
- Reabra a sa&#237;da exportada para conferir que preserva valores e metadados.

## Crit&#233;rios de revis&#227;o

O resultado precisa coincidir com a refer&#234;ncia quando h&#225; valor determin&#237;stico.
Aceite diferen&#231;as de arredondamento justificadas, mantendo o c&#225;lculo original.
Registre diverg&#234;ncias de predicados e aproxima&#231;&#245;es geom&#233;tricas quando o software
emprega modelos distintos. Um mapa visualmente plaus&#237;vel n&#227;o substitui a confer&#234;ncia.

## Extens&#227;o do desafio

Altere uma hip&#243;tese ou um par&#226;metro e explique o impacto. Escolha um caso em que
o m&#233;todo deixa de ser adequado; proponha uma alternativa e o teste necess&#225;rio
para compar&#225;-la. Anexe a resposta ao seu portf&#243;lio como exerc&#237;cio demonstrativo.

</file>