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Sensoriamento remoto e sensores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03_sensoriamento_remoto_e_sensores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Conecte o vocabulário de aquisição de imagens à interpretação dos produtos.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Resolução espacial</w:t>
      </w:r>
      <w:bookmarkStart w:id="1001" w:name="Sec_1001"/>
      <w:bookmarkEnd w:id="1001"/>
    </w:p>
    <w:p>
      <w:pPr>
        <w:pStyle w:val="Normal"/>
      </w:pPr>
      <w:r>
        <w:t xml:space="preserve">Dimensão do elemento amostrado; tamanho de pixel não garante precisão da posição.</w:t>
      </w:r>
    </w:p>
    <w:p>
      <w:pPr>
        <w:pStyle w:val="Heading2"/>
      </w:pPr>
      <w:bookmarkStart w:id="1002" w:name="Sec_1002"/>
      <w:r>
        <w:t xml:space="preserve">Resolução espectral</w:t>
      </w:r>
      <w:bookmarkStart w:id="1002" w:name="Sec_1002"/>
      <w:bookmarkEnd w:id="1002"/>
    </w:p>
    <w:p>
      <w:pPr>
        <w:pStyle w:val="Normal"/>
      </w:pPr>
      <w:r>
        <w:t xml:space="preserve">Detalhe de discriminação de faixas do espectro captadas pelo sensor.</w:t>
      </w:r>
    </w:p>
    <w:p>
      <w:pPr>
        <w:pStyle w:val="Heading2"/>
      </w:pPr>
      <w:bookmarkStart w:id="1003" w:name="Sec_1003"/>
      <w:r>
        <w:t xml:space="preserve">Resolução temporal</w:t>
      </w:r>
      <w:bookmarkStart w:id="1003" w:name="Sec_1003"/>
      <w:bookmarkEnd w:id="1003"/>
    </w:p>
    <w:p>
      <w:pPr>
        <w:pStyle w:val="Normal"/>
      </w:pPr>
      <w:r>
        <w:t xml:space="preserve">Frequência de observação; revisita nominal não assegura cenas sem nuvens.</w:t>
      </w:r>
    </w:p>
    <w:p>
      <w:pPr>
        <w:pStyle w:val="Heading2"/>
      </w:pPr>
      <w:bookmarkStart w:id="1004" w:name="Sec_1004"/>
      <w:r>
        <w:t xml:space="preserve">Resolução radiométrica</w:t>
      </w:r>
      <w:bookmarkStart w:id="1004" w:name="Sec_1004"/>
      <w:bookmarkEnd w:id="1004"/>
    </w:p>
    <w:p>
      <w:pPr>
        <w:pStyle w:val="Normal"/>
      </w:pPr>
      <w:r>
        <w:t xml:space="preserve">Capacidade de quantizar sinal; número de bits não determina sozinho qualidade da informação.</w:t>
      </w:r>
    </w:p>
    <w:p>
      <w:pPr>
        <w:pStyle w:val="Heading2"/>
      </w:pPr>
      <w:bookmarkStart w:id="1005" w:name="Sec_1005"/>
      <w:r>
        <w:t xml:space="preserve">Reflectância</w:t>
      </w:r>
      <w:bookmarkStart w:id="1005" w:name="Sec_1005"/>
      <w:bookmarkEnd w:id="1005"/>
    </w:p>
    <w:p>
      <w:pPr>
        <w:pStyle w:val="Normal"/>
      </w:pPr>
      <w:r>
        <w:t xml:space="preserve">Razão relacionada à energia refletida; compare produtos calibrados e processamento compatível.</w:t>
      </w:r>
    </w:p>
    <w:p>
      <w:pPr>
        <w:pStyle w:val="Heading2"/>
      </w:pPr>
      <w:bookmarkStart w:id="1006" w:name="Sec_1006"/>
      <w:r>
        <w:t xml:space="preserve">Radiância</w:t>
      </w:r>
      <w:bookmarkStart w:id="1006" w:name="Sec_1006"/>
      <w:bookmarkEnd w:id="1006"/>
    </w:p>
    <w:p>
      <w:pPr>
        <w:pStyle w:val="Normal"/>
      </w:pPr>
      <w:r>
        <w:t xml:space="preserve">Energia radiativa medida por unidade de área, ângulo sólido e faixa; difere de reflectância.</w:t>
      </w:r>
    </w:p>
    <w:p>
      <w:pPr>
        <w:pStyle w:val="Heading2"/>
      </w:pPr>
      <w:bookmarkStart w:id="1007" w:name="Sec_1007"/>
      <w:r>
        <w:t xml:space="preserve">NDVI</w:t>
      </w:r>
      <w:bookmarkStart w:id="1007" w:name="Sec_1007"/>
      <w:bookmarkEnd w:id="1007"/>
    </w:p>
    <w:p>
      <w:pPr>
        <w:pStyle w:val="Normal"/>
      </w:pPr>
      <w:r>
        <w:t xml:space="preserve">Índice (NIR-vermelho)/(NIR+vermelho); exige bandas corretas e tratamento de nodata e denominador zero.</w:t>
      </w:r>
    </w:p>
    <w:p>
      <w:pPr>
        <w:pStyle w:val="Heading2"/>
      </w:pPr>
      <w:bookmarkStart w:id="1008" w:name="Sec_1008"/>
      <w:r>
        <w:t xml:space="preserve">Máscara de nuvem</w:t>
      </w:r>
      <w:bookmarkStart w:id="1008" w:name="Sec_1008"/>
      <w:bookmarkEnd w:id="1008"/>
    </w:p>
    <w:p>
      <w:pPr>
        <w:pStyle w:val="Normal"/>
      </w:pPr>
      <w:r>
        <w:t xml:space="preserve">Identificação de pixels não utilizáveis por cobertura atmosférica; revise critérios e sombras.</w:t>
      </w:r>
    </w:p>
    <w:p>
      <w:pPr>
        <w:pStyle w:val="Heading2"/>
      </w:pPr>
      <w:bookmarkStart w:id="1009" w:name="Sec_1009"/>
      <w:r>
        <w:t xml:space="preserve">Classificação supervisionada</w:t>
      </w:r>
      <w:bookmarkStart w:id="1009" w:name="Sec_1009"/>
      <w:bookmarkEnd w:id="1009"/>
    </w:p>
    <w:p>
      <w:pPr>
        <w:pStyle w:val="Normal"/>
      </w:pPr>
      <w:r>
        <w:t xml:space="preserve">Atribuição de classes com exemplos rotulados; qualidade depende das amostras e avaliação independente.</w:t>
      </w:r>
    </w:p>
    <w:p>
      <w:pPr>
        <w:pStyle w:val="Heading2"/>
      </w:pPr>
      <w:bookmarkStart w:id="1010" w:name="Sec_1010"/>
      <w:r>
        <w:t xml:space="preserve">Matriz de confusão</w:t>
      </w:r>
      <w:bookmarkStart w:id="1010" w:name="Sec_1010"/>
      <w:bookmarkEnd w:id="1010"/>
    </w:p>
    <w:p>
      <w:pPr>
        <w:pStyle w:val="Normal"/>
      </w:pPr>
      <w:r>
        <w:t xml:space="preserve">Contagem de referências versus previsões por classe, usada para calcular métricas.</w:t>
      </w:r>
    </w:p>
    <w:p>
      <w:pPr>
        <w:pStyle w:val="Heading2"/>
      </w:pPr>
      <w:bookmarkStart w:id="1011" w:name="Sec_1011"/>
      <w:r>
        <w:t xml:space="preserve">Nodata</w:t>
      </w:r>
      <w:bookmarkStart w:id="1011" w:name="Sec_1011"/>
      <w:bookmarkEnd w:id="1011"/>
    </w:p>
    <w:p>
      <w:pPr>
        <w:pStyle w:val="Normal"/>
      </w:pPr>
      <w:r>
        <w:t xml:space="preserve">Código ou máscara de ausência de observação; não deve ser interpretado como zero físico.</w:t>
      </w:r>
    </w:p>
    <w:p>
      <w:pPr>
        <w:pStyle w:val="Heading2"/>
      </w:pPr>
      <w:bookmarkStart w:id="1012" w:name="Sec_1012"/>
      <w:r>
        <w:t xml:space="preserve">Composição de bandas</w:t>
      </w:r>
      <w:bookmarkStart w:id="1012" w:name="Sec_1012"/>
      <w:bookmarkEnd w:id="1012"/>
    </w:p>
    <w:p>
      <w:pPr>
        <w:pStyle w:val="Normal"/>
      </w:pPr>
      <w:r>
        <w:t xml:space="preserve">Representação conjunta de bandas em canais de cor; cores falsas não indicam valores naturais.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Sensoriamento remoto e sensores

**DataGeo Academy &#8212; material t&#233;cnico | edi&#231;&#227;o 1.0 | 2026-10-01**

Conecte o vocabul&#225;rio de aquisi&#231;&#227;o de imagens &#224; interpreta&#231;&#227;o dos produtos.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Resolu&#231;&#227;o espacial

Dimens&#227;o do elemento amostrado; tamanho de pixel n&#227;o garante precis&#227;o da posi&#231;&#227;o.

### Resolu&#231;&#227;o espectral

Detalhe de discrimina&#231;&#227;o de faixas do espectro captadas pelo sensor.

### Resolu&#231;&#227;o temporal

Frequ&#234;ncia de observa&#231;&#227;o; revisita nominal n&#227;o assegura cenas sem nuvens.

### Resolu&#231;&#227;o radiom&#233;trica

Capacidade de quantizar sinal; n&#250;mero de bits n&#227;o determina sozinho qualidade da informa&#231;&#227;o.

### Reflect&#226;ncia

Raz&#227;o relacionada &#224; energia refletida; compare produtos calibrados e processamento compat&#237;vel.

### Radi&#226;ncia

Energia radiativa medida por unidade de &#225;rea, &#226;ngulo s&#243;lido e faixa; difere de reflect&#226;ncia.

### NDVI

&#205;ndice (NIR-vermelho)/(NIR+vermelho); exige bandas corretas e tratamento de nodata e denominador zero.

### M&#225;scara de nuvem

Identifica&#231;&#227;o de pixels n&#227;o utiliz&#225;veis por cobertura atmosf&#233;rica; revise crit&#233;rios e sombras.

### Classifica&#231;&#227;o supervisionada

Atribui&#231;&#227;o de classes com exemplos rotulados; qualidade depende das amostras e avalia&#231;&#227;o independente.

### Matriz de confus&#227;o

Contagem de refer&#234;ncias versus previs&#245;es por classe, usada para calcular m&#233;tricas.

### Nodata

C&#243;digo ou m&#225;scara de aus&#234;ncia de observa&#231;&#227;o; n&#227;o deve ser interpretado como zero f&#237;sico.

### Composi&#231;&#227;o de bandas

Representa&#231;&#227;o conjunta de bandas em canais de cor; cores falsas n&#227;o indicam valores naturais.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