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SQL, PostGIS e bancos espaciais</w:t>
      </w:r>
    </w:p>
    <w:p>
      <w:pPr>
        <w:pStyle w:val="Subtitle"/>
      </w:pPr>
      <w:r>
        <w:t xml:space="preserve">Referência técnica de conceitos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05_sql_postgis_e_bancos_espaciais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Como consultar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Conceitos e aplicação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Uso em uma análise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Revisão rápida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Revise conceitos essenciais para modelar dados e conversar sobre consultas.</w:t>
      </w:r>
    </w:p>
    <w:p>
      <w:pPr>
        <w:pStyle w:val="Heading1"/>
      </w:pPr>
      <w:bookmarkStart w:id="2" w:name="Sec_002"/>
      <w:r>
        <w:t xml:space="preserve">2. Como consultar</w:t>
      </w:r>
      <w:bookmarkStart w:id="2" w:name="Sec_002"/>
      <w:bookmarkEnd w:id="2"/>
    </w:p>
    <w:p>
      <w:pPr>
        <w:pStyle w:val="Normal"/>
      </w:pPr>
      <w:r>
        <w:t xml:space="preserve">Este glossário reúne doze conceitos e seus cuidados operacionais. As definições são referências introdutórias para leitura e comunicação; consulte a documentação da ferramenta e a metodologia do projeto para uma implementação específica.</w:t>
      </w:r>
    </w:p>
    <w:p>
      <w:pPr>
        <w:pStyle w:val="Heading1"/>
      </w:pPr>
      <w:bookmarkStart w:id="3" w:name="Sec_003"/>
      <w:r>
        <w:t xml:space="preserve">3. Conceitos e aplicação</w:t>
      </w:r>
      <w:bookmarkStart w:id="3" w:name="Sec_003"/>
      <w:bookmarkEnd w:id="3"/>
    </w:p>
    <w:p>
      <w:pPr>
        <w:pStyle w:val="Heading2"/>
      </w:pPr>
      <w:bookmarkStart w:id="1001" w:name="Sec_1001"/>
      <w:r>
        <w:t xml:space="preserve">Chave primária</w:t>
      </w:r>
      <w:bookmarkStart w:id="1001" w:name="Sec_1001"/>
      <w:bookmarkEnd w:id="1001"/>
    </w:p>
    <w:p>
      <w:pPr>
        <w:pStyle w:val="Normal"/>
      </w:pPr>
      <w:r>
        <w:t xml:space="preserve">Identificador único não nulo de um registro; não confundir com posição atual na tabela.</w:t>
      </w:r>
    </w:p>
    <w:p>
      <w:pPr>
        <w:pStyle w:val="Heading2"/>
      </w:pPr>
      <w:bookmarkStart w:id="1002" w:name="Sec_1002"/>
      <w:r>
        <w:t xml:space="preserve">Chave estrangeira</w:t>
      </w:r>
      <w:bookmarkStart w:id="1002" w:name="Sec_1002"/>
      <w:bookmarkEnd w:id="1002"/>
    </w:p>
    <w:p>
      <w:pPr>
        <w:pStyle w:val="Normal"/>
      </w:pPr>
      <w:r>
        <w:t xml:space="preserve">Vínculo que referencia uma chave de outra tabela e ajuda a manter integridade.</w:t>
      </w:r>
    </w:p>
    <w:p>
      <w:pPr>
        <w:pStyle w:val="Heading2"/>
      </w:pPr>
      <w:bookmarkStart w:id="1003" w:name="Sec_1003"/>
      <w:r>
        <w:t xml:space="preserve">JOIN</w:t>
      </w:r>
      <w:bookmarkStart w:id="1003" w:name="Sec_1003"/>
      <w:bookmarkEnd w:id="1003"/>
    </w:p>
    <w:p>
      <w:pPr>
        <w:pStyle w:val="Normal"/>
      </w:pPr>
      <w:r>
        <w:t xml:space="preserve">Combinação de registros por condição; relações 1:N podem multiplicar linhas.</w:t>
      </w:r>
    </w:p>
    <w:p>
      <w:pPr>
        <w:pStyle w:val="Heading2"/>
      </w:pPr>
      <w:bookmarkStart w:id="1004" w:name="Sec_1004"/>
      <w:r>
        <w:t xml:space="preserve">SRID</w:t>
      </w:r>
      <w:bookmarkStart w:id="1004" w:name="Sec_1004"/>
      <w:bookmarkEnd w:id="1004"/>
    </w:p>
    <w:p>
      <w:pPr>
        <w:pStyle w:val="Normal"/>
      </w:pPr>
      <w:r>
        <w:t xml:space="preserve">Identificador de referência espacial associado à geometria; atribuir não transforma coordenadas.</w:t>
      </w:r>
    </w:p>
    <w:p>
      <w:pPr>
        <w:pStyle w:val="Heading2"/>
      </w:pPr>
      <w:bookmarkStart w:id="1005" w:name="Sec_1005"/>
      <w:r>
        <w:t xml:space="preserve">Índice GiST</w:t>
      </w:r>
      <w:bookmarkStart w:id="1005" w:name="Sec_1005"/>
      <w:bookmarkEnd w:id="1005"/>
    </w:p>
    <w:p>
      <w:pPr>
        <w:pStyle w:val="Normal"/>
      </w:pPr>
      <w:r>
        <w:t xml:space="preserve">Estrutura usada por PostGIS para acelerar consultas espaciais compatíveis; confirme benefício no plano.</w:t>
      </w:r>
    </w:p>
    <w:p>
      <w:pPr>
        <w:pStyle w:val="Heading2"/>
      </w:pPr>
      <w:bookmarkStart w:id="1006" w:name="Sec_1006"/>
      <w:r>
        <w:t xml:space="preserve">ST_Within</w:t>
      </w:r>
      <w:bookmarkStart w:id="1006" w:name="Sec_1006"/>
      <w:bookmarkEnd w:id="1006"/>
    </w:p>
    <w:p>
      <w:pPr>
        <w:pStyle w:val="Normal"/>
      </w:pPr>
      <w:r>
        <w:t xml:space="preserve">Testa interior/contenção segundo relações topológicas; pontos apenas na borda não estão within.</w:t>
      </w:r>
    </w:p>
    <w:p>
      <w:pPr>
        <w:pStyle w:val="Heading2"/>
      </w:pPr>
      <w:bookmarkStart w:id="1007" w:name="Sec_1007"/>
      <w:r>
        <w:t xml:space="preserve">ST_Covers</w:t>
      </w:r>
      <w:bookmarkStart w:id="1007" w:name="Sec_1007"/>
      <w:bookmarkEnd w:id="1007"/>
    </w:p>
    <w:p>
      <w:pPr>
        <w:pStyle w:val="Normal"/>
      </w:pPr>
      <w:r>
        <w:t xml:space="preserve">Relação inclusiva de cobertura que pode incluir a borda; pode gerar múltiplas correspondências.</w:t>
      </w:r>
    </w:p>
    <w:p>
      <w:pPr>
        <w:pStyle w:val="Heading2"/>
      </w:pPr>
      <w:bookmarkStart w:id="1008" w:name="Sec_1008"/>
      <w:r>
        <w:t xml:space="preserve">ST_Intersects</w:t>
      </w:r>
      <w:bookmarkStart w:id="1008" w:name="Sec_1008"/>
      <w:bookmarkEnd w:id="1008"/>
    </w:p>
    <w:p>
      <w:pPr>
        <w:pStyle w:val="Normal"/>
      </w:pPr>
      <w:r>
        <w:t xml:space="preserve">Testa se geometrias compartilham pelo menos um ponto, incluindo contato na borda.</w:t>
      </w:r>
    </w:p>
    <w:p>
      <w:pPr>
        <w:pStyle w:val="Heading2"/>
      </w:pPr>
      <w:bookmarkStart w:id="1009" w:name="Sec_1009"/>
      <w:r>
        <w:t xml:space="preserve">ST_Transform</w:t>
      </w:r>
      <w:bookmarkStart w:id="1009" w:name="Sec_1009"/>
      <w:bookmarkEnd w:id="1009"/>
    </w:p>
    <w:p>
      <w:pPr>
        <w:pStyle w:val="Normal"/>
      </w:pPr>
      <w:r>
        <w:t xml:space="preserve">Transforma coordenadas para outro SRID; exige CRS de origem correto.</w:t>
      </w:r>
    </w:p>
    <w:p>
      <w:pPr>
        <w:pStyle w:val="Heading2"/>
      </w:pPr>
      <w:bookmarkStart w:id="1010" w:name="Sec_1010"/>
      <w:r>
        <w:t xml:space="preserve">ST_SetSRID</w:t>
      </w:r>
      <w:bookmarkStart w:id="1010" w:name="Sec_1010"/>
      <w:bookmarkEnd w:id="1010"/>
    </w:p>
    <w:p>
      <w:pPr>
        <w:pStyle w:val="Normal"/>
      </w:pPr>
      <w:r>
        <w:t xml:space="preserve">Atribui referência à geometria sem transformar valores de coordenadas.</w:t>
      </w:r>
    </w:p>
    <w:p>
      <w:pPr>
        <w:pStyle w:val="Heading2"/>
      </w:pPr>
      <w:bookmarkStart w:id="1011" w:name="Sec_1011"/>
      <w:r>
        <w:t xml:space="preserve">Transação</w:t>
      </w:r>
      <w:bookmarkStart w:id="1011" w:name="Sec_1011"/>
      <w:bookmarkEnd w:id="1011"/>
    </w:p>
    <w:p>
      <w:pPr>
        <w:pStyle w:val="Normal"/>
      </w:pPr>
      <w:r>
        <w:t xml:space="preserve">Unidade de operações com confirmação ou reversão; use para evitar estados parcialmente atualizados.</w:t>
      </w:r>
    </w:p>
    <w:p>
      <w:pPr>
        <w:pStyle w:val="Heading2"/>
      </w:pPr>
      <w:bookmarkStart w:id="1012" w:name="Sec_1012"/>
      <w:r>
        <w:t xml:space="preserve">GeoPackage</w:t>
      </w:r>
      <w:bookmarkStart w:id="1012" w:name="Sec_1012"/>
      <w:bookmarkEnd w:id="1012"/>
    </w:p>
    <w:p>
      <w:pPr>
        <w:pStyle w:val="Normal"/>
      </w:pPr>
      <w:r>
        <w:t xml:space="preserve">Contêiner SQLite para dados geoespaciais com estruturas padronizadas; não é um servidor PostGIS.</w:t>
      </w:r>
    </w:p>
    <w:p>
      <w:pPr>
        <w:pStyle w:val="Heading1"/>
      </w:pPr>
      <w:bookmarkStart w:id="4" w:name="Sec_004"/>
      <w:r>
        <w:t xml:space="preserve">4. Uso em uma análise</w:t>
      </w:r>
      <w:bookmarkStart w:id="4" w:name="Sec_004"/>
      <w:bookmarkEnd w:id="4"/>
    </w:p>
    <w:p>
      <w:pPr>
        <w:pStyle w:val="Normal"/>
      </w:pPr>
      <w:r>
        <w:t xml:space="preserve">Escolha três termos relevantes ao projeto. Escreva onde cada um aparece no seu fluxo de trabalho, qual entrada depende dele e qual erro de interpretação pode alterar o resultado. Acrescente uma evidência: propriedade de camada, consulta, parâmetro, cálculo ou saída de validação.</w:t>
      </w:r>
    </w:p>
    <w:p>
      <w:pPr>
        <w:pStyle w:val="Heading1"/>
      </w:pPr>
      <w:bookmarkStart w:id="5" w:name="Sec_005"/>
      <w:r>
        <w:t xml:space="preserve">5. Revisão rápida</w:t>
      </w:r>
      <w:bookmarkStart w:id="5" w:name="Sec_005"/>
      <w:bookmarkEnd w:id="5"/>
    </w:p>
    <w:p>
      <w:pPr>
        <w:pStyle w:val="ListText"/>
      </w:pPr>
      <w:r>
        <w:t xml:space="preserve">• Diferencie unidade, valor medido e indicador derivado.</w:t>
      </w:r>
    </w:p>
    <w:p>
      <w:pPr>
        <w:pStyle w:val="ListText"/>
      </w:pPr>
      <w:r>
        <w:t xml:space="preserve">• Informe fonte, período e pressuposto antes de comparar resultados.</w:t>
      </w:r>
    </w:p>
    <w:p>
      <w:pPr>
        <w:pStyle w:val="ListText"/>
      </w:pPr>
      <w:r>
        <w:t xml:space="preserve">• Não interprete coincidência, associação ou aparência como prova de causalidade.</w:t>
      </w:r>
    </w:p>
    <w:p>
      <w:pPr>
        <w:pStyle w:val="ListText"/>
      </w:pPr>
      <w:r>
        <w:t xml:space="preserve">• Registre versões e critérios: nomes semelhantes podem ter implementações diferentes.</w:t>
      </w:r>
    </w:p>
    <w:p>
      <w:pPr>
        <w:pStyle w:val="ListText"/>
      </w:pPr>
      <w:r>
        <w:t xml:space="preserve">• Explique termos ao destinatário sem retirar as limitações relevantes.</w:t>
      </w:r>
    </w:p>
    <w:p>
      <w:pPr>
        <w:pStyle w:val="Heading1"/>
      </w:pPr>
      <w:bookmarkStart w:id="6" w:name="Sec_006"/>
      <w:r>
        <w:t xml:space="preserve">6. Autoavaliação</w:t>
      </w:r>
      <w:bookmarkStart w:id="6" w:name="Sec_006"/>
      <w:bookmarkEnd w:id="6"/>
    </w:p>
    <w:p>
      <w:pPr>
        <w:pStyle w:val="ListText"/>
      </w:pPr>
      <w:r>
        <w:t xml:space="preserve">1. Qual par de conceitos deste glossário é frequentemente confundido?</w:t>
      </w:r>
    </w:p>
    <w:p>
      <w:pPr>
        <w:pStyle w:val="ListText"/>
      </w:pPr>
      <w:r>
        <w:t xml:space="preserve">2. Que erro prático essa confusão pode causar no seu projeto?</w:t>
      </w:r>
    </w:p>
    <w:p>
      <w:pPr>
        <w:pStyle w:val="ListText"/>
      </w:pPr>
      <w:r>
        <w:t xml:space="preserve">3. Qual registro permitiria a um revisor detectar o problema?</w:t>
      </w:r>
    </w:p>
    <w:p>
      <w:pPr>
        <w:pStyle w:val="Normal"/>
      </w:pPr>
      <w:r>
        <w:t xml:space="preserve">Responda com um exemplo pequeno e verificável. A consulta do glossário não substitui a validação das operações nem confirma qualidade dos dados de origem.</w:t>
      </w:r>
    </w:p>
    <w:p>
      <w:pPr>
        <w:pStyle w:val="Normal"/>
      </w:pPr>
      <w:r>
        <w:t xml:space="preserve">Referências para aprofundamento: https://docs.qgis.org/3.44/en/docs/user_manual/ ; https://postgis.net/docs/ ; https://scikit-learn.org/stable/user_guide.html ; https://www.ibge.gov.br/geociencias/informacoes-sobre-posicionamento-geodesico/sirgas.html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SQL, PostGIS e bancos espaciais

**DataGeo Academy &#8212; material t&#233;cnico | edi&#231;&#227;o 1.0 | 2026-10-01**

Revise conceitos essenciais para modelar dados e conversar sobre consultas.

## Como consultar

Este gloss&#225;rio re&#250;ne doze conceitos e seus cuidados operacionais. As defini&#231;&#245;es
s&#227;o refer&#234;ncias introdut&#243;rias para leitura e comunica&#231;&#227;o; consulte a documenta&#231;&#227;o
da ferramenta e a metodologia do projeto para uma implementa&#231;&#227;o espec&#237;fica.

## Conceitos e aplica&#231;&#227;o

### Chave prim&#225;ria

Identificador &#250;nico n&#227;o nulo de um registro; n&#227;o confundir com posi&#231;&#227;o atual na tabela.

### Chave estrangeira

V&#237;nculo que referencia uma chave de outra tabela e ajuda a manter integridade.

### JOIN

Combina&#231;&#227;o de registros por condi&#231;&#227;o; rela&#231;&#245;es 1:N podem multiplicar linhas.

### SRID

Identificador de refer&#234;ncia espacial associado &#224; geometria; atribuir n&#227;o transforma coordenadas.

### &#205;ndice GiST

Estrutura usada por PostGIS para acelerar consultas espaciais compat&#237;veis; confirme benef&#237;cio no plano.

### ST_Within

Testa interior/conten&#231;&#227;o segundo rela&#231;&#245;es topol&#243;gicas; pontos apenas na borda n&#227;o est&#227;o within.

### ST_Covers

Rela&#231;&#227;o inclusiva de cobertura que pode incluir a borda; pode gerar m&#250;ltiplas correspond&#234;ncias.

### ST_Intersects

Testa se geometrias compartilham pelo menos um ponto, incluindo contato na borda.

### ST_Transform

Transforma coordenadas para outro SRID; exige CRS de origem correto.

### ST_SetSRID

Atribui refer&#234;ncia &#224; geometria sem transformar valores de coordenadas.

### Transa&#231;&#227;o

Unidade de opera&#231;&#245;es com confirma&#231;&#227;o ou revers&#227;o; use para evitar estados parcialmente atualizados.

### GeoPackage

Cont&#234;iner SQLite para dados geoespaciais com estruturas padronizadas; n&#227;o &#233; um servidor PostGIS.

## Uso em uma an&#225;lise

Escolha tr&#234;s termos relevantes ao projeto. Escreva onde cada um aparece no seu
fluxo de trabalho, qual entrada depende dele e qual erro de interpreta&#231;&#227;o pode
alterar o resultado. Acrescente uma evid&#234;ncia: propriedade de camada, consulta,
par&#226;metro, c&#225;lculo ou sa&#237;da de valida&#231;&#227;o.

## Revis&#227;o r&#225;pida

- Diferencie unidade, valor medido e indicador derivado.
- Informe fonte, per&#237;odo e pressuposto antes de comparar resultados.
- N&#227;o interprete coincid&#234;ncia, associa&#231;&#227;o ou apar&#234;ncia como prova de causalidade.
- Registre vers&#245;es e crit&#233;rios: nomes semelhantes podem ter implementa&#231;&#245;es diferentes.
- Explique termos ao destinat&#225;rio sem retirar as limita&#231;&#245;es relevantes.

## Autoavalia&#231;&#227;o

1. Qual par de conceitos deste gloss&#225;rio &#233; frequentemente confundido?
2. Que erro pr&#225;tico essa confus&#227;o pode causar no seu projeto?
3. Qual registro permitiria a um revisor detectar o problema?

Responda com um exemplo pequeno e verific&#225;vel. A consulta do gloss&#225;rio n&#227;o
substitui a valida&#231;&#227;o das opera&#231;&#245;es nem confirma qualidade dos dados de origem.

Refer&#234;ncias para aprofundamento: https://docs.qgis.org/3.44/en/docs/user_manual/ ;
https://postgis.net/docs/ ; https://scikit-learn.org/stable/user_guide.html ;
https://www.ibge.gov.br/geociencias/informacoes-sobre-posicionamento-geodesico/sirgas.html

</file>