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BI, dashboards e indicadores</w:t>
      </w:r>
    </w:p>
    <w:p>
      <w:pPr>
        <w:pStyle w:val="Subtitle"/>
      </w:pPr>
      <w:r>
        <w:t xml:space="preserve">Referência técnica de conceitos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09_bi_dashboards_e_indicadores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Como consultar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Conceitos e aplicação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Uso em uma análise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Revisão rápida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Comunique requisitos e resultados com conceitos claros de análise de negócio.</w:t>
      </w:r>
    </w:p>
    <w:p>
      <w:pPr>
        <w:pStyle w:val="Heading1"/>
      </w:pPr>
      <w:bookmarkStart w:id="2" w:name="Sec_002"/>
      <w:r>
        <w:t xml:space="preserve">2. Como consultar</w:t>
      </w:r>
      <w:bookmarkStart w:id="2" w:name="Sec_002"/>
      <w:bookmarkEnd w:id="2"/>
    </w:p>
    <w:p>
      <w:pPr>
        <w:pStyle w:val="Normal"/>
      </w:pPr>
      <w:r>
        <w:t xml:space="preserve">Este glossário reúne doze conceitos e seus cuidados operacionais. As definições são referências introdutórias para leitura e comunicação; consulte a documentação da ferramenta e a metodologia do projeto para uma implementação específica.</w:t>
      </w:r>
    </w:p>
    <w:p>
      <w:pPr>
        <w:pStyle w:val="Heading1"/>
      </w:pPr>
      <w:bookmarkStart w:id="3" w:name="Sec_003"/>
      <w:r>
        <w:t xml:space="preserve">3. Conceitos e aplicação</w:t>
      </w:r>
      <w:bookmarkStart w:id="3" w:name="Sec_003"/>
      <w:bookmarkEnd w:id="3"/>
    </w:p>
    <w:p>
      <w:pPr>
        <w:pStyle w:val="Heading2"/>
      </w:pPr>
      <w:bookmarkStart w:id="1001" w:name="Sec_1001"/>
      <w:r>
        <w:t xml:space="preserve">KPI</w:t>
      </w:r>
      <w:bookmarkStart w:id="1001" w:name="Sec_1001"/>
      <w:bookmarkEnd w:id="1001"/>
    </w:p>
    <w:p>
      <w:pPr>
        <w:pStyle w:val="Normal"/>
      </w:pPr>
      <w:r>
        <w:t xml:space="preserve">Indicador vinculado a objetivo e decisão; declare fórmula, unidade, período e responsável.</w:t>
      </w:r>
    </w:p>
    <w:p>
      <w:pPr>
        <w:pStyle w:val="Heading2"/>
      </w:pPr>
      <w:bookmarkStart w:id="1002" w:name="Sec_1002"/>
      <w:r>
        <w:t xml:space="preserve">Granularidade</w:t>
      </w:r>
      <w:bookmarkStart w:id="1002" w:name="Sec_1002"/>
      <w:bookmarkEnd w:id="1002"/>
    </w:p>
    <w:p>
      <w:pPr>
        <w:pStyle w:val="Normal"/>
      </w:pPr>
      <w:r>
        <w:t xml:space="preserve">Nível de detalhe de cada registro; determina agregações e relações válidas.</w:t>
      </w:r>
    </w:p>
    <w:p>
      <w:pPr>
        <w:pStyle w:val="Heading2"/>
      </w:pPr>
      <w:bookmarkStart w:id="1003" w:name="Sec_1003"/>
      <w:r>
        <w:t xml:space="preserve">Dimensão</w:t>
      </w:r>
      <w:bookmarkStart w:id="1003" w:name="Sec_1003"/>
      <w:bookmarkEnd w:id="1003"/>
    </w:p>
    <w:p>
      <w:pPr>
        <w:pStyle w:val="Normal"/>
      </w:pPr>
      <w:r>
        <w:t xml:space="preserve">Entidade descritiva usada para filtrar ou agrupar fatos, como território e tempo.</w:t>
      </w:r>
    </w:p>
    <w:p>
      <w:pPr>
        <w:pStyle w:val="Heading2"/>
      </w:pPr>
      <w:bookmarkStart w:id="1004" w:name="Sec_1004"/>
      <w:r>
        <w:t xml:space="preserve">Fato</w:t>
      </w:r>
      <w:bookmarkStart w:id="1004" w:name="Sec_1004"/>
      <w:bookmarkEnd w:id="1004"/>
    </w:p>
    <w:p>
      <w:pPr>
        <w:pStyle w:val="Normal"/>
      </w:pPr>
      <w:r>
        <w:t xml:space="preserve">Registro de ocorrência ou medida no nível definido; evite misturar granularidades.</w:t>
      </w:r>
    </w:p>
    <w:p>
      <w:pPr>
        <w:pStyle w:val="Heading2"/>
      </w:pPr>
      <w:bookmarkStart w:id="1005" w:name="Sec_1005"/>
      <w:r>
        <w:t xml:space="preserve">Medida</w:t>
      </w:r>
      <w:bookmarkStart w:id="1005" w:name="Sec_1005"/>
      <w:bookmarkEnd w:id="1005"/>
    </w:p>
    <w:p>
      <w:pPr>
        <w:pStyle w:val="Normal"/>
      </w:pPr>
      <w:r>
        <w:t xml:space="preserve">Cálculo de resultado sob contexto de filtros; diferencie valor armazenado de expressão calculada.</w:t>
      </w:r>
    </w:p>
    <w:p>
      <w:pPr>
        <w:pStyle w:val="Heading2"/>
      </w:pPr>
      <w:bookmarkStart w:id="1006" w:name="Sec_1006"/>
      <w:r>
        <w:t xml:space="preserve">Denominador</w:t>
      </w:r>
      <w:bookmarkStart w:id="1006" w:name="Sec_1006"/>
      <w:bookmarkEnd w:id="1006"/>
    </w:p>
    <w:p>
      <w:pPr>
        <w:pStyle w:val="Normal"/>
      </w:pPr>
      <w:r>
        <w:t xml:space="preserve">Base de uma taxa; zero ou períodos incompatíveis exigem tratamento explícito.</w:t>
      </w:r>
    </w:p>
    <w:p>
      <w:pPr>
        <w:pStyle w:val="Heading2"/>
      </w:pPr>
      <w:bookmarkStart w:id="1007" w:name="Sec_1007"/>
      <w:r>
        <w:t xml:space="preserve">Filtro</w:t>
      </w:r>
      <w:bookmarkStart w:id="1007" w:name="Sec_1007"/>
      <w:bookmarkEnd w:id="1007"/>
    </w:p>
    <w:p>
      <w:pPr>
        <w:pStyle w:val="Normal"/>
      </w:pPr>
      <w:r>
        <w:t xml:space="preserve">Restrição de contexto; verifique sua propagação no modelo e nas visualizações.</w:t>
      </w:r>
    </w:p>
    <w:p>
      <w:pPr>
        <w:pStyle w:val="Heading2"/>
      </w:pPr>
      <w:bookmarkStart w:id="1008" w:name="Sec_1008"/>
      <w:r>
        <w:t xml:space="preserve">Drill-down</w:t>
      </w:r>
      <w:bookmarkStart w:id="1008" w:name="Sec_1008"/>
      <w:bookmarkEnd w:id="1008"/>
    </w:p>
    <w:p>
      <w:pPr>
        <w:pStyle w:val="Normal"/>
      </w:pPr>
      <w:r>
        <w:t xml:space="preserve">Navegação para níveis mais detalhados; exige hierarquia e dados disponíveis coerentes.</w:t>
      </w:r>
    </w:p>
    <w:p>
      <w:pPr>
        <w:pStyle w:val="Heading2"/>
      </w:pPr>
      <w:bookmarkStart w:id="1009" w:name="Sec_1009"/>
      <w:r>
        <w:t xml:space="preserve">Dashboard</w:t>
      </w:r>
      <w:bookmarkStart w:id="1009" w:name="Sec_1009"/>
      <w:bookmarkEnd w:id="1009"/>
    </w:p>
    <w:p>
      <w:pPr>
        <w:pStyle w:val="Normal"/>
      </w:pPr>
      <w:r>
        <w:t xml:space="preserve">Conjunto de visualizações orientado a perguntas e ações, não apenas coleção de gráficos.</w:t>
      </w:r>
    </w:p>
    <w:p>
      <w:pPr>
        <w:pStyle w:val="Heading2"/>
      </w:pPr>
      <w:bookmarkStart w:id="1010" w:name="Sec_1010"/>
      <w:r>
        <w:t xml:space="preserve">Narrativa analítica</w:t>
      </w:r>
      <w:bookmarkStart w:id="1010" w:name="Sec_1010"/>
      <w:bookmarkEnd w:id="1010"/>
    </w:p>
    <w:p>
      <w:pPr>
        <w:pStyle w:val="Normal"/>
      </w:pPr>
      <w:r>
        <w:t xml:space="preserve">Sequência de explicação de contexto, evidência e implicação com limites declarados.</w:t>
      </w:r>
    </w:p>
    <w:p>
      <w:pPr>
        <w:pStyle w:val="Heading2"/>
      </w:pPr>
      <w:bookmarkStart w:id="1011" w:name="Sec_1011"/>
      <w:r>
        <w:t xml:space="preserve">Atualização</w:t>
      </w:r>
      <w:bookmarkStart w:id="1011" w:name="Sec_1011"/>
      <w:bookmarkEnd w:id="1011"/>
    </w:p>
    <w:p>
      <w:pPr>
        <w:pStyle w:val="Normal"/>
      </w:pPr>
      <w:r>
        <w:t xml:space="preserve">Reprocessamento dos dados; registre origem, falhas e data da informação exibida.</w:t>
      </w:r>
    </w:p>
    <w:p>
      <w:pPr>
        <w:pStyle w:val="Heading2"/>
      </w:pPr>
      <w:bookmarkStart w:id="1012" w:name="Sec_1012"/>
      <w:r>
        <w:t xml:space="preserve">Acessibilidade</w:t>
      </w:r>
      <w:bookmarkStart w:id="1012" w:name="Sec_1012"/>
      <w:bookmarkEnd w:id="1012"/>
    </w:p>
    <w:p>
      <w:pPr>
        <w:pStyle w:val="Normal"/>
      </w:pPr>
      <w:r>
        <w:t xml:space="preserve">Condições para compreender e operar o painel, incluindo contraste, rótulos e alternativas à cor.</w:t>
      </w:r>
    </w:p>
    <w:p>
      <w:pPr>
        <w:pStyle w:val="Heading1"/>
      </w:pPr>
      <w:bookmarkStart w:id="4" w:name="Sec_004"/>
      <w:r>
        <w:t xml:space="preserve">4. Uso em uma análise</w:t>
      </w:r>
      <w:bookmarkStart w:id="4" w:name="Sec_004"/>
      <w:bookmarkEnd w:id="4"/>
    </w:p>
    <w:p>
      <w:pPr>
        <w:pStyle w:val="Normal"/>
      </w:pPr>
      <w:r>
        <w:t xml:space="preserve">Escolha três termos relevantes ao projeto. Escreva onde cada um aparece no seu fluxo de trabalho, qual entrada depende dele e qual erro de interpretação pode alterar o resultado. Acrescente uma evidência: propriedade de camada, consulta, parâmetro, cálculo ou saída de validação.</w:t>
      </w:r>
    </w:p>
    <w:p>
      <w:pPr>
        <w:pStyle w:val="Heading1"/>
      </w:pPr>
      <w:bookmarkStart w:id="5" w:name="Sec_005"/>
      <w:r>
        <w:t xml:space="preserve">5. Revisão rápida</w:t>
      </w:r>
      <w:bookmarkStart w:id="5" w:name="Sec_005"/>
      <w:bookmarkEnd w:id="5"/>
    </w:p>
    <w:p>
      <w:pPr>
        <w:pStyle w:val="ListText"/>
      </w:pPr>
      <w:r>
        <w:t xml:space="preserve">• Diferencie unidade, valor medido e indicador derivado.</w:t>
      </w:r>
    </w:p>
    <w:p>
      <w:pPr>
        <w:pStyle w:val="ListText"/>
      </w:pPr>
      <w:r>
        <w:t xml:space="preserve">• Informe fonte, período e pressuposto antes de comparar resultados.</w:t>
      </w:r>
    </w:p>
    <w:p>
      <w:pPr>
        <w:pStyle w:val="ListText"/>
      </w:pPr>
      <w:r>
        <w:t xml:space="preserve">• Não interprete coincidência, associação ou aparência como prova de causalidade.</w:t>
      </w:r>
    </w:p>
    <w:p>
      <w:pPr>
        <w:pStyle w:val="ListText"/>
      </w:pPr>
      <w:r>
        <w:t xml:space="preserve">• Registre versões e critérios: nomes semelhantes podem ter implementações diferentes.</w:t>
      </w:r>
    </w:p>
    <w:p>
      <w:pPr>
        <w:pStyle w:val="ListText"/>
      </w:pPr>
      <w:r>
        <w:t xml:space="preserve">• Explique termos ao destinatário sem retirar as limitações relevantes.</w:t>
      </w:r>
    </w:p>
    <w:p>
      <w:pPr>
        <w:pStyle w:val="Heading1"/>
      </w:pPr>
      <w:bookmarkStart w:id="6" w:name="Sec_006"/>
      <w:r>
        <w:t xml:space="preserve">6. Autoavaliação</w:t>
      </w:r>
      <w:bookmarkStart w:id="6" w:name="Sec_006"/>
      <w:bookmarkEnd w:id="6"/>
    </w:p>
    <w:p>
      <w:pPr>
        <w:pStyle w:val="ListText"/>
      </w:pPr>
      <w:r>
        <w:t xml:space="preserve">1. Qual par de conceitos deste glossário é frequentemente confundido?</w:t>
      </w:r>
    </w:p>
    <w:p>
      <w:pPr>
        <w:pStyle w:val="ListText"/>
      </w:pPr>
      <w:r>
        <w:t xml:space="preserve">2. Que erro prático essa confusão pode causar no seu projeto?</w:t>
      </w:r>
    </w:p>
    <w:p>
      <w:pPr>
        <w:pStyle w:val="ListText"/>
      </w:pPr>
      <w:r>
        <w:t xml:space="preserve">3. Qual registro permitiria a um revisor detectar o problema?</w:t>
      </w:r>
    </w:p>
    <w:p>
      <w:pPr>
        <w:pStyle w:val="Normal"/>
      </w:pPr>
      <w:r>
        <w:t xml:space="preserve">Responda com um exemplo pequeno e verificável. A consulta do glossário não substitui a validação das operações nem confirma qualidade dos dados de origem.</w:t>
      </w:r>
    </w:p>
    <w:p>
      <w:pPr>
        <w:pStyle w:val="Normal"/>
      </w:pPr>
      <w:r>
        <w:t xml:space="preserve">Referências para aprofundamento: https://docs.qgis.org/3.44/en/docs/user_manual/ ; https://postgis.net/docs/ ; https://scikit-learn.org/stable/user_guide.html ; https://www.ibge.gov.br/geociencias/informacoes-sobre-posicionamento-geodesico/sirgas.html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BI, dashboards e indicadores

**DataGeo Academy &#8212; material t&#233;cnico | edi&#231;&#227;o 1.0 | 2026-10-01**

Comunique requisitos e resultados com conceitos claros de an&#225;lise de neg&#243;cio.

## Como consultar

Este gloss&#225;rio re&#250;ne doze conceitos e seus cuidados operacionais. As defini&#231;&#245;es
s&#227;o refer&#234;ncias introdut&#243;rias para leitura e comunica&#231;&#227;o; consulte a documenta&#231;&#227;o
da ferramenta e a metodologia do projeto para uma implementa&#231;&#227;o espec&#237;fica.

## Conceitos e aplica&#231;&#227;o

### KPI

Indicador vinculado a objetivo e decis&#227;o; declare f&#243;rmula, unidade, per&#237;odo e respons&#225;vel.

### Granularidade

N&#237;vel de detalhe de cada registro; determina agrega&#231;&#245;es e rela&#231;&#245;es v&#225;lidas.

### Dimens&#227;o

Entidade descritiva usada para filtrar ou agrupar fatos, como territ&#243;rio e tempo.

### Fato

Registro de ocorr&#234;ncia ou medida no n&#237;vel definido; evite misturar granularidades.

### Medida

C&#225;lculo de resultado sob contexto de filtros; diferencie valor armazenado de express&#227;o calculada.

### Denominador

Base de uma taxa; zero ou per&#237;odos incompat&#237;veis exigem tratamento expl&#237;cito.

### Filtro

Restri&#231;&#227;o de contexto; verifique sua propaga&#231;&#227;o no modelo e nas visualiza&#231;&#245;es.

### Drill-down

Navega&#231;&#227;o para n&#237;veis mais detalhados; exige hierarquia e dados dispon&#237;veis coerentes.

### Dashboard

Conjunto de visualiza&#231;&#245;es orientado a perguntas e a&#231;&#245;es, n&#227;o apenas cole&#231;&#227;o de gr&#225;ficos.

### Narrativa anal&#237;tica

Sequ&#234;ncia de explica&#231;&#227;o de contexto, evid&#234;ncia e implica&#231;&#227;o com limites declarados.

### Atualiza&#231;&#227;o

Reprocessamento dos dados; registre origem, falhas e data da informa&#231;&#227;o exibida.

### Acessibilidade

Condi&#231;&#245;es para compreender e operar o painel, incluindo contraste, r&#243;tulos e alternativas &#224; cor.

## Uso em uma an&#225;lise

Escolha tr&#234;s termos relevantes ao projeto. Escreva onde cada um aparece no seu
fluxo de trabalho, qual entrada depende dele e qual erro de interpreta&#231;&#227;o pode
alterar o resultado. Acrescente uma evid&#234;ncia: propriedade de camada, consulta,
par&#226;metro, c&#225;lculo ou sa&#237;da de valida&#231;&#227;o.

## Revis&#227;o r&#225;pida

- Diferencie unidade, valor medido e indicador derivado.
- Informe fonte, per&#237;odo e pressuposto antes de comparar resultados.
- N&#227;o interprete coincid&#234;ncia, associa&#231;&#227;o ou apar&#234;ncia como prova de causalidade.
- Registre vers&#245;es e crit&#233;rios: nomes semelhantes podem ter implementa&#231;&#245;es diferentes.
- Explique termos ao destinat&#225;rio sem retirar as limita&#231;&#245;es relevantes.

## Autoavalia&#231;&#227;o

1. Qual par de conceitos deste gloss&#225;rio &#233; frequentemente confundido?
2. Que erro pr&#225;tico essa confus&#227;o pode causar no seu projeto?
3. Qual registro permitiria a um revisor detectar o problema?

Responda com um exemplo pequeno e verific&#225;vel. A consulta do gloss&#225;rio n&#227;o
substitui a valida&#231;&#227;o das opera&#231;&#245;es nem confirma qualidade dos dados de origem.

Refer&#234;ncias para aprofundamento: https://docs.qgis.org/3.44/en/docs/user_manual/ ;
https://postgis.net/docs/ ; https://scikit-learn.org/stable/user_guide.html ;
https://www.ibge.gov.br/geociencias/informacoes-sobre-posicionamento-geodesico/sirgas.html

</file>