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Portfólio de banco de dados espacial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09_portfolio_de_banco_de_dados_espacial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Arquitetura de banco espacial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Apresente arquitetura, consultas e qualidade como diferenciais técnicos.</w:t>
      </w:r>
    </w:p>
    <w:p>
      <w:pPr>
        <w:pStyle w:val="Heading1"/>
      </w:pPr>
      <w:bookmarkStart w:id="2" w:name="Sec_002"/>
      <w:r>
        <w:t xml:space="preserve">2. Caso demonstrativo: Arquitetura de banco espacial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Demonstrar modelagem, integridade e consultas orientadas ao uso.</w:t>
      </w:r>
    </w:p>
    <w:p>
      <w:pPr>
        <w:pStyle w:val="Normal"/>
      </w:pPr>
      <w:r>
        <w:rPr>
          <w:b/>
        </w:rPr>
        <w:t xml:space="preserve">Entradas:</w:t>
      </w:r>
      <w:r>
        <w:t xml:space="preserve"> Esquema de unidades, ativos e observações; diagrama e consultas SQL.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Definir chaves primárias e estrangeiras.</w:t>
      </w:r>
    </w:p>
    <w:p>
      <w:pPr>
        <w:pStyle w:val="ListText"/>
      </w:pPr>
      <w:r>
        <w:t xml:space="preserve">2. Escolher SRID e índices.</w:t>
      </w:r>
    </w:p>
    <w:p>
      <w:pPr>
        <w:pStyle w:val="ListText"/>
      </w:pPr>
      <w:r>
        <w:t xml:space="preserve">3. Validar inserções e consultas de relacionamento.</w:t>
      </w:r>
    </w:p>
    <w:p>
      <w:pPr>
        <w:pStyle w:val="ListText"/>
      </w:pPr>
      <w:r>
        <w:t xml:space="preserve">4. Documentar desempenho e decisões de modelagem.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Uma junção 1:N pode duplicar unidades; agregue ativos antes de contar unidades territoriais.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Portf&#243;lio de banco de dados espacial

**DataGeo Academy &#8212; material t&#233;cnico | edi&#231;&#227;o 1.0 | 2026-10-01**

Apresente arquitetura, consultas e qualidade como diferenciais t&#233;cnicos.

## Caso demonstrativo: Arquitetura de banco espacial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Demonstrar modelagem, integridade e consultas orientadas ao uso.

**Entradas:** Esquema de unidades, ativos e observa&#231;&#245;es; diagrama e consultas SQL.

Defina o destinat&#225;rio, a pergunta anal&#237;tica, o per&#237;odo e o uso esperado. Identifique
qual decis&#227;o o resultado pode apoiar e qual decis&#227;o exige informa&#231;&#227;o adicional.

## Desenvolvimento documentado

1. Definir chaves prim&#225;rias e estrangeiras.
2. Escolher SRID e &#237;ndices.
3. Validar inser&#231;&#245;es e consultas de relacionamento.
4. Documentar desempenho e decis&#245;es de modelagem.

## Resultado de refer&#234;ncia e discuss&#227;o

Uma jun&#231;&#227;o 1:N pode duplicar unidades; agregue ativos antes de contar unidades territoriais.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