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ANÁLISE ESTATÍSTICA, VALIDAÇÃO ESPACIAL E AVALIAÇÃO DA CONFIABILIDADE</w:t>
        <w:br/>
        <w:t>DA CARTOGRAFIA DE SOLOS VERMELHOS DE ANGOLA</w:t>
      </w:r>
    </w:p>
    <w:p>
      <w:pPr>
        <w:jc w:val="center"/>
      </w:pPr>
      <w:r>
        <w:rPr>
          <w:i/>
        </w:rPr>
        <w:t>Documento técnico complementar</w:t>
      </w:r>
    </w:p>
    <w:p/>
    <w:p>
      <w:pPr>
        <w:pStyle w:val="Heading1"/>
      </w:pPr>
      <w:r>
        <w:t>1. OBJETIVO</w:t>
      </w:r>
    </w:p>
    <w:p>
      <w:pPr>
        <w:spacing w:after="100"/>
      </w:pPr>
      <w:r>
        <w:t>Este documento apresenta a avaliação estatística e espacial da mancha cartográfica de solos vermelhos de Angola, integrando o conjunto completo de evidências utilizado ao longo do estudo. A análise não elimina nenhuma fonte de dados: todos os pontos são contabilizados no universo de evidências, mas são estratificados segundo origem, capacidade de classificação e grau de independência em relação à construção da própria mancha.</w:t>
      </w:r>
    </w:p>
    <w:p>
      <w:pPr>
        <w:spacing w:after="100"/>
      </w:pPr>
      <w:r>
        <w:t>O objetivo é quantificar a coerência entre a classificação observada dos pontos e sua posição em relação à mancha final, avaliar a força da associação espacial, identificar omissões e inclusões potenciais e estabelecer uma leitura de confiabilidade compatível com a escala nacional do trabalho.</w:t>
      </w:r>
    </w:p>
    <w:p>
      <w:pPr>
        <w:pStyle w:val="Heading1"/>
      </w:pPr>
      <w:r>
        <w:t>2. BASES E EVIDÊNCIAS CONSIDERADAS</w:t>
      </w:r>
    </w:p>
    <w:p>
      <w:pPr>
        <w:spacing w:after="100"/>
      </w:pPr>
      <w:r>
        <w:t>Foram consideradas conjuntamente as seguintes bases: mancha final de solos vermelhos; base de solos de Angola; base geológica de Angola; articulação cartográfica 20 x 20 km; limites administrativos provinciais; acervo histórico de pontos; pontos posteriormente classificados; pontos de campo; pontos interpretados em imagens de satélite; e pontos novos de controle cartográfico externo.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vAlign w:val="center"/>
          </w:tcPr>
          <w:p>
            <w:r>
              <w:rPr>
                <w:rFonts w:ascii="Arial" w:hAnsi="Arial"/>
                <w:sz w:val="17"/>
              </w:rPr>
              <w:t>Fonte</w:t>
            </w:r>
          </w:p>
        </w:tc>
        <w:tc>
          <w:tcPr>
            <w:tcW w:type="dxa" w:w="1972"/>
            <w:vAlign w:val="center"/>
          </w:tcPr>
          <w:p>
            <w:r>
              <w:rPr>
                <w:rFonts w:ascii="Arial" w:hAnsi="Arial"/>
                <w:sz w:val="17"/>
              </w:rPr>
              <w:t>Total</w:t>
            </w:r>
          </w:p>
        </w:tc>
        <w:tc>
          <w:tcPr>
            <w:tcW w:type="dxa" w:w="1972"/>
            <w:vAlign w:val="center"/>
          </w:tcPr>
          <w:p>
            <w:r>
              <w:rPr>
                <w:rFonts w:ascii="Arial" w:hAnsi="Arial"/>
                <w:sz w:val="17"/>
              </w:rPr>
              <w:t>Vermelhos</w:t>
            </w:r>
          </w:p>
        </w:tc>
        <w:tc>
          <w:tcPr>
            <w:tcW w:type="dxa" w:w="1972"/>
            <w:vAlign w:val="center"/>
          </w:tcPr>
          <w:p>
            <w:r>
              <w:rPr>
                <w:rFonts w:ascii="Arial" w:hAnsi="Arial"/>
                <w:sz w:val="17"/>
              </w:rPr>
              <w:t>Não vermelhos</w:t>
            </w:r>
          </w:p>
        </w:tc>
        <w:tc>
          <w:tcPr>
            <w:tcW w:type="dxa" w:w="1972"/>
            <w:vAlign w:val="center"/>
          </w:tcPr>
          <w:p>
            <w:r>
              <w:rPr>
                <w:rFonts w:ascii="Arial" w:hAnsi="Arial"/>
                <w:sz w:val="17"/>
              </w:rPr>
              <w:t>Indeterminados</w:t>
            </w:r>
          </w:p>
        </w:tc>
      </w:tr>
      <w:tr>
        <w:tc>
          <w:tcPr>
            <w:tcW w:type="dxa" w:w="1972"/>
            <w:vAlign w:val="center"/>
          </w:tcPr>
          <w:p>
            <w:r>
              <w:rPr>
                <w:rFonts w:ascii="Arial" w:hAnsi="Arial"/>
                <w:sz w:val="17"/>
              </w:rPr>
              <w:t>Acervo histórico/classificado (2.141)</w:t>
            </w:r>
          </w:p>
        </w:tc>
        <w:tc>
          <w:tcPr>
            <w:tcW w:type="dxa" w:w="1972"/>
            <w:vAlign w:val="center"/>
          </w:tcPr>
          <w:p>
            <w:r>
              <w:rPr>
                <w:rFonts w:ascii="Arial" w:hAnsi="Arial"/>
                <w:sz w:val="17"/>
              </w:rPr>
              <w:t>2141</w:t>
            </w:r>
          </w:p>
        </w:tc>
        <w:tc>
          <w:tcPr>
            <w:tcW w:type="dxa" w:w="1972"/>
            <w:vAlign w:val="center"/>
          </w:tcPr>
          <w:p>
            <w:r>
              <w:rPr>
                <w:rFonts w:ascii="Arial" w:hAnsi="Arial"/>
                <w:sz w:val="17"/>
              </w:rPr>
              <w:t>270</w:t>
            </w:r>
          </w:p>
        </w:tc>
        <w:tc>
          <w:tcPr>
            <w:tcW w:type="dxa" w:w="1972"/>
            <w:vAlign w:val="center"/>
          </w:tcPr>
          <w:p>
            <w:r>
              <w:rPr>
                <w:rFonts w:ascii="Arial" w:hAnsi="Arial"/>
                <w:sz w:val="17"/>
              </w:rPr>
              <w:t>789</w:t>
            </w:r>
          </w:p>
        </w:tc>
        <w:tc>
          <w:tcPr>
            <w:tcW w:type="dxa" w:w="1972"/>
            <w:vAlign w:val="center"/>
          </w:tcPr>
          <w:p>
            <w:r>
              <w:rPr>
                <w:rFonts w:ascii="Arial" w:hAnsi="Arial"/>
                <w:sz w:val="17"/>
              </w:rPr>
              <w:t>1082</w:t>
            </w:r>
          </w:p>
        </w:tc>
      </w:tr>
      <w:tr>
        <w:tc>
          <w:tcPr>
            <w:tcW w:type="dxa" w:w="1972"/>
            <w:vAlign w:val="center"/>
          </w:tcPr>
          <w:p>
            <w:r>
              <w:rPr>
                <w:rFonts w:ascii="Arial" w:hAnsi="Arial"/>
                <w:sz w:val="17"/>
              </w:rPr>
              <w:t>Nova classificação (2.562)</w:t>
            </w:r>
          </w:p>
        </w:tc>
        <w:tc>
          <w:tcPr>
            <w:tcW w:type="dxa" w:w="1972"/>
            <w:vAlign w:val="center"/>
          </w:tcPr>
          <w:p>
            <w:r>
              <w:rPr>
                <w:rFonts w:ascii="Arial" w:hAnsi="Arial"/>
                <w:sz w:val="17"/>
              </w:rPr>
              <w:t>2562</w:t>
            </w:r>
          </w:p>
        </w:tc>
        <w:tc>
          <w:tcPr>
            <w:tcW w:type="dxa" w:w="1972"/>
            <w:vAlign w:val="center"/>
          </w:tcPr>
          <w:p>
            <w:r>
              <w:rPr>
                <w:rFonts w:ascii="Arial" w:hAnsi="Arial"/>
                <w:sz w:val="17"/>
              </w:rPr>
              <w:t>2322</w:t>
            </w:r>
          </w:p>
        </w:tc>
        <w:tc>
          <w:tcPr>
            <w:tcW w:type="dxa" w:w="1972"/>
            <w:vAlign w:val="center"/>
          </w:tcPr>
          <w:p>
            <w:r>
              <w:rPr>
                <w:rFonts w:ascii="Arial" w:hAnsi="Arial"/>
                <w:sz w:val="17"/>
              </w:rPr>
              <w:t>240</w:t>
            </w:r>
          </w:p>
        </w:tc>
        <w:tc>
          <w:tcPr>
            <w:tcW w:type="dxa" w:w="1972"/>
            <w:vAlign w:val="center"/>
          </w:tcPr>
          <w:p>
            <w:r>
              <w:rPr>
                <w:rFonts w:ascii="Arial" w:hAnsi="Arial"/>
                <w:sz w:val="17"/>
              </w:rPr>
              <w:t>0</w:t>
            </w:r>
          </w:p>
        </w:tc>
      </w:tr>
      <w:tr>
        <w:tc>
          <w:tcPr>
            <w:tcW w:type="dxa" w:w="1972"/>
            <w:vAlign w:val="center"/>
          </w:tcPr>
          <w:p>
            <w:r>
              <w:rPr>
                <w:rFonts w:ascii="Arial" w:hAnsi="Arial"/>
                <w:sz w:val="17"/>
              </w:rPr>
              <w:t>Coleta de campo (169)</w:t>
            </w:r>
          </w:p>
        </w:tc>
        <w:tc>
          <w:tcPr>
            <w:tcW w:type="dxa" w:w="1972"/>
            <w:vAlign w:val="center"/>
          </w:tcPr>
          <w:p>
            <w:r>
              <w:rPr>
                <w:rFonts w:ascii="Arial" w:hAnsi="Arial"/>
                <w:sz w:val="17"/>
              </w:rPr>
              <w:t>169</w:t>
            </w:r>
          </w:p>
        </w:tc>
        <w:tc>
          <w:tcPr>
            <w:tcW w:type="dxa" w:w="1972"/>
            <w:vAlign w:val="center"/>
          </w:tcPr>
          <w:p>
            <w:r>
              <w:rPr>
                <w:rFonts w:ascii="Arial" w:hAnsi="Arial"/>
                <w:sz w:val="17"/>
              </w:rPr>
              <w:t>169</w:t>
            </w:r>
          </w:p>
        </w:tc>
        <w:tc>
          <w:tcPr>
            <w:tcW w:type="dxa" w:w="1972"/>
            <w:vAlign w:val="center"/>
          </w:tcPr>
          <w:p>
            <w:r>
              <w:rPr>
                <w:rFonts w:ascii="Arial" w:hAnsi="Arial"/>
                <w:sz w:val="17"/>
              </w:rPr>
              <w:t>0</w:t>
            </w:r>
          </w:p>
        </w:tc>
        <w:tc>
          <w:tcPr>
            <w:tcW w:type="dxa" w:w="1972"/>
            <w:vAlign w:val="center"/>
          </w:tcPr>
          <w:p>
            <w:r>
              <w:rPr>
                <w:rFonts w:ascii="Arial" w:hAnsi="Arial"/>
                <w:sz w:val="17"/>
              </w:rPr>
              <w:t>0</w:t>
            </w:r>
          </w:p>
        </w:tc>
      </w:tr>
      <w:tr>
        <w:tc>
          <w:tcPr>
            <w:tcW w:type="dxa" w:w="1972"/>
            <w:vAlign w:val="center"/>
          </w:tcPr>
          <w:p>
            <w:r>
              <w:rPr>
                <w:rFonts w:ascii="Arial" w:hAnsi="Arial"/>
                <w:sz w:val="17"/>
              </w:rPr>
              <w:t>Interpretação por imagens (779)</w:t>
            </w:r>
          </w:p>
        </w:tc>
        <w:tc>
          <w:tcPr>
            <w:tcW w:type="dxa" w:w="1972"/>
            <w:vAlign w:val="center"/>
          </w:tcPr>
          <w:p>
            <w:r>
              <w:rPr>
                <w:rFonts w:ascii="Arial" w:hAnsi="Arial"/>
                <w:sz w:val="17"/>
              </w:rPr>
              <w:t>779</w:t>
            </w:r>
          </w:p>
        </w:tc>
        <w:tc>
          <w:tcPr>
            <w:tcW w:type="dxa" w:w="1972"/>
            <w:vAlign w:val="center"/>
          </w:tcPr>
          <w:p>
            <w:r>
              <w:rPr>
                <w:rFonts w:ascii="Arial" w:hAnsi="Arial"/>
                <w:sz w:val="17"/>
              </w:rPr>
              <w:t>779</w:t>
            </w:r>
          </w:p>
        </w:tc>
        <w:tc>
          <w:tcPr>
            <w:tcW w:type="dxa" w:w="1972"/>
            <w:vAlign w:val="center"/>
          </w:tcPr>
          <w:p>
            <w:r>
              <w:rPr>
                <w:rFonts w:ascii="Arial" w:hAnsi="Arial"/>
                <w:sz w:val="17"/>
              </w:rPr>
              <w:t>0</w:t>
            </w:r>
          </w:p>
        </w:tc>
        <w:tc>
          <w:tcPr>
            <w:tcW w:type="dxa" w:w="1972"/>
            <w:vAlign w:val="center"/>
          </w:tcPr>
          <w:p>
            <w:r>
              <w:rPr>
                <w:rFonts w:ascii="Arial" w:hAnsi="Arial"/>
                <w:sz w:val="17"/>
              </w:rPr>
              <w:t>0</w:t>
            </w:r>
          </w:p>
        </w:tc>
      </w:tr>
      <w:tr>
        <w:tc>
          <w:tcPr>
            <w:tcW w:type="dxa" w:w="1972"/>
            <w:vAlign w:val="center"/>
          </w:tcPr>
          <w:p>
            <w:r>
              <w:rPr>
                <w:rFonts w:ascii="Arial" w:hAnsi="Arial"/>
                <w:sz w:val="17"/>
              </w:rPr>
              <w:t>Controle cartográfico externo (826)</w:t>
            </w:r>
          </w:p>
        </w:tc>
        <w:tc>
          <w:tcPr>
            <w:tcW w:type="dxa" w:w="1972"/>
            <w:vAlign w:val="center"/>
          </w:tcPr>
          <w:p>
            <w:r>
              <w:rPr>
                <w:rFonts w:ascii="Arial" w:hAnsi="Arial"/>
                <w:sz w:val="17"/>
              </w:rPr>
              <w:t>826</w:t>
            </w:r>
          </w:p>
        </w:tc>
        <w:tc>
          <w:tcPr>
            <w:tcW w:type="dxa" w:w="1972"/>
            <w:vAlign w:val="center"/>
          </w:tcPr>
          <w:p>
            <w:r>
              <w:rPr>
                <w:rFonts w:ascii="Arial" w:hAnsi="Arial"/>
                <w:sz w:val="17"/>
              </w:rPr>
              <w:t>0</w:t>
            </w:r>
          </w:p>
        </w:tc>
        <w:tc>
          <w:tcPr>
            <w:tcW w:type="dxa" w:w="1972"/>
            <w:vAlign w:val="center"/>
          </w:tcPr>
          <w:p>
            <w:r>
              <w:rPr>
                <w:rFonts w:ascii="Arial" w:hAnsi="Arial"/>
                <w:sz w:val="17"/>
              </w:rPr>
              <w:t>826</w:t>
            </w:r>
          </w:p>
        </w:tc>
        <w:tc>
          <w:tcPr>
            <w:tcW w:type="dxa" w:w="1972"/>
            <w:vAlign w:val="center"/>
          </w:tcPr>
          <w:p>
            <w:r>
              <w:rPr>
                <w:rFonts w:ascii="Arial" w:hAnsi="Arial"/>
                <w:sz w:val="17"/>
              </w:rPr>
              <w:t>0</w:t>
            </w:r>
          </w:p>
        </w:tc>
      </w:tr>
    </w:tbl>
    <w:p>
      <w:pPr>
        <w:spacing w:after="100"/>
      </w:pPr>
      <w:r>
        <w:t>O universo integrado contém 6.477 pontos/observações. Desses. 5.395 possuem classificação binária utilizável para a matriz vermelho x não vermelho e 1.082 permanecem sem classificação. Os pontos indeterminados permanecem contabilizados na cobertura e na análise de lacunas. mas não podem ser convertidos artificialmente em presença ou ausência de solo vermelho.</w:t>
      </w:r>
    </w:p>
    <w:p>
      <w:pPr>
        <w:pStyle w:val="Heading1"/>
      </w:pPr>
      <w:r>
        <w:t>3. PRINCÍPIO DE VALIDAÇÃO</w:t>
      </w:r>
    </w:p>
    <w:p>
      <w:pPr>
        <w:spacing w:after="100"/>
      </w:pPr>
      <w:r>
        <w:t>A mancha foi tratada como um classificador espacial binário. Um ponto vermelho dentro da mancha representa concordância positiva (TP); um ponto vermelho fora representa possível omissão (FN); um ponto não vermelho dentro representa possível inclusão indevida (FP); e um ponto não vermelho fora representa concordância negativa (TN). Essa lógica reproduz a matriz de decisão já definida no relatório metodológico original.</w:t>
      </w:r>
    </w:p>
    <w:p>
      <w:pPr>
        <w:spacing w:after="100"/>
      </w:pPr>
      <w:r>
        <w:t>A avaliação global utiliza todas as observações classificáveis. Paralelamente, os resultados são apresentados por fonte para evitar que evidências de natureza distinta sejam tratadas como estatisticamente equivalentes. Pontos usados na construção/refinamento da mancha avaliam sobretudo consistência interna; pontos de campo e outras fontes externas oferecem evidência adicional de validação.</w:t>
      </w:r>
    </w:p>
    <w:p>
      <w:pPr>
        <w:pStyle w:val="Heading1"/>
      </w:pPr>
      <w:r>
        <w:t>4. RESULTADO DO CRUZAMENTO ESPACIAL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</w:tcPr>
          <w:p>
            <w:r>
              <w:rPr>
                <w:rFonts w:ascii="Arial" w:hAnsi="Arial"/>
                <w:sz w:val="17"/>
              </w:rPr>
              <w:t>Observação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Arial" w:hAnsi="Arial"/>
                <w:sz w:val="17"/>
              </w:rPr>
              <w:t>Dentro da mancha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Arial" w:hAnsi="Arial"/>
                <w:sz w:val="17"/>
              </w:rPr>
              <w:t>Fora da mancha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Arial" w:hAnsi="Arial"/>
                <w:sz w:val="17"/>
              </w:rPr>
              <w:t>Solo vermelho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Arial" w:hAnsi="Arial"/>
                <w:sz w:val="17"/>
              </w:rPr>
              <w:t>2446 (TP)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Arial" w:hAnsi="Arial"/>
                <w:sz w:val="17"/>
              </w:rPr>
              <w:t>1094 (FN)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Arial" w:hAnsi="Arial"/>
                <w:sz w:val="17"/>
              </w:rPr>
              <w:t>Solo não vermelho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Arial" w:hAnsi="Arial"/>
                <w:sz w:val="17"/>
              </w:rPr>
              <w:t>766 (FP)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Arial" w:hAnsi="Arial"/>
                <w:sz w:val="17"/>
              </w:rPr>
              <w:t>1089 (TN)</w:t>
            </w:r>
          </w:p>
        </w:tc>
      </w:tr>
    </w:tbl>
    <w:p>
      <w:pPr>
        <w:spacing w:after="100"/>
      </w:pPr>
      <w:r>
        <w:t>A matriz consolidada resultou em 2446 pontos vermelhos dentro da mancha, 1094 pontos vermelhos fora, 766 pontos não vermelhos dentro e 1089 pontos não vermelhos fora. O resultado evidencia associação espacial real entre a mancha e as observações, mas também identifica divergências relevantes que devem ser interpretadas como zonas de revisão, transição ou insuficiência de informação.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32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matriz_concordanc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3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INDICADORES ESTATÍSTICOS GLOBAIS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vAlign w:val="center"/>
          </w:tcPr>
          <w:p>
            <w:r>
              <w:rPr>
                <w:rFonts w:ascii="Arial" w:hAnsi="Arial"/>
                <w:sz w:val="17"/>
              </w:rPr>
              <w:t>Indicador</w:t>
            </w:r>
          </w:p>
        </w:tc>
        <w:tc>
          <w:tcPr>
            <w:tcW w:type="dxa" w:w="2465"/>
            <w:vAlign w:val="center"/>
          </w:tcPr>
          <w:p>
            <w:r>
              <w:rPr>
                <w:rFonts w:ascii="Arial" w:hAnsi="Arial"/>
                <w:sz w:val="17"/>
              </w:rPr>
              <w:t>Resultado</w:t>
            </w:r>
          </w:p>
        </w:tc>
        <w:tc>
          <w:tcPr>
            <w:tcW w:type="dxa" w:w="2465"/>
            <w:vAlign w:val="center"/>
          </w:tcPr>
          <w:p>
            <w:r>
              <w:rPr>
                <w:rFonts w:ascii="Arial" w:hAnsi="Arial"/>
                <w:sz w:val="17"/>
              </w:rPr>
              <w:t>IC 95%</w:t>
            </w:r>
          </w:p>
        </w:tc>
        <w:tc>
          <w:tcPr>
            <w:tcW w:type="dxa" w:w="2465"/>
            <w:vAlign w:val="center"/>
          </w:tcPr>
          <w:p>
            <w:r>
              <w:rPr>
                <w:rFonts w:ascii="Arial" w:hAnsi="Arial"/>
                <w:sz w:val="17"/>
              </w:rPr>
              <w:t>Interpretação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rFonts w:ascii="Arial" w:hAnsi="Arial"/>
                <w:sz w:val="17"/>
              </w:rPr>
              <w:t>Acurácia global</w:t>
            </w:r>
          </w:p>
        </w:tc>
        <w:tc>
          <w:tcPr>
            <w:tcW w:type="dxa" w:w="2465"/>
            <w:vAlign w:val="center"/>
          </w:tcPr>
          <w:p>
            <w:r>
              <w:rPr>
                <w:rFonts w:ascii="Arial" w:hAnsi="Arial"/>
                <w:sz w:val="17"/>
              </w:rPr>
              <w:t>65.5%</w:t>
            </w:r>
          </w:p>
        </w:tc>
        <w:tc>
          <w:tcPr>
            <w:tcW w:type="dxa" w:w="2465"/>
            <w:vAlign w:val="center"/>
          </w:tcPr>
          <w:p>
            <w:r>
              <w:rPr>
                <w:rFonts w:ascii="Arial" w:hAnsi="Arial"/>
                <w:sz w:val="17"/>
              </w:rPr>
              <w:t>64.2% - 66.8%</w:t>
            </w:r>
          </w:p>
        </w:tc>
        <w:tc>
          <w:tcPr>
            <w:tcW w:type="dxa" w:w="2465"/>
            <w:vAlign w:val="center"/>
          </w:tcPr>
          <w:p>
            <w:r>
              <w:rPr>
                <w:rFonts w:ascii="Arial" w:hAnsi="Arial"/>
                <w:sz w:val="17"/>
              </w:rPr>
              <w:t>Concordância global moderada entre classe observada e posição na mancha.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rFonts w:ascii="Arial" w:hAnsi="Arial"/>
                <w:sz w:val="17"/>
              </w:rPr>
              <w:t>Sensibilidade</w:t>
            </w:r>
          </w:p>
        </w:tc>
        <w:tc>
          <w:tcPr>
            <w:tcW w:type="dxa" w:w="2465"/>
            <w:vAlign w:val="center"/>
          </w:tcPr>
          <w:p>
            <w:r>
              <w:rPr>
                <w:rFonts w:ascii="Arial" w:hAnsi="Arial"/>
                <w:sz w:val="17"/>
              </w:rPr>
              <w:t>69.1%</w:t>
            </w:r>
          </w:p>
        </w:tc>
        <w:tc>
          <w:tcPr>
            <w:tcW w:type="dxa" w:w="2465"/>
            <w:vAlign w:val="center"/>
          </w:tcPr>
          <w:p>
            <w:r>
              <w:rPr>
                <w:rFonts w:ascii="Arial" w:hAnsi="Arial"/>
                <w:sz w:val="17"/>
              </w:rPr>
              <w:t>67.6% - 70.6%</w:t>
            </w:r>
          </w:p>
        </w:tc>
        <w:tc>
          <w:tcPr>
            <w:tcW w:type="dxa" w:w="2465"/>
            <w:vAlign w:val="center"/>
          </w:tcPr>
          <w:p>
            <w:r>
              <w:rPr>
                <w:rFonts w:ascii="Arial" w:hAnsi="Arial"/>
                <w:sz w:val="17"/>
              </w:rPr>
              <w:t>Capacidade moderada/boa de conter observações vermelhas.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rFonts w:ascii="Arial" w:hAnsi="Arial"/>
                <w:sz w:val="17"/>
              </w:rPr>
              <w:t>Especificidade</w:t>
            </w:r>
          </w:p>
        </w:tc>
        <w:tc>
          <w:tcPr>
            <w:tcW w:type="dxa" w:w="2465"/>
            <w:vAlign w:val="center"/>
          </w:tcPr>
          <w:p>
            <w:r>
              <w:rPr>
                <w:rFonts w:ascii="Arial" w:hAnsi="Arial"/>
                <w:sz w:val="17"/>
              </w:rPr>
              <w:t>58.7%</w:t>
            </w:r>
          </w:p>
        </w:tc>
        <w:tc>
          <w:tcPr>
            <w:tcW w:type="dxa" w:w="2465"/>
            <w:vAlign w:val="center"/>
          </w:tcPr>
          <w:p>
            <w:r>
              <w:rPr>
                <w:rFonts w:ascii="Arial" w:hAnsi="Arial"/>
                <w:sz w:val="17"/>
              </w:rPr>
              <w:t>56.4% - 60.9%</w:t>
            </w:r>
          </w:p>
        </w:tc>
        <w:tc>
          <w:tcPr>
            <w:tcW w:type="dxa" w:w="2465"/>
            <w:vAlign w:val="center"/>
          </w:tcPr>
          <w:p>
            <w:r>
              <w:rPr>
                <w:rFonts w:ascii="Arial" w:hAnsi="Arial"/>
                <w:sz w:val="17"/>
              </w:rPr>
              <w:t>Capacidade moderada de excluir observações não vermelhas.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rFonts w:ascii="Arial" w:hAnsi="Arial"/>
                <w:sz w:val="17"/>
              </w:rPr>
              <w:t>Valor preditivo positivo</w:t>
            </w:r>
          </w:p>
        </w:tc>
        <w:tc>
          <w:tcPr>
            <w:tcW w:type="dxa" w:w="2465"/>
            <w:vAlign w:val="center"/>
          </w:tcPr>
          <w:p>
            <w:r>
              <w:rPr>
                <w:rFonts w:ascii="Arial" w:hAnsi="Arial"/>
                <w:sz w:val="17"/>
              </w:rPr>
              <w:t>76.2%</w:t>
            </w:r>
          </w:p>
        </w:tc>
        <w:tc>
          <w:tcPr>
            <w:tcW w:type="dxa" w:w="2465"/>
            <w:vAlign w:val="center"/>
          </w:tcPr>
          <w:p>
            <w:r>
              <w:rPr>
                <w:rFonts w:ascii="Arial" w:hAnsi="Arial"/>
                <w:sz w:val="17"/>
              </w:rPr>
              <w:t>74.6% - 77.6%</w:t>
            </w:r>
          </w:p>
        </w:tc>
        <w:tc>
          <w:tcPr>
            <w:tcW w:type="dxa" w:w="2465"/>
            <w:vAlign w:val="center"/>
          </w:tcPr>
          <w:p>
            <w:r>
              <w:rPr>
                <w:rFonts w:ascii="Arial" w:hAnsi="Arial"/>
                <w:sz w:val="17"/>
              </w:rPr>
              <w:t>A maior parte dos pontos situados dentro e classificados no teste é vermelha.</w:t>
            </w:r>
          </w:p>
        </w:tc>
      </w:tr>
      <w:tr>
        <w:tc>
          <w:tcPr>
            <w:tcW w:type="dxa" w:w="2465"/>
            <w:vAlign w:val="center"/>
          </w:tcPr>
          <w:p>
            <w:r>
              <w:rPr>
                <w:rFonts w:ascii="Arial" w:hAnsi="Arial"/>
                <w:sz w:val="17"/>
              </w:rPr>
              <w:t>Valor preditivo negativo</w:t>
            </w:r>
          </w:p>
        </w:tc>
        <w:tc>
          <w:tcPr>
            <w:tcW w:type="dxa" w:w="2465"/>
            <w:vAlign w:val="center"/>
          </w:tcPr>
          <w:p>
            <w:r>
              <w:rPr>
                <w:rFonts w:ascii="Arial" w:hAnsi="Arial"/>
                <w:sz w:val="17"/>
              </w:rPr>
              <w:t>49.9%</w:t>
            </w:r>
          </w:p>
        </w:tc>
        <w:tc>
          <w:tcPr>
            <w:tcW w:type="dxa" w:w="2465"/>
            <w:vAlign w:val="center"/>
          </w:tcPr>
          <w:p>
            <w:r>
              <w:rPr>
                <w:rFonts w:ascii="Arial" w:hAnsi="Arial"/>
                <w:sz w:val="17"/>
              </w:rPr>
              <w:t>47.8% - 52.0%</w:t>
            </w:r>
          </w:p>
        </w:tc>
        <w:tc>
          <w:tcPr>
            <w:tcW w:type="dxa" w:w="2465"/>
            <w:vAlign w:val="center"/>
          </w:tcPr>
          <w:p>
            <w:r>
              <w:rPr>
                <w:rFonts w:ascii="Arial" w:hAnsi="Arial"/>
                <w:sz w:val="17"/>
              </w:rPr>
              <w:t>O exterior ainda contém quantidade relevante de observações vermelhas, indicando possíveis omissões ou diferenças de escala.</w:t>
            </w:r>
          </w:p>
        </w:tc>
      </w:tr>
    </w:tbl>
    <w:p>
      <w:pPr>
        <w:spacing w:after="100"/>
      </w:pPr>
      <w:r>
        <w:t>A taxa de omissão (pontos vermelhos fora da mancha) foi de 30.9% entre as observações vermelhas classificáveis. A taxa de comissão, expressa aqui como proporção de observações não vermelhas situadas dentro da mancha, foi de 41.3% entre as observações não vermelhas.</w:t>
      </w:r>
    </w:p>
    <w:p>
      <w:pPr>
        <w:spacing w:after="100"/>
      </w:pPr>
      <w:r>
        <w:t>O coeficiente Kappa de Cohen foi κ = 0.267, indicando concordância acima do acaso, porém não suficiente para sustentar a afirmação de concordância quase perfeita em escala nacional.</w:t>
      </w:r>
    </w:p>
    <w:p>
      <w:pPr>
        <w:pStyle w:val="Heading1"/>
      </w:pPr>
      <w:r>
        <w:t>6. TESTE DE ASSOCIAÇÃO - QUI-QUADRADO</w:t>
      </w:r>
    </w:p>
    <w:p>
      <w:pPr>
        <w:spacing w:after="100"/>
      </w:pPr>
      <w:r>
        <w:t>O teste qui-quadrado de independência aplicado à matriz 2 x 2 resultou em χ² = 389.39, com 1 grau de liberdade e p &lt; 0,001 (p calculado ≈ 1.12e-86). Assim, rejeita-se a hipótese de independência entre a classificação observada do solo e a posição dentro/fora da mancha.</w:t>
      </w:r>
    </w:p>
    <w:p>
      <w:pPr>
        <w:spacing w:after="100"/>
      </w:pPr>
      <w:r>
        <w:t>Esse resultado demonstra que a relação espacial observada é estatisticamente significativa e não se comporta como associação aleatória. Contudo, significância estatística não equivale, por si só, a alta acurácia cartográfica; por isso o teste é interpretado em conjunto com sensibilidade, especificidade, Kappa, distribuição espacial e origem das evidências.</w:t>
      </w:r>
    </w:p>
    <w:p>
      <w:pPr>
        <w:pStyle w:val="Heading1"/>
      </w:pPr>
      <w:r>
        <w:t>7. ANÁLISE ESTRATIFICADA POR FONTE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3"/>
        <w:gridCol w:w="1643"/>
        <w:gridCol w:w="1643"/>
        <w:gridCol w:w="1643"/>
        <w:gridCol w:w="1643"/>
        <w:gridCol w:w="1643"/>
      </w:tblGrid>
      <w:tr>
        <w:tc>
          <w:tcPr>
            <w:tcW w:type="dxa" w:w="1643"/>
            <w:vAlign w:val="center"/>
          </w:tcPr>
          <w:p>
            <w:r>
              <w:rPr>
                <w:rFonts w:ascii="Arial" w:hAnsi="Arial"/>
                <w:sz w:val="17"/>
              </w:rPr>
              <w:t>Fonte</w:t>
            </w:r>
          </w:p>
        </w:tc>
        <w:tc>
          <w:tcPr>
            <w:tcW w:type="dxa" w:w="1643"/>
            <w:vAlign w:val="center"/>
          </w:tcPr>
          <w:p>
            <w:r>
              <w:rPr>
                <w:rFonts w:ascii="Arial" w:hAnsi="Arial"/>
                <w:sz w:val="17"/>
              </w:rPr>
              <w:t>TP</w:t>
            </w:r>
          </w:p>
        </w:tc>
        <w:tc>
          <w:tcPr>
            <w:tcW w:type="dxa" w:w="1643"/>
            <w:vAlign w:val="center"/>
          </w:tcPr>
          <w:p>
            <w:r>
              <w:rPr>
                <w:rFonts w:ascii="Arial" w:hAnsi="Arial"/>
                <w:sz w:val="17"/>
              </w:rPr>
              <w:t>FN</w:t>
            </w:r>
          </w:p>
        </w:tc>
        <w:tc>
          <w:tcPr>
            <w:tcW w:type="dxa" w:w="1643"/>
            <w:vAlign w:val="center"/>
          </w:tcPr>
          <w:p>
            <w:r>
              <w:rPr>
                <w:rFonts w:ascii="Arial" w:hAnsi="Arial"/>
                <w:sz w:val="17"/>
              </w:rPr>
              <w:t>FP</w:t>
            </w:r>
          </w:p>
        </w:tc>
        <w:tc>
          <w:tcPr>
            <w:tcW w:type="dxa" w:w="1643"/>
            <w:vAlign w:val="center"/>
          </w:tcPr>
          <w:p>
            <w:r>
              <w:rPr>
                <w:rFonts w:ascii="Arial" w:hAnsi="Arial"/>
                <w:sz w:val="17"/>
              </w:rPr>
              <w:t>TN</w:t>
            </w:r>
          </w:p>
        </w:tc>
        <w:tc>
          <w:tcPr>
            <w:tcW w:type="dxa" w:w="1643"/>
            <w:vAlign w:val="center"/>
          </w:tcPr>
          <w:p>
            <w:r>
              <w:rPr>
                <w:rFonts w:ascii="Arial" w:hAnsi="Arial"/>
                <w:sz w:val="17"/>
              </w:rPr>
              <w:t>Leitura principal</w:t>
            </w:r>
          </w:p>
        </w:tc>
      </w:tr>
      <w:tr>
        <w:tc>
          <w:tcPr>
            <w:tcW w:type="dxa" w:w="1643"/>
            <w:vAlign w:val="center"/>
          </w:tcPr>
          <w:p>
            <w:r>
              <w:rPr>
                <w:rFonts w:ascii="Arial" w:hAnsi="Arial"/>
                <w:sz w:val="17"/>
              </w:rPr>
              <w:t>Acervo histórico/classificado (2.141)</w:t>
            </w:r>
          </w:p>
        </w:tc>
        <w:tc>
          <w:tcPr>
            <w:tcW w:type="dxa" w:w="1643"/>
            <w:vAlign w:val="center"/>
          </w:tcPr>
          <w:p>
            <w:r>
              <w:rPr>
                <w:rFonts w:ascii="Arial" w:hAnsi="Arial"/>
                <w:sz w:val="17"/>
              </w:rPr>
              <w:t>230</w:t>
            </w:r>
          </w:p>
        </w:tc>
        <w:tc>
          <w:tcPr>
            <w:tcW w:type="dxa" w:w="1643"/>
            <w:vAlign w:val="center"/>
          </w:tcPr>
          <w:p>
            <w:r>
              <w:rPr>
                <w:rFonts w:ascii="Arial" w:hAnsi="Arial"/>
                <w:sz w:val="17"/>
              </w:rPr>
              <w:t>40</w:t>
            </w:r>
          </w:p>
        </w:tc>
        <w:tc>
          <w:tcPr>
            <w:tcW w:type="dxa" w:w="1643"/>
            <w:vAlign w:val="center"/>
          </w:tcPr>
          <w:p>
            <w:r>
              <w:rPr>
                <w:rFonts w:ascii="Arial" w:hAnsi="Arial"/>
                <w:sz w:val="17"/>
              </w:rPr>
              <w:t>554</w:t>
            </w:r>
          </w:p>
        </w:tc>
        <w:tc>
          <w:tcPr>
            <w:tcW w:type="dxa" w:w="1643"/>
            <w:vAlign w:val="center"/>
          </w:tcPr>
          <w:p>
            <w:r>
              <w:rPr>
                <w:rFonts w:ascii="Arial" w:hAnsi="Arial"/>
                <w:sz w:val="17"/>
              </w:rPr>
              <w:t>235</w:t>
            </w:r>
          </w:p>
        </w:tc>
        <w:tc>
          <w:tcPr>
            <w:tcW w:type="dxa" w:w="1643"/>
            <w:vAlign w:val="center"/>
          </w:tcPr>
          <w:p>
            <w:r>
              <w:rPr>
                <w:rFonts w:ascii="Arial" w:hAnsi="Arial"/>
                <w:sz w:val="17"/>
              </w:rPr>
              <w:t>Acervo misto; contém concordâncias, divergências e 1.082 pontos indeterminados.</w:t>
            </w:r>
          </w:p>
        </w:tc>
      </w:tr>
      <w:tr>
        <w:tc>
          <w:tcPr>
            <w:tcW w:type="dxa" w:w="1643"/>
            <w:vAlign w:val="center"/>
          </w:tcPr>
          <w:p>
            <w:r>
              <w:rPr>
                <w:rFonts w:ascii="Arial" w:hAnsi="Arial"/>
                <w:sz w:val="17"/>
              </w:rPr>
              <w:t>Nova classificação (2.562)</w:t>
            </w:r>
          </w:p>
        </w:tc>
        <w:tc>
          <w:tcPr>
            <w:tcW w:type="dxa" w:w="1643"/>
            <w:vAlign w:val="center"/>
          </w:tcPr>
          <w:p>
            <w:r>
              <w:rPr>
                <w:rFonts w:ascii="Arial" w:hAnsi="Arial"/>
                <w:sz w:val="17"/>
              </w:rPr>
              <w:t>1320</w:t>
            </w:r>
          </w:p>
        </w:tc>
        <w:tc>
          <w:tcPr>
            <w:tcW w:type="dxa" w:w="1643"/>
            <w:vAlign w:val="center"/>
          </w:tcPr>
          <w:p>
            <w:r>
              <w:rPr>
                <w:rFonts w:ascii="Arial" w:hAnsi="Arial"/>
                <w:sz w:val="17"/>
              </w:rPr>
              <w:t>1002</w:t>
            </w:r>
          </w:p>
        </w:tc>
        <w:tc>
          <w:tcPr>
            <w:tcW w:type="dxa" w:w="1643"/>
            <w:vAlign w:val="center"/>
          </w:tcPr>
          <w:p>
            <w:r>
              <w:rPr>
                <w:rFonts w:ascii="Arial" w:hAnsi="Arial"/>
                <w:sz w:val="17"/>
              </w:rPr>
              <w:t>212</w:t>
            </w:r>
          </w:p>
        </w:tc>
        <w:tc>
          <w:tcPr>
            <w:tcW w:type="dxa" w:w="1643"/>
            <w:vAlign w:val="center"/>
          </w:tcPr>
          <w:p>
            <w:r>
              <w:rPr>
                <w:rFonts w:ascii="Arial" w:hAnsi="Arial"/>
                <w:sz w:val="17"/>
              </w:rPr>
              <w:t>28</w:t>
            </w:r>
          </w:p>
        </w:tc>
        <w:tc>
          <w:tcPr>
            <w:tcW w:type="dxa" w:w="1643"/>
            <w:vAlign w:val="center"/>
          </w:tcPr>
          <w:p>
            <w:r>
              <w:rPr>
                <w:rFonts w:ascii="Arial" w:hAnsi="Arial"/>
                <w:sz w:val="17"/>
              </w:rPr>
              <w:t>Grande volume de evidência vermelha, com parcela expressiva fora da mancha; importante para revisão de omissões.</w:t>
            </w:r>
          </w:p>
        </w:tc>
      </w:tr>
      <w:tr>
        <w:tc>
          <w:tcPr>
            <w:tcW w:type="dxa" w:w="1643"/>
            <w:vAlign w:val="center"/>
          </w:tcPr>
          <w:p>
            <w:r>
              <w:rPr>
                <w:rFonts w:ascii="Arial" w:hAnsi="Arial"/>
                <w:sz w:val="17"/>
              </w:rPr>
              <w:t>Coleta de campo (169)</w:t>
            </w:r>
          </w:p>
        </w:tc>
        <w:tc>
          <w:tcPr>
            <w:tcW w:type="dxa" w:w="1643"/>
            <w:vAlign w:val="center"/>
          </w:tcPr>
          <w:p>
            <w:r>
              <w:rPr>
                <w:rFonts w:ascii="Arial" w:hAnsi="Arial"/>
                <w:sz w:val="17"/>
              </w:rPr>
              <w:t>156</w:t>
            </w:r>
          </w:p>
        </w:tc>
        <w:tc>
          <w:tcPr>
            <w:tcW w:type="dxa" w:w="1643"/>
            <w:vAlign w:val="center"/>
          </w:tcPr>
          <w:p>
            <w:r>
              <w:rPr>
                <w:rFonts w:ascii="Arial" w:hAnsi="Arial"/>
                <w:sz w:val="17"/>
              </w:rPr>
              <w:t>13</w:t>
            </w:r>
          </w:p>
        </w:tc>
        <w:tc>
          <w:tcPr>
            <w:tcW w:type="dxa" w:w="1643"/>
            <w:vAlign w:val="center"/>
          </w:tcPr>
          <w:p>
            <w:r>
              <w:rPr>
                <w:rFonts w:ascii="Arial" w:hAnsi="Arial"/>
                <w:sz w:val="17"/>
              </w:rPr>
              <w:t>0</w:t>
            </w:r>
          </w:p>
        </w:tc>
        <w:tc>
          <w:tcPr>
            <w:tcW w:type="dxa" w:w="1643"/>
            <w:vAlign w:val="center"/>
          </w:tcPr>
          <w:p>
            <w:r>
              <w:rPr>
                <w:rFonts w:ascii="Arial" w:hAnsi="Arial"/>
                <w:sz w:val="17"/>
              </w:rPr>
              <w:t>0</w:t>
            </w:r>
          </w:p>
        </w:tc>
        <w:tc>
          <w:tcPr>
            <w:tcW w:type="dxa" w:w="1643"/>
            <w:vAlign w:val="center"/>
          </w:tcPr>
          <w:p>
            <w:r>
              <w:rPr>
                <w:rFonts w:ascii="Arial" w:hAnsi="Arial"/>
                <w:sz w:val="17"/>
              </w:rPr>
              <w:t>Evidência direta de campo: 156 dentro e 13 fora da mancha.</w:t>
            </w:r>
          </w:p>
        </w:tc>
      </w:tr>
      <w:tr>
        <w:tc>
          <w:tcPr>
            <w:tcW w:type="dxa" w:w="1643"/>
            <w:vAlign w:val="center"/>
          </w:tcPr>
          <w:p>
            <w:r>
              <w:rPr>
                <w:rFonts w:ascii="Arial" w:hAnsi="Arial"/>
                <w:sz w:val="17"/>
              </w:rPr>
              <w:t>Interpretação por imagens (779)</w:t>
            </w:r>
          </w:p>
        </w:tc>
        <w:tc>
          <w:tcPr>
            <w:tcW w:type="dxa" w:w="1643"/>
            <w:vAlign w:val="center"/>
          </w:tcPr>
          <w:p>
            <w:r>
              <w:rPr>
                <w:rFonts w:ascii="Arial" w:hAnsi="Arial"/>
                <w:sz w:val="17"/>
              </w:rPr>
              <w:t>740</w:t>
            </w:r>
          </w:p>
        </w:tc>
        <w:tc>
          <w:tcPr>
            <w:tcW w:type="dxa" w:w="1643"/>
            <w:vAlign w:val="center"/>
          </w:tcPr>
          <w:p>
            <w:r>
              <w:rPr>
                <w:rFonts w:ascii="Arial" w:hAnsi="Arial"/>
                <w:sz w:val="17"/>
              </w:rPr>
              <w:t>39</w:t>
            </w:r>
          </w:p>
        </w:tc>
        <w:tc>
          <w:tcPr>
            <w:tcW w:type="dxa" w:w="1643"/>
            <w:vAlign w:val="center"/>
          </w:tcPr>
          <w:p>
            <w:r>
              <w:rPr>
                <w:rFonts w:ascii="Arial" w:hAnsi="Arial"/>
                <w:sz w:val="17"/>
              </w:rPr>
              <w:t>0</w:t>
            </w:r>
          </w:p>
        </w:tc>
        <w:tc>
          <w:tcPr>
            <w:tcW w:type="dxa" w:w="1643"/>
            <w:vAlign w:val="center"/>
          </w:tcPr>
          <w:p>
            <w:r>
              <w:rPr>
                <w:rFonts w:ascii="Arial" w:hAnsi="Arial"/>
                <w:sz w:val="17"/>
              </w:rPr>
              <w:t>0</w:t>
            </w:r>
          </w:p>
        </w:tc>
        <w:tc>
          <w:tcPr>
            <w:tcW w:type="dxa" w:w="1643"/>
            <w:vAlign w:val="center"/>
          </w:tcPr>
          <w:p>
            <w:r>
              <w:rPr>
                <w:rFonts w:ascii="Arial" w:hAnsi="Arial"/>
                <w:sz w:val="17"/>
              </w:rPr>
              <w:t>Evidência remota complementar: predominância dentro da mancha, com 39 ocorrências fora.</w:t>
            </w:r>
          </w:p>
        </w:tc>
      </w:tr>
      <w:tr>
        <w:tc>
          <w:tcPr>
            <w:tcW w:type="dxa" w:w="1643"/>
            <w:vAlign w:val="center"/>
          </w:tcPr>
          <w:p>
            <w:r>
              <w:rPr>
                <w:rFonts w:ascii="Arial" w:hAnsi="Arial"/>
                <w:sz w:val="17"/>
              </w:rPr>
              <w:t>Controle cartográfico externo (826)</w:t>
            </w:r>
          </w:p>
        </w:tc>
        <w:tc>
          <w:tcPr>
            <w:tcW w:type="dxa" w:w="1643"/>
            <w:vAlign w:val="center"/>
          </w:tcPr>
          <w:p>
            <w:r>
              <w:rPr>
                <w:rFonts w:ascii="Arial" w:hAnsi="Arial"/>
                <w:sz w:val="17"/>
              </w:rPr>
              <w:t>0</w:t>
            </w:r>
          </w:p>
        </w:tc>
        <w:tc>
          <w:tcPr>
            <w:tcW w:type="dxa" w:w="1643"/>
            <w:vAlign w:val="center"/>
          </w:tcPr>
          <w:p>
            <w:r>
              <w:rPr>
                <w:rFonts w:ascii="Arial" w:hAnsi="Arial"/>
                <w:sz w:val="17"/>
              </w:rPr>
              <w:t>0</w:t>
            </w:r>
          </w:p>
        </w:tc>
        <w:tc>
          <w:tcPr>
            <w:tcW w:type="dxa" w:w="1643"/>
            <w:vAlign w:val="center"/>
          </w:tcPr>
          <w:p>
            <w:r>
              <w:rPr>
                <w:rFonts w:ascii="Arial" w:hAnsi="Arial"/>
                <w:sz w:val="17"/>
              </w:rPr>
              <w:t>0</w:t>
            </w:r>
          </w:p>
        </w:tc>
        <w:tc>
          <w:tcPr>
            <w:tcW w:type="dxa" w:w="1643"/>
            <w:vAlign w:val="center"/>
          </w:tcPr>
          <w:p>
            <w:r>
              <w:rPr>
                <w:rFonts w:ascii="Arial" w:hAnsi="Arial"/>
                <w:sz w:val="17"/>
              </w:rPr>
              <w:t>826</w:t>
            </w:r>
          </w:p>
        </w:tc>
        <w:tc>
          <w:tcPr>
            <w:tcW w:type="dxa" w:w="1643"/>
            <w:vAlign w:val="center"/>
          </w:tcPr>
          <w:p>
            <w:r>
              <w:rPr>
                <w:rFonts w:ascii="Arial" w:hAnsi="Arial"/>
                <w:sz w:val="17"/>
              </w:rPr>
              <w:t>Controle derivado da cartografia pedológica e deliberadamente externo; mede coerência cartográfica, não substitui campo.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fontes_valid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8. PAPEL DOS 826 PONTOS DE CONTROLE EXTERNO</w:t>
      </w:r>
    </w:p>
    <w:p>
      <w:pPr>
        <w:spacing w:after="100"/>
      </w:pPr>
      <w:r>
        <w:t>Os 826 pontos novos foram gerados em posições sistemáticas externas à mancha e associados a unidades pedológicas conservadoramente não vermelhas. Foi aplicada exclusão espacial em relação aos pontos previamente existentes, evitando simples reutilização de coordenadas.</w:t>
      </w:r>
    </w:p>
    <w:p>
      <w:pPr>
        <w:spacing w:after="100"/>
      </w:pPr>
      <w:r>
        <w:t>Esses pontos integram o universo global do estudo e são úteis para testar a coerência do exterior da mancha. Entretanto, por terem sido derivados da própria cartografia pedológica e selecionados fora da mancha, não devem ser descritos como amostragem de campo independente nem usados isoladamente para inflar a estimativa de acurácia. No documento, sua função correta é 'controle cartográfico externo'.</w:t>
      </w:r>
    </w:p>
    <w:p>
      <w:pPr>
        <w:pStyle w:val="Heading1"/>
      </w:pPr>
      <w:r>
        <w:t>9. REPRESENTATIVIDADE ESPACIAL E ESCALA NACIONAL</w:t>
      </w:r>
    </w:p>
    <w:p>
      <w:pPr>
        <w:spacing w:after="100"/>
      </w:pPr>
      <w:r>
        <w:t>A interpretação estatística deve considerar a dimensão territorial de Angola e a distribuição não uniforme das observações. O número absoluto de pontos não autoriza extrapolar uma margem de erro nacional como se houvesse amostragem aleatória simples. A representatividade deve ser avaliada por quadrícula 20 x 20 km, província, unidade geológica, unidade pedológica, contexto de paisagem e densidade de evidências.</w:t>
      </w:r>
    </w:p>
    <w:p>
      <w:pPr>
        <w:spacing w:after="100"/>
      </w:pPr>
      <w:r>
        <w:t>Recomenda-se que a versão consolidada do produto incorpore uma camada de confiança espacial, distinguindo áreas confirmadas, áreas com evidência moderada, áreas inferidas e áreas prioritárias para revisão. Essa abordagem é consistente com a metodologia original e evita transmitir precisão superior à suportada pelas bases de origem.</w:t>
      </w:r>
    </w:p>
    <w:p>
      <w:pPr>
        <w:pStyle w:val="Heading1"/>
      </w:pPr>
      <w:r>
        <w:t>10. INTERPRETAÇÃO DA CONFIABILIDADE</w:t>
      </w:r>
    </w:p>
    <w:p>
      <w:pPr>
        <w:spacing w:after="100"/>
      </w:pPr>
      <w:r>
        <w:t>Os resultados sustentam que existe associação estatisticamente significativa entre a mancha e o conjunto de observações. Há forte volume de concordância positiva e evidência externa negativa, mas também existem 1.094 observações vermelhas fora da mancha e 766 observações não vermelhas dentro dela no conjunto classificável.</w:t>
      </w:r>
    </w:p>
    <w:p>
      <w:pPr>
        <w:spacing w:after="100"/>
      </w:pPr>
      <w:r>
        <w:t>Portanto, a conclusão tecnicamente defensável não é que a mancha esteja 'comprovada com 95% de acurácia nacional'. O que os dados permitem afirmar é que a mancha apresenta coerência espacial estatisticamente significativa e utilidade cartográfica regional, ao mesmo tempo em que as divergências identificam setores que merecem refinamento progressivo. Essa formulação aumenta a credibilidade do trabalho porque separa evidência, incerteza e escala de uso.</w:t>
      </w:r>
    </w:p>
    <w:p>
      <w:pPr>
        <w:spacing w:after="100"/>
      </w:pPr>
      <w:r>
        <w:t>Os intervalos de confiança de 95% apresentados neste documento quantificam a incerteza das proporções observadas no conjunto disponível; não devem ser interpretados como intervalo probabilístico de cobertura territorial de toda Angola, pois o desenho amostral não corresponde a amostragem aleatória simples nacional.</w:t>
      </w:r>
    </w:p>
    <w:p>
      <w:pPr>
        <w:pStyle w:val="Heading1"/>
      </w:pPr>
      <w:r>
        <w:t>11. ANÁLISE DE BORDA RECOMENDADA</w:t>
      </w:r>
    </w:p>
    <w:p>
      <w:pPr>
        <w:spacing w:after="100"/>
      </w:pPr>
      <w:r>
        <w:t>Para fortalecer especificamente a defesa dos limites da mancha, recomenda-se uma análise de distância à borda, em faixas de 0-5 km, 5-10 km, 10-20 km, 20-50 km e &gt;50 km. O comportamento esperado de uma delimitação coerente é maior mistura de classes próximo às bordas, aumento da proporção de vermelhos para o interior e aumento da proporção de não vermelhos para o exterior.</w:t>
      </w:r>
    </w:p>
    <w:p>
      <w:pPr>
        <w:spacing w:after="100"/>
      </w:pPr>
      <w:r>
        <w:t>Essa análise deve ser apresentada como complemento espacial e não como substituição da matriz global. Ela é particularmente útil para responder ao questionamento do cliente sobre a confirmação dos limites externos.</w:t>
      </w:r>
    </w:p>
    <w:p>
      <w:pPr>
        <w:pStyle w:val="Heading1"/>
      </w:pPr>
      <w:r>
        <w:t>12. CONCLUSÕES</w:t>
      </w:r>
    </w:p>
    <w:p>
      <w:pPr/>
      <w:r>
        <w:t>• O estudo integrou 6.477 observações/pontos. dos quais 5.395 possuem classificação binária utilizável e 1.082 permanecem indeterminados.</w:t>
      </w:r>
    </w:p>
    <w:p>
      <w:pPr/>
      <w:r>
        <w:t>• A concordância global observada foi de 65.5% (IC95%: 64.2% a 66.8%).</w:t>
      </w:r>
    </w:p>
    <w:p>
      <w:pPr/>
      <w:r>
        <w:t>• A sensibilidade foi de 69.1% e a especificidade de 58.7%.</w:t>
      </w:r>
    </w:p>
    <w:p>
      <w:pPr/>
      <w:r>
        <w:t>• O teste qui-quadrado indicou associação altamente significativa entre classe observada e posição em relação à mancha (χ²=389.39; p&lt;0,001).</w:t>
      </w:r>
    </w:p>
    <w:p>
      <w:pPr/>
      <w:r>
        <w:t>• O Kappa de Cohen foi 0.267, caracterizando concordância acima do acaso, mas com espaço relevante para refinamento.</w:t>
      </w:r>
    </w:p>
    <w:p>
      <w:pPr/>
      <w:r>
        <w:t>• Os resultados justificam a manutenção da mancha como produto cartográfico regional de trabalho, acompanhada de camada de confiança e revisão prioritária das divergências.</w:t>
      </w:r>
    </w:p>
    <w:p>
      <w:pPr/>
      <w:r>
        <w:t>• Nenhuma fonte de evidência foi descartada; as diferenças de origem foram preservadas por estratificação para evitar interpretações estatísticas indevidas.</w:t>
      </w:r>
    </w:p>
    <w:p>
      <w:pPr>
        <w:pStyle w:val="Heading1"/>
      </w:pPr>
      <w:r>
        <w:t>13. RECOMENDAÇÕES PARA INCORPORAÇÃO NO RELATÓRIO METODOLÓGICO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</w:tcPr>
          <w:p>
            <w:r>
              <w:rPr>
                <w:rFonts w:ascii="Arial" w:hAnsi="Arial"/>
                <w:sz w:val="17"/>
              </w:rPr>
              <w:t>Seção do relatório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Arial" w:hAnsi="Arial"/>
                <w:sz w:val="17"/>
              </w:rPr>
              <w:t>Modificação recomendada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Arial" w:hAnsi="Arial"/>
                <w:sz w:val="17"/>
              </w:rPr>
              <w:t>Prioridade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Arial" w:hAnsi="Arial"/>
                <w:sz w:val="17"/>
              </w:rPr>
              <w:t>13.3 - Representatividade e escala nacional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Arial" w:hAnsi="Arial"/>
                <w:sz w:val="17"/>
              </w:rPr>
              <w:t>Ampliar o texto para informar o universo integrado de evidências e esclarecer que a representatividade é avaliada por quadrícula, geologia, solo, província e fonte, e não por amostragem aleatória simples nacional.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Arial" w:hAnsi="Arial"/>
                <w:sz w:val="17"/>
              </w:rPr>
              <w:t>Média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Arial" w:hAnsi="Arial"/>
                <w:sz w:val="17"/>
              </w:rPr>
              <w:t>14.2 - Matriz de concordância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Arial" w:hAnsi="Arial"/>
                <w:sz w:val="17"/>
              </w:rPr>
              <w:t>Substituir a apresentação apenas conceitual pela matriz quantitativa TP/FN/FP/TN e incluir a regra de tratamento dos pontos indeterminados.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Arial" w:hAnsi="Arial"/>
                <w:sz w:val="17"/>
              </w:rPr>
              <w:t>Alta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Arial" w:hAnsi="Arial"/>
                <w:sz w:val="17"/>
              </w:rPr>
              <w:t>14.3 - Regra de correção conservadora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Arial" w:hAnsi="Arial"/>
                <w:sz w:val="17"/>
              </w:rPr>
              <w:t>Acrescentar que divergências estatísticas não geram alteração automática do polígono; servem para priorizar revisão local apoiada por geologia, solo, relevo e imagem.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Arial" w:hAnsi="Arial"/>
                <w:sz w:val="17"/>
              </w:rPr>
              <w:t>Média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Arial" w:hAnsi="Arial"/>
                <w:sz w:val="17"/>
              </w:rPr>
              <w:t>15 - Modelo de confiança, incerteza e validação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Arial" w:hAnsi="Arial"/>
                <w:sz w:val="17"/>
              </w:rPr>
              <w:t>É a principal seção a ser atualizada. Incorporar acurácia, sensibilidade, especificidade, Kappa, qui-quadrado, IC95%, estratificação por fonte e a distinção entre consistência interna e validação externa.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Arial" w:hAnsi="Arial"/>
                <w:sz w:val="17"/>
              </w:rPr>
              <w:t>Alta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Arial" w:hAnsi="Arial"/>
                <w:sz w:val="17"/>
              </w:rPr>
              <w:t>17 - Controlo de qualidade e auditoria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Arial" w:hAnsi="Arial"/>
                <w:sz w:val="17"/>
              </w:rPr>
              <w:t>Incluir rastreabilidade da origem de cada ponto, regra de duplicidade/proximidade, versão da mancha usada no cruzamento e registro reproduzível dos resultados estatísticos.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Arial" w:hAnsi="Arial"/>
                <w:sz w:val="17"/>
              </w:rPr>
              <w:t>Média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Arial" w:hAnsi="Arial"/>
                <w:sz w:val="17"/>
              </w:rPr>
              <w:t>18 - Produtos cartográficos e entregáveis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Arial" w:hAnsi="Arial"/>
                <w:sz w:val="17"/>
              </w:rPr>
              <w:t>Adicionar o KML de pontos de controle cartográfico externos e, idealmente, mapa/camada de confiança espacial e mapa de divergências.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Arial" w:hAnsi="Arial"/>
                <w:sz w:val="17"/>
              </w:rPr>
              <w:t>Média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Arial" w:hAnsi="Arial"/>
                <w:sz w:val="17"/>
              </w:rPr>
              <w:t>23.4 - Limitações amostrais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Arial" w:hAnsi="Arial"/>
                <w:sz w:val="17"/>
              </w:rPr>
              <w:t>Atualizar para registrar explicitamente que os IC95% se referem às proporções do conjunto observado e não equivalem a margem de erro territorial nacional.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Arial" w:hAnsi="Arial"/>
                <w:sz w:val="17"/>
              </w:rPr>
              <w:t>Alta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Arial" w:hAnsi="Arial"/>
                <w:sz w:val="17"/>
              </w:rPr>
              <w:t>23.5 - Limitações do uso de imagens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Arial" w:hAnsi="Arial"/>
                <w:sz w:val="17"/>
              </w:rPr>
              <w:t>Manter e reforçar que os pontos derivados de imagem são evidência complementar, não prova pedológica isolada.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Arial" w:hAnsi="Arial"/>
                <w:sz w:val="17"/>
              </w:rPr>
              <w:t>Média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Arial" w:hAnsi="Arial"/>
                <w:sz w:val="17"/>
              </w:rPr>
              <w:t>24 - Recomendações técnicas prioritárias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Arial" w:hAnsi="Arial"/>
                <w:sz w:val="17"/>
              </w:rPr>
              <w:t>Acrescentar análise de borda, revisão dos FN/FP, densidade por quadrícula e campanhas futuras dirigidas às áreas de maior divergência.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Arial" w:hAnsi="Arial"/>
                <w:sz w:val="17"/>
              </w:rPr>
              <w:t>Média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rFonts w:ascii="Arial" w:hAnsi="Arial"/>
                <w:sz w:val="17"/>
              </w:rPr>
              <w:t>25 - Conclusão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Arial" w:hAnsi="Arial"/>
                <w:sz w:val="17"/>
              </w:rPr>
              <w:t>Atualizar a conclusão para incorporar a associação estatisticamente significativa e, simultaneamente, a necessidade de refinamento progressivo, evitando declarar percentuais de 'confiabilidade nacional' não suportados pelo desenho amostral.</w:t>
            </w:r>
          </w:p>
        </w:tc>
        <w:tc>
          <w:tcPr>
            <w:tcW w:type="dxa" w:w="3286"/>
            <w:vAlign w:val="center"/>
          </w:tcPr>
          <w:p>
            <w:r>
              <w:rPr>
                <w:rFonts w:ascii="Arial" w:hAnsi="Arial"/>
                <w:sz w:val="17"/>
              </w:rPr>
              <w:t>Alta</w:t>
            </w:r>
          </w:p>
        </w:tc>
      </w:tr>
    </w:tbl>
    <w:p>
      <w:pPr>
        <w:pStyle w:val="Heading1"/>
      </w:pPr>
      <w:r>
        <w:t>14. NOTA METODOLÓGICA FINAL</w:t>
      </w:r>
    </w:p>
    <w:p>
      <w:pPr>
        <w:spacing w:after="100"/>
      </w:pPr>
      <w:r>
        <w:t>Este documento deve ser lido como complemento quantitativo ao relatório metodológico existente. Os cálculos foram realizados sobre a versão atual da mancha fornecida para esta análise e sobre os conjuntos de pontos disponibilizados no projeto. Alterações posteriores da geometria da mancha exigem novo cruzamento e atualização automática dos indicadores.</w:t>
      </w:r>
    </w:p>
    <w:p>
      <w:pPr>
        <w:spacing w:after="100"/>
      </w:pPr>
      <w:r>
        <w:t>Referência interna principal: Relatório Técnico 03226P02-RET-ET-SAA-04, Revisão 00, 31/07/2026 - Base geológica e solos vermelhos - Angola.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Documento técnico complementar ao Relatório Técnico 03226P02-RET-ET-SAA-04 | Agosto/2026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ANÁLISE ESTATÍSTICA E VALIDAÇÃO ESPACIAL - SOLOS VERMELHOS DE ANGOLA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