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ANÁLISE ESTATÍSTICA, VALIDAÇÃO ESPACIAL E AVALIAÇÃO DA CONFIABILIDADE</w:t>
        <w:br/>
        <w:t>DA CARTOGRAFIA DE SOLOS VERMELHOS DE ANGOLA</w:t>
      </w:r>
    </w:p>
    <w:p>
      <w:pPr>
        <w:jc w:val="center"/>
      </w:pPr>
      <w:r>
        <w:rPr>
          <w:rFonts w:ascii="Arial" w:hAnsi="Arial"/>
          <w:i/>
        </w:rPr>
        <w:t>Documento técnico complementar - Versão 02 | Metodologia e memória de cálculo detalhadas</w:t>
      </w:r>
    </w:p>
    <w:p/>
    <w:p>
      <w:pPr>
        <w:pStyle w:val="Heading1"/>
      </w:pPr>
      <w:r>
        <w:rPr>
          <w:rFonts w:ascii="Arial" w:hAnsi="Arial"/>
        </w:rPr>
        <w:t>1. OBJETIVO</w:t>
      </w:r>
    </w:p>
    <w:p>
      <w:pPr>
        <w:spacing w:after="100"/>
      </w:pPr>
      <w:r>
        <w:rPr>
          <w:rFonts w:ascii="Arial" w:hAnsi="Arial"/>
        </w:rPr>
        <w:t>Este documento apresenta a avaliação estatística e espacial da mancha cartográfica de solos vermelhos de Angola, integrando o conjunto completo de evidências utilizado ao longo do estudo. A análise não elimina nenhuma fonte de dados: todos os pontos são contabilizados no universo de evidências, mas são estratificados segundo origem, capacidade de classificação e grau de independência em relação à construção da própria mancha.</w:t>
      </w:r>
    </w:p>
    <w:p>
      <w:pPr>
        <w:spacing w:after="100"/>
      </w:pPr>
      <w:r>
        <w:rPr>
          <w:rFonts w:ascii="Arial" w:hAnsi="Arial"/>
        </w:rPr>
        <w:t>O objetivo é quantificar a coerência entre a classificação observada dos pontos e sua posição em relação à mancha final, avaliar a força da associação espacial, identificar omissões e inclusões potenciais e estabelecer uma leitura de confiabilidade compatível com a escala nacional do trabalho.</w:t>
      </w:r>
    </w:p>
    <w:p>
      <w:pPr>
        <w:pStyle w:val="Heading1"/>
      </w:pPr>
      <w:r>
        <w:rPr>
          <w:rFonts w:ascii="Arial" w:hAnsi="Arial"/>
        </w:rPr>
        <w:t>2. BASES E EVIDÊNCIAS CONSIDERADAS</w:t>
      </w:r>
    </w:p>
    <w:p>
      <w:pPr>
        <w:spacing w:after="100"/>
      </w:pPr>
      <w:r>
        <w:rPr>
          <w:rFonts w:ascii="Arial" w:hAnsi="Arial"/>
        </w:rPr>
        <w:t>Foram consideradas conjuntamente as seguintes bases: mancha final de solos vermelhos; base de solos de Angola; base geológica de Angola; articulação cartográfica 20 x 20 km; limites administrativos provinciais; acervo histórico de pontos; pontos posteriormente classificados; pontos de campo; pontos interpretados em imagens de satélite; e pontos novos de controle cartográfico externo.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Fonte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Total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Vermelhos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Não vermelhos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Indeterminados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Acervo histórico/classificado (2.141)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2141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270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789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1082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Nova classificação (2.562)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2562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2322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240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Coleta de campo (169)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169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169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Interpretação por imagens (779)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779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779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Controle cartográfico externo (826)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826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826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</w:tbl>
    <w:p>
      <w:pPr>
        <w:spacing w:after="100"/>
      </w:pPr>
      <w:r>
        <w:rPr>
          <w:rFonts w:ascii="Arial" w:hAnsi="Arial"/>
        </w:rPr>
        <w:t>O universo integrado contém 6.477 pontos/observações. Desses. 5.395 possuem classificação binária utilizável para a matriz vermelho x não vermelho e 1.082 permanecem sem classificação. Os pontos indeterminados permanecem contabilizados na cobertura e na análise de lacunas. mas não podem ser convertidos artificialmente em presença ou ausência de solo vermelho.</w:t>
      </w:r>
    </w:p>
    <w:p>
      <w:pPr>
        <w:pStyle w:val="Heading1"/>
      </w:pPr>
      <w:r>
        <w:rPr>
          <w:rFonts w:ascii="Arial" w:hAnsi="Arial"/>
        </w:rPr>
        <w:t>3. PRINCÍPIO DE VALIDAÇÃO</w:t>
      </w:r>
    </w:p>
    <w:p>
      <w:pPr>
        <w:spacing w:after="100"/>
      </w:pPr>
      <w:r>
        <w:rPr>
          <w:rFonts w:ascii="Arial" w:hAnsi="Arial"/>
        </w:rPr>
        <w:t>A mancha foi tratada como um classificador espacial binário. Um ponto vermelho dentro da mancha representa concordância positiva (TP); um ponto vermelho fora representa possível omissão (FN); um ponto não vermelho dentro representa possível inclusão indevida (FP); e um ponto não vermelho fora representa concordância negativa (TN). Essa lógica reproduz a matriz de decisão já definida no relatório metodológico original.</w:t>
      </w:r>
    </w:p>
    <w:p>
      <w:pPr>
        <w:spacing w:after="100"/>
      </w:pPr>
      <w:r>
        <w:rPr>
          <w:rFonts w:ascii="Arial" w:hAnsi="Arial"/>
        </w:rPr>
        <w:t>A avaliação global utiliza todas as observações classificáveis. Paralelamente, os resultados são apresentados por fonte para evitar que evidências de natureza distinta sejam tratadas como estatisticamente equivalentes. Pontos usados na construção/refinamento da mancha avaliam sobretudo consistência interna; pontos de campo e outras fontes externas oferecem evidência adicional de validação.</w:t>
      </w:r>
    </w:p>
    <w:p>
      <w:pPr>
        <w:pStyle w:val="Heading2"/>
      </w:pPr>
      <w:r>
        <w:rPr>
          <w:rFonts w:ascii="Arial" w:hAnsi="Arial"/>
          <w:b w:val="0"/>
          <w:i w:val="0"/>
        </w:rPr>
        <w:t>3.1. DESENHO METODOLÓGICO DA VALIDAÇÃO</w:t>
      </w:r>
    </w:p>
    <w:p>
      <w:r>
        <w:rPr>
          <w:rFonts w:ascii="Arial" w:hAnsi="Arial"/>
          <w:b w:val="0"/>
          <w:i w:val="0"/>
        </w:rPr>
        <w:t>A validação foi estruturada como um problema de concordância entre uma classe temática observada nos pontos e uma classe espacial prevista pela mancha cartográfica. A variável observada possui três estados operacionais: vermelho, não vermelho e indeterminado. A variável cartográfica possui dois estados: dentro ou fora da mancha. A combinação dessas duas variáveis permite construir uma matriz de concordância e, a partir dela, calcular indicadores de desempenho e testes de associação.</w:t>
      </w:r>
    </w:p>
    <w:p>
      <w:r>
        <w:rPr>
          <w:rFonts w:ascii="Arial" w:hAnsi="Arial"/>
          <w:b w:val="0"/>
          <w:i w:val="0"/>
        </w:rPr>
        <w:t>A metodologia foi concebida para preservar todo o universo de evidências do estudo. Nenhum conjunto de pontos é eliminado do inventário geral. Entretanto, apenas observações com classe definida podem participar de cálculos binários de acurácia. Pontos sem classificação permanecem no denominador da cobertura documental e espacial, mas não são convertidos artificialmente em presença ou ausência.</w:t>
      </w:r>
    </w:p>
    <w:p>
      <w:pPr>
        <w:pStyle w:val="Heading2"/>
      </w:pPr>
      <w:r>
        <w:rPr>
          <w:rFonts w:ascii="Arial" w:hAnsi="Arial"/>
          <w:b w:val="0"/>
          <w:i w:val="0"/>
        </w:rPr>
        <w:t>3.2. ETAPAS DO PROCESSAMENTO</w:t>
      </w:r>
    </w:p>
    <w:p>
      <w:r>
        <w:rPr>
          <w:rFonts w:ascii="Arial" w:hAnsi="Arial"/>
          <w:b w:val="0"/>
          <w:i w:val="0"/>
        </w:rPr>
        <w:t>O procedimento foi organizado nas seguintes etapas: (1) inventário e identificação das fontes; (2) padronização de sistema de referência e coordenadas; (3) normalização das classes; (4) controle de duplicidade e rastreabilidade; (5) cruzamento espacial ponto x mancha; (6) atribuição de TP, FN, FP ou TN; (7) estratificação por origem da evidência; (8) cálculo dos indicadores; (9) teste de associação; (10) interpretação conjunta com geologia, solos, províncias e articulação 20 x 20 km; e (11) identificação de áreas prioritárias para revisão.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Etapa</w:t>
            </w:r>
          </w:p>
        </w:tc>
        <w:tc>
          <w:tcPr>
            <w:tcW w:type="dxa" w:w="2465"/>
          </w:tcPr>
          <w:p>
            <w:r>
              <w:t>Entrada</w:t>
            </w:r>
          </w:p>
        </w:tc>
        <w:tc>
          <w:tcPr>
            <w:tcW w:type="dxa" w:w="2465"/>
          </w:tcPr>
          <w:p>
            <w:r>
              <w:t>Operação</w:t>
            </w:r>
          </w:p>
        </w:tc>
        <w:tc>
          <w:tcPr>
            <w:tcW w:type="dxa" w:w="2465"/>
          </w:tcPr>
          <w:p>
            <w:r>
              <w:t>Saída</w:t>
            </w:r>
          </w:p>
        </w:tc>
      </w:tr>
      <w:tr>
        <w:tc>
          <w:tcPr>
            <w:tcW w:type="dxa" w:w="2465"/>
          </w:tcPr>
          <w:p>
            <w:r>
              <w:t>1</w:t>
            </w:r>
          </w:p>
        </w:tc>
        <w:tc>
          <w:tcPr>
            <w:tcW w:type="dxa" w:w="2465"/>
          </w:tcPr>
          <w:p>
            <w:r>
              <w:t>Bases e pontos</w:t>
            </w:r>
          </w:p>
        </w:tc>
        <w:tc>
          <w:tcPr>
            <w:tcW w:type="dxa" w:w="2465"/>
          </w:tcPr>
          <w:p>
            <w:r>
              <w:t>Inventário e rastreabilidade</w:t>
            </w:r>
          </w:p>
        </w:tc>
        <w:tc>
          <w:tcPr>
            <w:tcW w:type="dxa" w:w="2465"/>
          </w:tcPr>
          <w:p>
            <w:r>
              <w:t>Catálogo de evidências</w:t>
            </w:r>
          </w:p>
        </w:tc>
      </w:tr>
      <w:tr>
        <w:tc>
          <w:tcPr>
            <w:tcW w:type="dxa" w:w="2465"/>
          </w:tcPr>
          <w:p>
            <w:r>
              <w:t>2</w:t>
            </w:r>
          </w:p>
        </w:tc>
        <w:tc>
          <w:tcPr>
            <w:tcW w:type="dxa" w:w="2465"/>
          </w:tcPr>
          <w:p>
            <w:r>
              <w:t>Geometrias</w:t>
            </w:r>
          </w:p>
        </w:tc>
        <w:tc>
          <w:tcPr>
            <w:tcW w:type="dxa" w:w="2465"/>
          </w:tcPr>
          <w:p>
            <w:r>
              <w:t>Padronização de CRS e QA/QC</w:t>
            </w:r>
          </w:p>
        </w:tc>
        <w:tc>
          <w:tcPr>
            <w:tcW w:type="dxa" w:w="2465"/>
          </w:tcPr>
          <w:p>
            <w:r>
              <w:t>Base espacial compatível</w:t>
            </w:r>
          </w:p>
        </w:tc>
      </w:tr>
      <w:tr>
        <w:tc>
          <w:tcPr>
            <w:tcW w:type="dxa" w:w="2465"/>
          </w:tcPr>
          <w:p>
            <w:r>
              <w:t>3</w:t>
            </w:r>
          </w:p>
        </w:tc>
        <w:tc>
          <w:tcPr>
            <w:tcW w:type="dxa" w:w="2465"/>
          </w:tcPr>
          <w:p>
            <w:r>
              <w:t>Classes originais</w:t>
            </w:r>
          </w:p>
        </w:tc>
        <w:tc>
          <w:tcPr>
            <w:tcW w:type="dxa" w:w="2465"/>
          </w:tcPr>
          <w:p>
            <w:r>
              <w:t>Normalização vermelho / não vermelho / indeterminado</w:t>
            </w:r>
          </w:p>
        </w:tc>
        <w:tc>
          <w:tcPr>
            <w:tcW w:type="dxa" w:w="2465"/>
          </w:tcPr>
          <w:p>
            <w:r>
              <w:t>Variável analítica</w:t>
            </w:r>
          </w:p>
        </w:tc>
      </w:tr>
      <w:tr>
        <w:tc>
          <w:tcPr>
            <w:tcW w:type="dxa" w:w="2465"/>
          </w:tcPr>
          <w:p>
            <w:r>
              <w:t>4</w:t>
            </w:r>
          </w:p>
        </w:tc>
        <w:tc>
          <w:tcPr>
            <w:tcW w:type="dxa" w:w="2465"/>
          </w:tcPr>
          <w:p>
            <w:r>
              <w:t>Pontos + mancha</w:t>
            </w:r>
          </w:p>
        </w:tc>
        <w:tc>
          <w:tcPr>
            <w:tcW w:type="dxa" w:w="2465"/>
          </w:tcPr>
          <w:p>
            <w:r>
              <w:t>Cruzamento espacial</w:t>
            </w:r>
          </w:p>
        </w:tc>
        <w:tc>
          <w:tcPr>
            <w:tcW w:type="dxa" w:w="2465"/>
          </w:tcPr>
          <w:p>
            <w:r>
              <w:t>Dentro / fora</w:t>
            </w:r>
          </w:p>
        </w:tc>
      </w:tr>
      <w:tr>
        <w:tc>
          <w:tcPr>
            <w:tcW w:type="dxa" w:w="2465"/>
          </w:tcPr>
          <w:p>
            <w:r>
              <w:t>5</w:t>
            </w:r>
          </w:p>
        </w:tc>
        <w:tc>
          <w:tcPr>
            <w:tcW w:type="dxa" w:w="2465"/>
          </w:tcPr>
          <w:p>
            <w:r>
              <w:t>Classe + posição</w:t>
            </w:r>
          </w:p>
        </w:tc>
        <w:tc>
          <w:tcPr>
            <w:tcW w:type="dxa" w:w="2465"/>
          </w:tcPr>
          <w:p>
            <w:r>
              <w:t>Matriz TP/FN/FP/TN</w:t>
            </w:r>
          </w:p>
        </w:tc>
        <w:tc>
          <w:tcPr>
            <w:tcW w:type="dxa" w:w="2465"/>
          </w:tcPr>
          <w:p>
            <w:r>
              <w:t>Contagens de concordância</w:t>
            </w:r>
          </w:p>
        </w:tc>
      </w:tr>
      <w:tr>
        <w:tc>
          <w:tcPr>
            <w:tcW w:type="dxa" w:w="2465"/>
          </w:tcPr>
          <w:p>
            <w:r>
              <w:t>6</w:t>
            </w:r>
          </w:p>
        </w:tc>
        <w:tc>
          <w:tcPr>
            <w:tcW w:type="dxa" w:w="2465"/>
          </w:tcPr>
          <w:p>
            <w:r>
              <w:t>Matriz</w:t>
            </w:r>
          </w:p>
        </w:tc>
        <w:tc>
          <w:tcPr>
            <w:tcW w:type="dxa" w:w="2465"/>
          </w:tcPr>
          <w:p>
            <w:r>
              <w:t>Indicadores + IC95% + Kappa + χ²</w:t>
            </w:r>
          </w:p>
        </w:tc>
        <w:tc>
          <w:tcPr>
            <w:tcW w:type="dxa" w:w="2465"/>
          </w:tcPr>
          <w:p>
            <w:r>
              <w:t>Resultados estatísticos</w:t>
            </w:r>
          </w:p>
        </w:tc>
      </w:tr>
      <w:tr>
        <w:tc>
          <w:tcPr>
            <w:tcW w:type="dxa" w:w="2465"/>
          </w:tcPr>
          <w:p>
            <w:r>
              <w:t>7</w:t>
            </w:r>
          </w:p>
        </w:tc>
        <w:tc>
          <w:tcPr>
            <w:tcW w:type="dxa" w:w="2465"/>
          </w:tcPr>
          <w:p>
            <w:r>
              <w:t>Resultados + camadas</w:t>
            </w:r>
          </w:p>
        </w:tc>
        <w:tc>
          <w:tcPr>
            <w:tcW w:type="dxa" w:w="2465"/>
          </w:tcPr>
          <w:p>
            <w:r>
              <w:t>Estratificação espacial e por fonte</w:t>
            </w:r>
          </w:p>
        </w:tc>
        <w:tc>
          <w:tcPr>
            <w:tcW w:type="dxa" w:w="2465"/>
          </w:tcPr>
          <w:p>
            <w:r>
              <w:t>Confiança e áreas de revisão</w:t>
            </w:r>
          </w:p>
        </w:tc>
      </w:tr>
    </w:tbl>
    <w:p>
      <w:pPr>
        <w:pStyle w:val="Heading2"/>
      </w:pPr>
      <w:r>
        <w:rPr>
          <w:rFonts w:ascii="Arial" w:hAnsi="Arial"/>
          <w:b w:val="0"/>
          <w:i w:val="0"/>
        </w:rPr>
        <w:t>3.3. PADRONIZAÇÃO E CONTROLE DOS DADOS</w:t>
      </w:r>
    </w:p>
    <w:p>
      <w:r>
        <w:rPr>
          <w:rFonts w:ascii="Arial" w:hAnsi="Arial"/>
          <w:b w:val="0"/>
          <w:i w:val="0"/>
        </w:rPr>
        <w:t>Antes do cruzamento estatístico, todas as geometrias devem estar no mesmo sistema geodésico de referência, com verificação de latitude/longitude, coordenadas fora de intervalo, duplicidades, nomes de classes e consistência dos atributos. Cada ponto deve conservar sua fonte original, porque a origem da evidência é necessária para a análise estratificada e para a auditoria do resultado.</w:t>
      </w:r>
    </w:p>
    <w:p>
      <w:r>
        <w:rPr>
          <w:rFonts w:ascii="Arial" w:hAnsi="Arial"/>
          <w:b w:val="0"/>
          <w:i w:val="0"/>
        </w:rPr>
        <w:t>A mancha utilizada no cálculo deve ser versionada. Qualquer alteração posterior de sua geometria modifica a condição dentro/fora de parte dos pontos e, consequentemente, exige novo processamento dos indicadores.</w:t>
      </w:r>
    </w:p>
    <w:p>
      <w:pPr>
        <w:pStyle w:val="Heading2"/>
      </w:pPr>
      <w:r>
        <w:rPr>
          <w:rFonts w:ascii="Arial" w:hAnsi="Arial"/>
          <w:b w:val="0"/>
          <w:i w:val="0"/>
        </w:rPr>
        <w:t>3.4. REGRA DE CLASSIFICAÇÃO BINÁRIA</w:t>
      </w:r>
    </w:p>
    <w:p>
      <w:r>
        <w:rPr>
          <w:rFonts w:ascii="Arial" w:hAnsi="Arial"/>
          <w:b w:val="0"/>
          <w:i w:val="0"/>
        </w:rPr>
        <w:t>Para a matriz estatística, as classes textuais e cromáticas foram reduzidas a dois estados analíticos: VERMELHO e NÃO VERMELHO. A categoria INDETERMINADO é mantida separadamente. Essa redução é exclusivamente analítica e não elimina a classificação pedológica original dos dados.</w:t>
      </w:r>
    </w:p>
    <w:p>
      <w:r>
        <w:rPr>
          <w:rFonts w:ascii="Arial" w:hAnsi="Arial"/>
          <w:b w:val="0"/>
          <w:i w:val="0"/>
        </w:rPr>
        <w:t>A regra fundamental é: ponto vermelho dentro da mancha = verdadeiro positivo (TP); ponto vermelho fora = falso negativo ou possível omissão cartográfica (FN); ponto não vermelho dentro = falso positivo ou possível inclusão cartográfica (FP); ponto não vermelho fora = verdadeiro negativo ou concordância negativa (TN).</w:t>
      </w:r>
    </w:p>
    <w:p>
      <w:pPr>
        <w:pStyle w:val="Heading2"/>
      </w:pPr>
      <w:r>
        <w:rPr>
          <w:rFonts w:ascii="Arial" w:hAnsi="Arial"/>
          <w:b w:val="0"/>
          <w:i w:val="0"/>
        </w:rPr>
        <w:t>3.5. MATRIZ DE CONFUSÃO E NOTAÇÃO</w:t>
      </w:r>
    </w:p>
    <w:p>
      <w:r>
        <w:rPr>
          <w:rFonts w:ascii="Arial" w:hAnsi="Arial"/>
          <w:b w:val="0"/>
          <w:i w:val="0"/>
        </w:rPr>
        <w:t>A matriz de confusão é a estrutura central da avaliação:</w:t>
      </w:r>
    </w:p>
    <w:p>
      <w:r>
        <w:rPr>
          <w:rFonts w:ascii="Arial" w:hAnsi="Arial"/>
          <w:b w:val="0"/>
          <w:i w:val="0"/>
        </w:rPr>
        <w:t xml:space="preserve">                    POSIÇÃO CARTOGRÁFICA</w:t>
        <w:br/>
        <w:t>OBSERVAÇÃO          Dentro da mancha     Fora da mancha</w:t>
        <w:br/>
        <w:t>Vermelho            TP                   FN</w:t>
        <w:br/>
        <w:t>Não vermelho        FP                   TN</w:t>
      </w:r>
    </w:p>
    <w:p>
      <w:r>
        <w:rPr>
          <w:rFonts w:ascii="Arial" w:hAnsi="Arial"/>
          <w:b w:val="0"/>
          <w:i w:val="0"/>
        </w:rPr>
        <w:t>A matriz não deve ser interpretada isoladamente como prova pedológica. Ela mede concordância entre o conjunto de evidências disponível e a delimitação cartográfica adotada.</w:t>
      </w:r>
    </w:p>
    <w:p>
      <w:pPr>
        <w:pStyle w:val="Heading2"/>
      </w:pPr>
      <w:r>
        <w:rPr>
          <w:rFonts w:ascii="Arial" w:hAnsi="Arial"/>
          <w:b w:val="0"/>
          <w:i w:val="0"/>
        </w:rPr>
        <w:t>3.6. ACURÁCIA GLOBAL</w:t>
      </w:r>
    </w:p>
    <w:p>
      <w:r>
        <w:rPr>
          <w:rFonts w:ascii="Arial" w:hAnsi="Arial"/>
          <w:b w:val="0"/>
          <w:i w:val="0"/>
        </w:rPr>
        <w:t>A acurácia representa a proporção total de observações classificáveis em concordância com a mancha.</w:t>
      </w:r>
    </w:p>
    <w:p>
      <w:pPr>
        <w:jc w:val="center"/>
      </w:pPr>
      <w:r>
        <w:rPr>
          <w:rFonts w:ascii="Cambria Math" w:hAnsi="Cambria Math"/>
          <w:b w:val="0"/>
          <w:i w:val="0"/>
          <w:sz w:val="21"/>
        </w:rPr>
        <w:t>Acurácia = (TP + TN) / (TP + TN + FP + FN)</w:t>
      </w:r>
    </w:p>
    <w:p>
      <w:r>
        <w:rPr>
          <w:rFonts w:ascii="Arial" w:hAnsi="Arial"/>
          <w:b w:val="0"/>
          <w:i w:val="0"/>
        </w:rPr>
        <w:t>Aplicação ao conjunto atual: Acurácia = (2.446 + 1.089) / (2.446 + 1.089 + 766 + 1.094) = 0,6552 = 65,5%.</w:t>
      </w:r>
    </w:p>
    <w:p>
      <w:r>
        <w:rPr>
          <w:rFonts w:ascii="Arial" w:hAnsi="Arial"/>
          <w:b w:val="0"/>
          <w:i w:val="0"/>
        </w:rPr>
        <w:t>Esse valor expressa concordância global no conjunto observado. Não deve ser convertido em '65,5% do território de Angola está correto', pois os pontos não constituem uma amostra aleatória simples e uniforme de toda a superfície nacional.</w:t>
      </w:r>
    </w:p>
    <w:p>
      <w:pPr>
        <w:pStyle w:val="Heading2"/>
      </w:pPr>
      <w:r>
        <w:rPr>
          <w:rFonts w:ascii="Arial" w:hAnsi="Arial"/>
          <w:b w:val="0"/>
          <w:i w:val="0"/>
        </w:rPr>
        <w:t>3.7. SENSIBILIDADE E ERRO DE OMISSÃO</w:t>
      </w:r>
    </w:p>
    <w:p>
      <w:r>
        <w:rPr>
          <w:rFonts w:ascii="Arial" w:hAnsi="Arial"/>
          <w:b w:val="0"/>
          <w:i w:val="0"/>
        </w:rPr>
        <w:t>A sensibilidade mede a capacidade da mancha de conter as observações classificadas como vermelhas.</w:t>
      </w:r>
    </w:p>
    <w:p>
      <w:pPr>
        <w:jc w:val="center"/>
      </w:pPr>
      <w:r>
        <w:rPr>
          <w:rFonts w:ascii="Cambria Math" w:hAnsi="Cambria Math"/>
          <w:b w:val="0"/>
          <w:i w:val="0"/>
          <w:sz w:val="21"/>
        </w:rPr>
        <w:t>Sensibilidade = TP / (TP + FN)</w:t>
      </w:r>
    </w:p>
    <w:p>
      <w:r>
        <w:rPr>
          <w:rFonts w:ascii="Arial" w:hAnsi="Arial"/>
          <w:b w:val="0"/>
          <w:i w:val="0"/>
        </w:rPr>
        <w:t>Aplicação: Sensibilidade = 2.446 / (2.446 + 1.094) = 69,1%.</w:t>
      </w:r>
    </w:p>
    <w:p>
      <w:r>
        <w:rPr>
          <w:rFonts w:ascii="Arial" w:hAnsi="Arial"/>
          <w:b w:val="0"/>
          <w:i w:val="0"/>
        </w:rPr>
        <w:t>O complemento da sensibilidade é o erro de omissão:</w:t>
      </w:r>
    </w:p>
    <w:p>
      <w:pPr>
        <w:jc w:val="center"/>
      </w:pPr>
      <w:r>
        <w:rPr>
          <w:rFonts w:ascii="Cambria Math" w:hAnsi="Cambria Math"/>
          <w:b w:val="0"/>
          <w:i w:val="0"/>
          <w:sz w:val="21"/>
        </w:rPr>
        <w:t>Erro de omissão = FN / (TP + FN) = 30,9%.</w:t>
      </w:r>
    </w:p>
    <w:p>
      <w:r>
        <w:rPr>
          <w:rFonts w:ascii="Arial" w:hAnsi="Arial"/>
          <w:b w:val="0"/>
          <w:i w:val="0"/>
        </w:rPr>
        <w:t>No contexto cartográfico, FN não significa automaticamente que o ponto ou a mancha estejam errados. Pode indicar omissão real, diferença de escala, transição, imprecisão posicional, generalização cartográfica ou necessidade de expansão local apoiada por outras evidências.</w:t>
      </w:r>
    </w:p>
    <w:p>
      <w:pPr>
        <w:pStyle w:val="Heading2"/>
      </w:pPr>
      <w:r>
        <w:rPr>
          <w:rFonts w:ascii="Arial" w:hAnsi="Arial"/>
          <w:b w:val="0"/>
          <w:i w:val="0"/>
        </w:rPr>
        <w:t>3.8. ESPECIFICIDADE E ERRO DE COMISSÃO</w:t>
      </w:r>
    </w:p>
    <w:p>
      <w:r>
        <w:rPr>
          <w:rFonts w:ascii="Arial" w:hAnsi="Arial"/>
          <w:b w:val="0"/>
          <w:i w:val="0"/>
        </w:rPr>
        <w:t>A especificidade mede a capacidade da delimitação de manter as observações não vermelhas fora da mancha.</w:t>
      </w:r>
    </w:p>
    <w:p>
      <w:pPr>
        <w:jc w:val="center"/>
      </w:pPr>
      <w:r>
        <w:rPr>
          <w:rFonts w:ascii="Cambria Math" w:hAnsi="Cambria Math"/>
          <w:b w:val="0"/>
          <w:i w:val="0"/>
          <w:sz w:val="21"/>
        </w:rPr>
        <w:t>Especificidade = TN / (TN + FP)</w:t>
      </w:r>
    </w:p>
    <w:p>
      <w:r>
        <w:rPr>
          <w:rFonts w:ascii="Arial" w:hAnsi="Arial"/>
          <w:b w:val="0"/>
          <w:i w:val="0"/>
        </w:rPr>
        <w:t>Aplicação: Especificidade = 1.089 / (1.089 + 766) = 58,7%.</w:t>
      </w:r>
    </w:p>
    <w:p>
      <w:r>
        <w:rPr>
          <w:rFonts w:ascii="Arial" w:hAnsi="Arial"/>
          <w:b w:val="0"/>
          <w:i w:val="0"/>
        </w:rPr>
        <w:t>O erro de comissão, na leitura adotada neste estudo, representa a proporção de observações não vermelhas que ocorrem dentro da mancha:</w:t>
      </w:r>
    </w:p>
    <w:p>
      <w:pPr>
        <w:jc w:val="center"/>
      </w:pPr>
      <w:r>
        <w:rPr>
          <w:rFonts w:ascii="Cambria Math" w:hAnsi="Cambria Math"/>
          <w:b w:val="0"/>
          <w:i w:val="0"/>
          <w:sz w:val="21"/>
        </w:rPr>
        <w:t>Erro de comissão = FP / (FP + TN) = 41,3%.</w:t>
      </w:r>
    </w:p>
    <w:p>
      <w:r>
        <w:rPr>
          <w:rFonts w:ascii="Arial" w:hAnsi="Arial"/>
          <w:b w:val="0"/>
          <w:i w:val="0"/>
        </w:rPr>
        <w:t>Esses pontos são particularmente relevantes para revisar bordas, ilhas internas, transições pedológicas e áreas em que a mancha possa ter sido generalizada em excesso.</w:t>
      </w:r>
    </w:p>
    <w:p>
      <w:pPr>
        <w:pStyle w:val="Heading2"/>
      </w:pPr>
      <w:r>
        <w:rPr>
          <w:rFonts w:ascii="Arial" w:hAnsi="Arial"/>
          <w:b w:val="0"/>
          <w:i w:val="0"/>
        </w:rPr>
        <w:t>3.9. VALORES PREDITIVOS</w:t>
      </w:r>
    </w:p>
    <w:p>
      <w:r>
        <w:rPr>
          <w:rFonts w:ascii="Arial" w:hAnsi="Arial"/>
          <w:b w:val="0"/>
          <w:i w:val="0"/>
        </w:rPr>
        <w:t>O valor preditivo positivo mede, entre as observações classificáveis localizadas na condição positiva da mancha, a proporção que é efetivamente vermelha:</w:t>
      </w:r>
    </w:p>
    <w:p>
      <w:pPr>
        <w:jc w:val="center"/>
      </w:pPr>
      <w:r>
        <w:rPr>
          <w:rFonts w:ascii="Cambria Math" w:hAnsi="Cambria Math"/>
          <w:b w:val="0"/>
          <w:i w:val="0"/>
          <w:sz w:val="21"/>
        </w:rPr>
        <w:t>VPP = TP / (TP + FP)</w:t>
      </w:r>
    </w:p>
    <w:p>
      <w:r>
        <w:rPr>
          <w:rFonts w:ascii="Arial" w:hAnsi="Arial"/>
          <w:b w:val="0"/>
          <w:i w:val="0"/>
        </w:rPr>
        <w:t>O valor preditivo negativo mede a proporção de observações não vermelhas entre aquelas que se encontram na condição negativa:</w:t>
      </w:r>
    </w:p>
    <w:p>
      <w:pPr>
        <w:jc w:val="center"/>
      </w:pPr>
      <w:r>
        <w:rPr>
          <w:rFonts w:ascii="Cambria Math" w:hAnsi="Cambria Math"/>
          <w:b w:val="0"/>
          <w:i w:val="0"/>
          <w:sz w:val="21"/>
        </w:rPr>
        <w:t>VPN = TN / (TN + FN)</w:t>
      </w:r>
    </w:p>
    <w:p>
      <w:r>
        <w:rPr>
          <w:rFonts w:ascii="Arial" w:hAnsi="Arial"/>
          <w:b w:val="0"/>
          <w:i w:val="0"/>
        </w:rPr>
        <w:t>Esses indicadores dependem da composição do conjunto amostral e, portanto, devem ser lidos juntamente com a distribuição das fontes e não como propriedades universais da cartografia.</w:t>
      </w:r>
    </w:p>
    <w:p>
      <w:pPr>
        <w:pStyle w:val="Heading2"/>
      </w:pPr>
      <w:r>
        <w:rPr>
          <w:rFonts w:ascii="Arial" w:hAnsi="Arial"/>
          <w:b w:val="0"/>
          <w:i w:val="0"/>
        </w:rPr>
        <w:t>3.10. COEFICIENTE KAPPA DE COHEN</w:t>
      </w:r>
    </w:p>
    <w:p>
      <w:r>
        <w:rPr>
          <w:rFonts w:ascii="Arial" w:hAnsi="Arial"/>
          <w:b w:val="0"/>
          <w:i w:val="0"/>
        </w:rPr>
        <w:t>A acurácia simples não desconta a concordância que poderia ocorrer ao acaso. Para complementar essa leitura foi utilizado o coeficiente Kappa de Cohen:</w:t>
      </w:r>
    </w:p>
    <w:p>
      <w:pPr>
        <w:jc w:val="center"/>
      </w:pPr>
      <w:r>
        <w:rPr>
          <w:rFonts w:ascii="Cambria Math" w:hAnsi="Cambria Math"/>
          <w:b w:val="0"/>
          <w:i w:val="0"/>
          <w:sz w:val="21"/>
        </w:rPr>
        <w:t>κ = (Po - Pe) / (1 - Pe)</w:t>
      </w:r>
    </w:p>
    <w:p>
      <w:r>
        <w:rPr>
          <w:rFonts w:ascii="Arial" w:hAnsi="Arial"/>
          <w:b w:val="0"/>
          <w:i w:val="0"/>
        </w:rPr>
        <w:t>onde Po é a proporção de concordância observada e Pe é a concordância esperada ao acaso a partir das distribuições marginais da matriz.</w:t>
      </w:r>
    </w:p>
    <w:p>
      <w:r>
        <w:rPr>
          <w:rFonts w:ascii="Arial" w:hAnsi="Arial"/>
          <w:b w:val="0"/>
          <w:i w:val="0"/>
        </w:rPr>
        <w:t>No conjunto atual, κ = 0,267. O valor indica concordância acima do acaso, mas também evidencia que a heterogeneidade das fontes e as divergências espaciais ainda são relevantes. Por isso, Kappa é interpretado como indicador complementar e não como único critério de validade.</w:t>
      </w:r>
    </w:p>
    <w:p>
      <w:pPr>
        <w:pStyle w:val="Heading2"/>
      </w:pPr>
      <w:r>
        <w:rPr>
          <w:rFonts w:ascii="Arial" w:hAnsi="Arial"/>
          <w:b w:val="0"/>
          <w:i w:val="0"/>
        </w:rPr>
        <w:t>3.11. TESTE QUI-QUADRADO DE INDEPENDÊNCIA</w:t>
      </w:r>
    </w:p>
    <w:p>
      <w:r>
        <w:rPr>
          <w:rFonts w:ascii="Arial" w:hAnsi="Arial"/>
          <w:b w:val="0"/>
          <w:i w:val="0"/>
        </w:rPr>
        <w:t>O teste qui-quadrado foi utilizado para verificar se a relação entre classe observada (vermelho/não vermelho) e posição cartográfica (dentro/fora) poderia ser explicada por independência estatística.</w:t>
      </w:r>
    </w:p>
    <w:p>
      <w:pPr>
        <w:jc w:val="center"/>
      </w:pPr>
      <w:r>
        <w:rPr>
          <w:rFonts w:ascii="Cambria Math" w:hAnsi="Cambria Math"/>
          <w:b w:val="0"/>
          <w:i w:val="0"/>
          <w:sz w:val="21"/>
        </w:rPr>
        <w:t>χ² = Σ [(Oij - Eij)² / Eij]</w:t>
      </w:r>
    </w:p>
    <w:p>
      <w:r>
        <w:rPr>
          <w:rFonts w:ascii="Arial" w:hAnsi="Arial"/>
          <w:b w:val="0"/>
          <w:i w:val="0"/>
        </w:rPr>
        <w:t>em que Oij representa a frequência observada em cada célula da matriz e Eij a frequência esperada sob a hipótese de independência.</w:t>
      </w:r>
    </w:p>
    <w:p>
      <w:r>
        <w:rPr>
          <w:rFonts w:ascii="Arial" w:hAnsi="Arial"/>
          <w:b w:val="0"/>
          <w:i w:val="0"/>
        </w:rPr>
        <w:t>Hipótese nula H0: a classe observada do solo e a posição dentro/fora da mancha são independentes.</w:t>
      </w:r>
    </w:p>
    <w:p>
      <w:r>
        <w:rPr>
          <w:rFonts w:ascii="Arial" w:hAnsi="Arial"/>
          <w:b w:val="0"/>
          <w:i w:val="0"/>
        </w:rPr>
        <w:t>Hipótese alternativa H1: existe associação entre a classe observada e a posição em relação à mancha.</w:t>
      </w:r>
    </w:p>
    <w:p>
      <w:r>
        <w:rPr>
          <w:rFonts w:ascii="Arial" w:hAnsi="Arial"/>
          <w:b w:val="0"/>
          <w:i w:val="0"/>
        </w:rPr>
        <w:t>O resultado atual foi χ² = 389,39, com 1 grau de liberdade e p &lt; 0,001. Assim, rejeita-se H0. Isso significa que a associação encontrada é altamente improvável sob um cenário de independência. Importante: p &lt; 0,001 não significa 99,9% de acurácia e não representa a probabilidade de a mancha estar correta.</w:t>
      </w:r>
    </w:p>
    <w:p>
      <w:pPr>
        <w:pStyle w:val="Heading2"/>
      </w:pPr>
      <w:r>
        <w:rPr>
          <w:rFonts w:ascii="Arial" w:hAnsi="Arial"/>
          <w:b w:val="0"/>
          <w:i w:val="0"/>
        </w:rPr>
        <w:t>3.12. INTERVALOS DE CONFIANÇA DE 95%</w:t>
      </w:r>
    </w:p>
    <w:p>
      <w:r>
        <w:rPr>
          <w:rFonts w:ascii="Arial" w:hAnsi="Arial"/>
          <w:b w:val="0"/>
          <w:i w:val="0"/>
        </w:rPr>
        <w:t>Para as proporções foi adotado intervalo de confiança de 95% pelo método de Wilson, preferível à aproximação normal simples em proporções por apresentar comportamento mais estável.</w:t>
      </w:r>
    </w:p>
    <w:p>
      <w:r>
        <w:rPr>
          <w:rFonts w:ascii="Arial" w:hAnsi="Arial"/>
          <w:b w:val="0"/>
          <w:i w:val="0"/>
        </w:rPr>
        <w:t>Para uma proporção p̂ = x/n e z = 1,96, o intervalo de Wilson é obtido por:</w:t>
      </w:r>
    </w:p>
    <w:p>
      <w:pPr>
        <w:jc w:val="center"/>
      </w:pPr>
      <w:r>
        <w:rPr>
          <w:rFonts w:ascii="Cambria Math" w:hAnsi="Cambria Math"/>
          <w:b w:val="0"/>
          <w:i w:val="0"/>
          <w:sz w:val="21"/>
        </w:rPr>
        <w:t>Centro = [p̂ + z²/(2n)] / [1 + z²/n]</w:t>
      </w:r>
    </w:p>
    <w:p>
      <w:pPr>
        <w:jc w:val="center"/>
      </w:pPr>
      <w:r>
        <w:rPr>
          <w:rFonts w:ascii="Cambria Math" w:hAnsi="Cambria Math"/>
          <w:b w:val="0"/>
          <w:i w:val="0"/>
          <w:sz w:val="21"/>
        </w:rPr>
        <w:t>Meia amplitude = [z / (1 + z²/n)] × √[p̂(1-p̂)/n + z²/(4n²)]</w:t>
      </w:r>
    </w:p>
    <w:p>
      <w:pPr>
        <w:jc w:val="center"/>
      </w:pPr>
      <w:r>
        <w:rPr>
          <w:rFonts w:ascii="Cambria Math" w:hAnsi="Cambria Math"/>
          <w:b w:val="0"/>
          <w:i w:val="0"/>
          <w:sz w:val="21"/>
        </w:rPr>
        <w:t>IC95% = Centro ± Meia amplitude</w:t>
      </w:r>
    </w:p>
    <w:p>
      <w:r>
        <w:rPr>
          <w:rFonts w:ascii="Arial" w:hAnsi="Arial"/>
          <w:b w:val="0"/>
          <w:i w:val="0"/>
        </w:rPr>
        <w:t>O IC95% quantifica a incerteza da proporção calculada para o conjunto observado. Ele não é uma margem de erro territorial nacional, porque o desenho amostral é dirigido/estratificado e espacialmente heterogêneo.</w:t>
      </w:r>
    </w:p>
    <w:p>
      <w:pPr>
        <w:pStyle w:val="Heading2"/>
      </w:pPr>
      <w:r>
        <w:rPr>
          <w:rFonts w:ascii="Arial" w:hAnsi="Arial"/>
          <w:b w:val="0"/>
          <w:i w:val="0"/>
        </w:rPr>
        <w:t>3.13. ESTRATIFICAÇÃO POR FONTE E INDEPENDÊNCIA</w:t>
      </w:r>
    </w:p>
    <w:p>
      <w:r>
        <w:rPr>
          <w:rFonts w:ascii="Arial" w:hAnsi="Arial"/>
          <w:b w:val="0"/>
          <w:i w:val="0"/>
        </w:rPr>
        <w:t>Todos os pontos participam do estudo, mas sua função estatística é preservada. O acervo histórico e os pontos usados no refinamento da mancha medem principalmente coerência com a base de construção. Os pontos de campo fornecem evidência direta. A interpretação de imagens constitui evidência remota complementar. Os pontos de controle cartográfico externo verificam a coerência do exterior da mancha com a base pedológica, mas não equivalem a novas observações de campo.</w:t>
      </w:r>
    </w:p>
    <w:p>
      <w:r>
        <w:rPr>
          <w:rFonts w:ascii="Arial" w:hAnsi="Arial"/>
          <w:b w:val="0"/>
          <w:i w:val="0"/>
        </w:rPr>
        <w:t>A apresentação estratificada evita pseudo-replicação e impede que uma grande quantidade de pontos derivados de uma mesma fonte seja interpretada como se representasse o mesmo nível de independência de uma campanha de campo.</w:t>
      </w:r>
    </w:p>
    <w:p>
      <w:pPr>
        <w:pStyle w:val="Heading2"/>
      </w:pPr>
      <w:r>
        <w:rPr>
          <w:rFonts w:ascii="Arial" w:hAnsi="Arial"/>
          <w:b w:val="0"/>
          <w:i w:val="0"/>
        </w:rPr>
        <w:t>3.14. INTEGRAÇÃO COM GEOLOGIA, SOLOS, PROVÍNCIAS E QUADRÍCULAS</w:t>
      </w:r>
    </w:p>
    <w:p>
      <w:r>
        <w:rPr>
          <w:rFonts w:ascii="Arial" w:hAnsi="Arial"/>
          <w:b w:val="0"/>
          <w:i w:val="0"/>
        </w:rPr>
        <w:t>A estatística não foi concebida como análise desvinculada da cartografia. Os resultados devem ser espacializados por província, quadrícula 20 x 20 km, unidade geológica e unidade pedológica. Essa integração permite distinguir uma divergência isolada de um padrão espacial consistente e identificar setores em que várias fontes concordam.</w:t>
      </w:r>
    </w:p>
    <w:p>
      <w:r>
        <w:rPr>
          <w:rFonts w:ascii="Arial" w:hAnsi="Arial"/>
          <w:b w:val="0"/>
          <w:i w:val="0"/>
        </w:rPr>
        <w:t>A geologia é utilizada como contexto de material de origem e estratificação, não como regra determinística de classe de solo. A base pedológica fornece contexto temático; a articulação 20 x 20 km controla distribuição e lacunas; e as províncias permitem síntese administrativa.</w:t>
      </w:r>
    </w:p>
    <w:p>
      <w:pPr>
        <w:pStyle w:val="Heading2"/>
      </w:pPr>
      <w:r>
        <w:rPr>
          <w:rFonts w:ascii="Arial" w:hAnsi="Arial"/>
          <w:b w:val="0"/>
          <w:i w:val="0"/>
        </w:rPr>
        <w:t>3.15. ANÁLISE DE DISTÂNCIA À BORDA</w:t>
      </w:r>
    </w:p>
    <w:p>
      <w:r>
        <w:rPr>
          <w:rFonts w:ascii="Arial" w:hAnsi="Arial"/>
          <w:b w:val="0"/>
          <w:i w:val="0"/>
        </w:rPr>
        <w:t>Como etapa complementar específica para testar a delimitação, recomenda-se calcular a distância assinada de cada ponto à borda da mancha e agrupar as observações em faixas: 0-5 km, 5-10 km, 10-20 km, 20-50 km e &gt;50 km, distinguindo interior e exterior.</w:t>
      </w:r>
    </w:p>
    <w:p>
      <w:r>
        <w:rPr>
          <w:rFonts w:ascii="Arial" w:hAnsi="Arial"/>
          <w:b w:val="0"/>
          <w:i w:val="0"/>
        </w:rPr>
        <w:t>Uma delimitação coerente tende a apresentar maior mistura de classes junto às bordas, maior proporção de vermelhos à medida que se avança para o interior e maior proporção de não vermelhos à medida que se avança para o exterior. Esse teste é particularmente útil para responder à solicitação do cliente sobre a confirmação dos limites.</w:t>
      </w:r>
    </w:p>
    <w:p>
      <w:pPr>
        <w:pStyle w:val="Heading2"/>
      </w:pPr>
      <w:r>
        <w:rPr>
          <w:rFonts w:ascii="Arial" w:hAnsi="Arial"/>
          <w:b w:val="0"/>
          <w:i w:val="0"/>
        </w:rPr>
        <w:t>3.16. PREMISSAS E LIMITAÇÕES ESTATÍSTICAS</w:t>
      </w:r>
    </w:p>
    <w:p>
      <w:r>
        <w:rPr>
          <w:rFonts w:ascii="Arial" w:hAnsi="Arial"/>
          <w:b w:val="0"/>
          <w:i w:val="0"/>
        </w:rPr>
        <w:t>Os indicadores deste documento devem ser interpretados sob cinco premissas: (i) a amostragem não é aleatória simples em escala nacional; (ii) as fontes possuem níveis distintos de independência; (iii) a precisão posicional e a escala das bases influenciam pontos próximos às bordas; (iv) imagens de satélite são evidência complementar e não prova pedológica isolada; e (v) a significância estatística não elimina a necessidade de interpretação geopedológica.</w:t>
      </w:r>
    </w:p>
    <w:p>
      <w:r>
        <w:rPr>
          <w:rFonts w:ascii="Arial" w:hAnsi="Arial"/>
          <w:b w:val="0"/>
          <w:i w:val="0"/>
        </w:rPr>
        <w:t>Consequentemente, a validação deve ser apresentada como evidência quantitativa de coerência e associação espacial, acompanhada de mapa de confiança e identificação das áreas de revisão, e não como um único percentual absoluto de 'confiabilidade de Angola'.</w:t>
      </w:r>
    </w:p>
    <w:p>
      <w:pPr>
        <w:pStyle w:val="Heading1"/>
      </w:pPr>
      <w:r>
        <w:rPr>
          <w:rFonts w:ascii="Arial" w:hAnsi="Arial"/>
        </w:rPr>
        <w:t>4. RESULTADO DO CRUZAMENTO ESPACIAL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Observação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Dentro da mancha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Fora da mancha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Solo vermelho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2446 (TP)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1094 (FN)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Solo não vermelho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766 (FP)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1089 (TN)</w:t>
            </w:r>
          </w:p>
        </w:tc>
      </w:tr>
    </w:tbl>
    <w:p>
      <w:pPr>
        <w:spacing w:after="100"/>
      </w:pPr>
      <w:r>
        <w:rPr>
          <w:rFonts w:ascii="Arial" w:hAnsi="Arial"/>
        </w:rPr>
        <w:t>A matriz consolidada resultou em 2446 pontos vermelhos dentro da mancha, 1094 pontos vermelhos fora, 766 pontos não vermelhos dentro e 1089 pontos não vermelhos fora. O resultado evidencia associação espacial real entre a mancha e as observações, mas também identifica divergências relevantes que devem ser interpretadas como zonas de revisão, transição ou insuficiência de informação.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580000" cy="333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matriz_concorda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</w:rPr>
        <w:t>5. INDICADORES ESTATÍSTICOS GLOBAIS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Indicador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Resultado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IC 95%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Interpretação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Acurácia global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65.5%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64.2% - 66.8%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Concordância global moderada entre classe observada e posição na mancha.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Sensibilidade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69.1%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67.6% - 70.6%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Capacidade moderada/boa de conter observações vermelhas.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Especificidade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58.7%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56.4% - 60.9%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Capacidade moderada de excluir observações não vermelhas.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Valor preditivo positivo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76.2%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74.6% - 77.6%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A maior parte dos pontos situados dentro e classificados no teste é vermelha.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Valor preditivo negativo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49.9%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47.8% - 52.0%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O exterior ainda contém quantidade relevante de observações vermelhas, indicando possíveis omissões ou diferenças de escala.</w:t>
            </w:r>
          </w:p>
        </w:tc>
      </w:tr>
    </w:tbl>
    <w:p>
      <w:pPr>
        <w:spacing w:after="100"/>
      </w:pPr>
      <w:r>
        <w:rPr>
          <w:rFonts w:ascii="Arial" w:hAnsi="Arial"/>
        </w:rPr>
        <w:t>A taxa de omissão (pontos vermelhos fora da mancha) foi de 30.9% entre as observações vermelhas classificáveis. A taxa de comissão, expressa aqui como proporção de observações não vermelhas situadas dentro da mancha, foi de 41.3% entre as observações não vermelhas.</w:t>
      </w:r>
    </w:p>
    <w:p>
      <w:pPr>
        <w:spacing w:after="100"/>
      </w:pPr>
      <w:r>
        <w:rPr>
          <w:rFonts w:ascii="Arial" w:hAnsi="Arial"/>
        </w:rPr>
        <w:t>O coeficiente Kappa de Cohen foi κ = 0.267, indicando concordância acima do acaso, porém não suficiente para sustentar a afirmação de concordância quase perfeita em escala nacional.</w:t>
      </w:r>
    </w:p>
    <w:p>
      <w:pPr>
        <w:pStyle w:val="Heading1"/>
      </w:pPr>
      <w:r>
        <w:rPr>
          <w:rFonts w:ascii="Arial" w:hAnsi="Arial"/>
        </w:rPr>
        <w:t>6. TESTE DE ASSOCIAÇÃO - QUI-QUADRADO</w:t>
      </w:r>
    </w:p>
    <w:p>
      <w:pPr>
        <w:spacing w:after="100"/>
      </w:pPr>
      <w:r>
        <w:rPr>
          <w:rFonts w:ascii="Arial" w:hAnsi="Arial"/>
        </w:rPr>
        <w:t>O teste qui-quadrado de independência aplicado à matriz 2 x 2 resultou em χ² = 389.39, com 1 grau de liberdade e p &lt; 0,001 (p calculado ≈ 1.12e-86). Assim, rejeita-se a hipótese de independência entre a classificação observada do solo e a posição dentro/fora da mancha.</w:t>
      </w:r>
    </w:p>
    <w:p>
      <w:pPr>
        <w:spacing w:after="100"/>
      </w:pPr>
      <w:r>
        <w:rPr>
          <w:rFonts w:ascii="Arial" w:hAnsi="Arial"/>
        </w:rPr>
        <w:t>Esse resultado demonstra que a relação espacial observada é estatisticamente significativa e não se comporta como associação aleatória. Contudo, significância estatística não equivale, por si só, a alta acurácia cartográfica; por isso o teste é interpretado em conjunto com sensibilidade, especificidade, Kappa, distribuição espacial e origem das evidências.</w:t>
      </w:r>
    </w:p>
    <w:p>
      <w:pPr>
        <w:pStyle w:val="Heading1"/>
      </w:pPr>
      <w:r>
        <w:rPr>
          <w:rFonts w:ascii="Arial" w:hAnsi="Arial"/>
        </w:rPr>
        <w:t>7. ANÁLISE ESTRATIFICADA POR FONTE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Fonte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TP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FN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FP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TN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Leitura principal</w:t>
            </w:r>
          </w:p>
        </w:tc>
      </w:tr>
      <w:tr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Acervo histórico/classificado (2.141)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230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40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554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235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Acervo misto; contém concordâncias, divergências e 1.082 pontos indeterminados.</w:t>
            </w:r>
          </w:p>
        </w:tc>
      </w:tr>
      <w:tr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Nova classificação (2.562)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1320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1002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212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28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Grande volume de evidência vermelha, com parcela expressiva fora da mancha; importante para revisão de omissões.</w:t>
            </w:r>
          </w:p>
        </w:tc>
      </w:tr>
      <w:tr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Coleta de campo (169)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156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Evidência direta de campo: 156 dentro e 13 fora da mancha.</w:t>
            </w:r>
          </w:p>
        </w:tc>
      </w:tr>
      <w:tr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Interpretação por imagens (779)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740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39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Evidência remota complementar: predominância dentro da mancha, com 39 ocorrências fora.</w:t>
            </w:r>
          </w:p>
        </w:tc>
      </w:tr>
      <w:tr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Controle cartográfico externo (826)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826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Controle derivado da cartografia pedológica e deliberadamente externo; mede coerência cartográfica, não substitui campo.</w:t>
            </w:r>
          </w:p>
        </w:tc>
      </w:tr>
    </w:tbl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fontes_valid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</w:rPr>
        <w:t>8. PAPEL DOS 826 PONTOS DE CONTROLE EXTERNO</w:t>
      </w:r>
    </w:p>
    <w:p>
      <w:pPr>
        <w:spacing w:after="100"/>
      </w:pPr>
      <w:r>
        <w:rPr>
          <w:rFonts w:ascii="Arial" w:hAnsi="Arial"/>
        </w:rPr>
        <w:t>Os 826 pontos novos foram gerados em posições sistemáticas externas à mancha e associados a unidades pedológicas conservadoramente não vermelhas. Foi aplicada exclusão espacial em relação aos pontos previamente existentes, evitando simples reutilização de coordenadas.</w:t>
      </w:r>
    </w:p>
    <w:p>
      <w:pPr>
        <w:spacing w:after="100"/>
      </w:pPr>
      <w:r>
        <w:rPr>
          <w:rFonts w:ascii="Arial" w:hAnsi="Arial"/>
        </w:rPr>
        <w:t>Esses pontos integram o universo global do estudo e são úteis para testar a coerência do exterior da mancha. Entretanto, por terem sido derivados da própria cartografia pedológica e selecionados fora da mancha, não devem ser descritos como amostragem de campo independente nem usados isoladamente para inflar a estimativa de acurácia. No documento, sua função correta é 'controle cartográfico externo'.</w:t>
      </w:r>
    </w:p>
    <w:p>
      <w:pPr>
        <w:pStyle w:val="Heading1"/>
      </w:pPr>
      <w:r>
        <w:rPr>
          <w:rFonts w:ascii="Arial" w:hAnsi="Arial"/>
        </w:rPr>
        <w:t>9. REPRESENTATIVIDADE ESPACIAL E ESCALA NACIONAL</w:t>
      </w:r>
    </w:p>
    <w:p>
      <w:pPr>
        <w:spacing w:after="100"/>
      </w:pPr>
      <w:r>
        <w:rPr>
          <w:rFonts w:ascii="Arial" w:hAnsi="Arial"/>
        </w:rPr>
        <w:t>A interpretação estatística deve considerar a dimensão territorial de Angola e a distribuição não uniforme das observações. O número absoluto de pontos não autoriza extrapolar uma margem de erro nacional como se houvesse amostragem aleatória simples. A representatividade deve ser avaliada por quadrícula 20 x 20 km, província, unidade geológica, unidade pedológica, contexto de paisagem e densidade de evidências.</w:t>
      </w:r>
    </w:p>
    <w:p>
      <w:pPr>
        <w:spacing w:after="100"/>
      </w:pPr>
      <w:r>
        <w:rPr>
          <w:rFonts w:ascii="Arial" w:hAnsi="Arial"/>
        </w:rPr>
        <w:t>Recomenda-se que a versão consolidada do produto incorpore uma camada de confiança espacial, distinguindo áreas confirmadas, áreas com evidência moderada, áreas inferidas e áreas prioritárias para revisão. Essa abordagem é consistente com a metodologia original e evita transmitir precisão superior à suportada pelas bases de origem.</w:t>
      </w:r>
    </w:p>
    <w:p>
      <w:pPr>
        <w:pStyle w:val="Heading1"/>
      </w:pPr>
      <w:r>
        <w:rPr>
          <w:rFonts w:ascii="Arial" w:hAnsi="Arial"/>
        </w:rPr>
        <w:t>10. INTERPRETAÇÃO DA CONFIABILIDADE</w:t>
      </w:r>
    </w:p>
    <w:p>
      <w:pPr>
        <w:spacing w:after="100"/>
      </w:pPr>
      <w:r>
        <w:rPr>
          <w:rFonts w:ascii="Arial" w:hAnsi="Arial"/>
        </w:rPr>
        <w:t>Os resultados sustentam que existe associação estatisticamente significativa entre a mancha e o conjunto de observações. Há forte volume de concordância positiva e evidência externa negativa, mas também existem 1.094 observações vermelhas fora da mancha e 766 observações não vermelhas dentro dela no conjunto classificável.</w:t>
      </w:r>
    </w:p>
    <w:p>
      <w:pPr>
        <w:spacing w:after="100"/>
      </w:pPr>
      <w:r>
        <w:rPr>
          <w:rFonts w:ascii="Arial" w:hAnsi="Arial"/>
        </w:rPr>
        <w:t>Portanto, a conclusão tecnicamente defensável não é que a mancha esteja 'comprovada com 95% de acurácia nacional'. O que os dados permitem afirmar é que a mancha apresenta coerência espacial estatisticamente significativa e utilidade cartográfica regional, ao mesmo tempo em que as divergências identificam setores que merecem refinamento progressivo. Essa formulação aumenta a credibilidade do trabalho porque separa evidência, incerteza e escala de uso.</w:t>
      </w:r>
    </w:p>
    <w:p>
      <w:pPr>
        <w:spacing w:after="100"/>
      </w:pPr>
      <w:r>
        <w:rPr>
          <w:rFonts w:ascii="Arial" w:hAnsi="Arial"/>
        </w:rPr>
        <w:t>Os intervalos de confiança de 95% apresentados neste documento quantificam a incerteza das proporções observadas no conjunto disponível; não devem ser interpretados como intervalo probabilístico de cobertura territorial de toda Angola, pois o desenho amostral não corresponde a amostragem aleatória simples nacional.</w:t>
      </w:r>
    </w:p>
    <w:p>
      <w:pPr>
        <w:pStyle w:val="Heading1"/>
      </w:pPr>
      <w:r>
        <w:rPr>
          <w:rFonts w:ascii="Arial" w:hAnsi="Arial"/>
        </w:rPr>
        <w:t>11. ANÁLISE DE BORDA RECOMENDADA</w:t>
      </w:r>
    </w:p>
    <w:p>
      <w:pPr>
        <w:spacing w:after="100"/>
      </w:pPr>
      <w:r>
        <w:rPr>
          <w:rFonts w:ascii="Arial" w:hAnsi="Arial"/>
        </w:rPr>
        <w:t>Para fortalecer especificamente a defesa dos limites da mancha, recomenda-se uma análise de distância à borda, em faixas de 0-5 km, 5-10 km, 10-20 km, 20-50 km e &gt;50 km. O comportamento esperado de uma delimitação coerente é maior mistura de classes próximo às bordas, aumento da proporção de vermelhos para o interior e aumento da proporção de não vermelhos para o exterior.</w:t>
      </w:r>
    </w:p>
    <w:p>
      <w:pPr>
        <w:spacing w:after="100"/>
      </w:pPr>
      <w:r>
        <w:rPr>
          <w:rFonts w:ascii="Arial" w:hAnsi="Arial"/>
        </w:rPr>
        <w:t>Essa análise deve ser apresentada como complemento espacial e não como substituição da matriz global. Ela é particularmente útil para responder ao questionamento do cliente sobre a confirmação dos limites externos.</w:t>
      </w:r>
    </w:p>
    <w:p>
      <w:pPr>
        <w:pStyle w:val="Heading1"/>
      </w:pPr>
      <w:r>
        <w:rPr>
          <w:rFonts w:ascii="Arial" w:hAnsi="Arial"/>
        </w:rPr>
        <w:t>12. CONCLUSÕES</w:t>
      </w:r>
    </w:p>
    <w:p>
      <w:pPr/>
      <w:r>
        <w:rPr>
          <w:rFonts w:ascii="Arial" w:hAnsi="Arial"/>
        </w:rPr>
        <w:t>• O estudo integrou 6.477 observações/pontos. dos quais 5.395 possuem classificação binária utilizável e 1.082 permanecem indeterminados.</w:t>
      </w:r>
    </w:p>
    <w:p>
      <w:pPr/>
      <w:r>
        <w:rPr>
          <w:rFonts w:ascii="Arial" w:hAnsi="Arial"/>
        </w:rPr>
        <w:t>• A concordância global observada foi de 65.5% (IC95%: 64.2% a 66.8%).</w:t>
      </w:r>
    </w:p>
    <w:p>
      <w:pPr/>
      <w:r>
        <w:rPr>
          <w:rFonts w:ascii="Arial" w:hAnsi="Arial"/>
        </w:rPr>
        <w:t>• A sensibilidade foi de 69.1% e a especificidade de 58.7%.</w:t>
      </w:r>
    </w:p>
    <w:p>
      <w:pPr/>
      <w:r>
        <w:rPr>
          <w:rFonts w:ascii="Arial" w:hAnsi="Arial"/>
        </w:rPr>
        <w:t>• O teste qui-quadrado indicou associação altamente significativa entre classe observada e posição em relação à mancha (χ²=389.39; p&lt;0,001).</w:t>
      </w:r>
    </w:p>
    <w:p>
      <w:pPr/>
      <w:r>
        <w:rPr>
          <w:rFonts w:ascii="Arial" w:hAnsi="Arial"/>
        </w:rPr>
        <w:t>• O Kappa de Cohen foi 0.267, caracterizando concordância acima do acaso, mas com espaço relevante para refinamento.</w:t>
      </w:r>
    </w:p>
    <w:p>
      <w:pPr/>
      <w:r>
        <w:rPr>
          <w:rFonts w:ascii="Arial" w:hAnsi="Arial"/>
        </w:rPr>
        <w:t>• Os resultados justificam a manutenção da mancha como produto cartográfico regional de trabalho, acompanhada de camada de confiança e revisão prioritária das divergências.</w:t>
      </w:r>
    </w:p>
    <w:p>
      <w:pPr/>
      <w:r>
        <w:rPr>
          <w:rFonts w:ascii="Arial" w:hAnsi="Arial"/>
        </w:rPr>
        <w:t>• Nenhuma fonte de evidência foi descartada; as diferenças de origem foram preservadas por estratificação para evitar interpretações estatísticas indevidas.</w:t>
      </w:r>
    </w:p>
    <w:p>
      <w:pPr>
        <w:pStyle w:val="Heading1"/>
      </w:pPr>
      <w:r>
        <w:rPr>
          <w:rFonts w:ascii="Arial" w:hAnsi="Arial"/>
        </w:rPr>
        <w:t>13. RECOMENDAÇÕES PARA INCORPORAÇÃO NO RELATÓRIO METODOLÓGICO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Seção do relatório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Modificação recomendada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Prioridade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13.3 - Representatividade e escala nacional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Ampliar o texto para informar o universo integrado de evidências e esclarecer que a representatividade é avaliada por quadrícula, geologia, solo, província e fonte, e não por amostragem aleatória simples nacional.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14.2 - Matriz de concordância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Substituir a apresentação apenas conceitual pela matriz quantitativa TP/FN/FP/TN e incluir a regra de tratamento dos pontos indeterminados.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14.3 - Regra de correção conservadora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Acrescentar que divergências estatísticas não geram alteração automática do polígono; servem para priorizar revisão local apoiada por geologia, solo, relevo e imagem.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15 - Modelo de confiança, incerteza e validação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É a principal seção a ser atualizada. Incorporar acurácia, sensibilidade, especificidade, Kappa, qui-quadrado, IC95%, estratificação por fonte e a distinção entre consistência interna e validação externa.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17 - Controlo de qualidade e auditoria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Incluir rastreabilidade da origem de cada ponto, regra de duplicidade/proximidade, versão da mancha usada no cruzamento e registro reproduzível dos resultados estatísticos.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18 - Produtos cartográficos e entregáveis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Adicionar o KML de pontos de controle cartográfico externos e, idealmente, mapa/camada de confiança espacial e mapa de divergências.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23.4 - Limitações amostrais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Atualizar para registrar explicitamente que os IC95% se referem às proporções do conjunto observado e não equivalem a margem de erro territorial nacional.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23.5 - Limitações do uso de imagens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Manter e reforçar que os pontos derivados de imagem são evidência complementar, não prova pedológica isolada.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24 - Recomendações técnicas prioritárias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Acrescentar análise de borda, revisão dos FN/FP, densidade por quadrícula e campanhas futuras dirigidas às áreas de maior divergência.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25 - Conclusão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Atualizar a conclusão para incorporar a associação estatisticamente significativa e, simultaneamente, a necessidade de refinamento progressivo, evitando declarar percentuais de 'confiabilidade nacional' não suportados pelo desenho amostral.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</w:tbl>
    <w:p>
      <w:pPr>
        <w:pStyle w:val="Heading1"/>
      </w:pPr>
      <w:r>
        <w:rPr>
          <w:rFonts w:ascii="Arial" w:hAnsi="Arial"/>
        </w:rPr>
        <w:t>14. NOTA METODOLÓGICA FINAL</w:t>
      </w:r>
    </w:p>
    <w:p>
      <w:pPr>
        <w:spacing w:after="100"/>
      </w:pPr>
      <w:r>
        <w:rPr>
          <w:rFonts w:ascii="Arial" w:hAnsi="Arial"/>
        </w:rPr>
        <w:t>Este documento deve ser lido como complemento metodológico, quantitativo e de memória de cálculo ao relatório existente. A sequência de fórmulas, hipóteses, regras de classificação e critérios de interpretação foi explicitada para permitir auditoria e reprodução do procedimento. Os cálculos dependem da versão da mancha e dos conjuntos de evidências utilizados; qualquer atualização das geometrias ou classificações exige reprocessamento.</w:t>
      </w:r>
    </w:p>
    <w:p>
      <w:pPr>
        <w:spacing w:after="100"/>
      </w:pPr>
      <w:r>
        <w:rPr>
          <w:rFonts w:ascii="Arial" w:hAnsi="Arial"/>
        </w:rPr>
        <w:t>Referência interna principal: Relatório Técnico 03226P02-RET-ET-SAA-04, Revisão 00, 31/07/2026 - Base geológica e solos vermelhos - Angola.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técnico complementar ao Relatório Técnico 03226P02-RET-ET-SAA-04 | Agosto/2026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ANÁLISE ESTATÍSTICA E VALIDAÇÃO ESPACIAL - SOLOS VERMELHOS DE ANGOLA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