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color w:val="1F3A5F"/>
          <w:sz w:val="40"/>
        </w:rPr>
        <w:t>CASE AURORA – CONSUMER CREDIT RISK</w:t>
      </w:r>
    </w:p>
    <w:p>
      <w:pPr>
        <w:pStyle w:val="Normal"/>
        <w:jc w:val="center"/>
        <w:rPr/>
      </w:pPr>
      <w:r>
        <w:rPr>
          <w:color w:val="555555"/>
          <w:sz w:val="24"/>
        </w:rPr>
        <w:t>Respostas estruturadas às 5 perguntas de negócio</w:t>
        <w:br/>
        <w:t>baseadas nas evidências reais do projeto (Fases 1 a 6 do CRISP-DM)</w:t>
      </w:r>
    </w:p>
    <w:p>
      <w:pPr>
        <w:pStyle w:val="Normal"/>
        <w:jc w:val="center"/>
        <w:rPr/>
      </w:pPr>
      <w:r>
        <w:rPr>
          <w:color w:val="7F7F7F"/>
          <w:sz w:val="21"/>
        </w:rPr>
        <w:t>Modelo vencedor: XGBoost (max_depth=4, lr=0.03, mcw=80, n=500, spw=13.96)</w:t>
        <w:br/>
        <w:t>Holdout ROC AUC = 0,86956  ·  Economia de custo vs. “aprovar todos” = 50,65%</w:t>
        <w:br/>
        <w:t>Limiar ótimo (custo FN = R$ 5.000 ; FP = R$ 500) = 0,56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1. Quais variáveis parecem mais relevantes para prever inadimplência?</w:t>
      </w:r>
    </w:p>
    <w:p>
      <w:pPr>
        <w:pStyle w:val="Normal"/>
        <w:rPr/>
      </w:pPr>
      <w:r>
        <w:rPr/>
        <w:t>A relevância é medida de três formas complementares no projeto: (a) importância por cobertura nas árvores do XGBoost; (b) impacto SHAP global médio (|mean SHAP|), que mede quanto cada feature move o score em valor absoluto sobre 37.500 clientes de teste (holdout cego); e (c) magnitude dos SHAP extremos (pior caso de 1 cliente).</w:t>
      </w:r>
    </w:p>
    <w:p>
      <w:pPr>
        <w:pStyle w:val="Normal"/>
        <w:rPr/>
      </w:pPr>
      <w:r>
        <w:rPr/>
        <w:t>Ranking global TOP 10 por impacto SHAP médio absoluto |mean SHAP| (holdout):</w:t>
      </w:r>
    </w:p>
    <w:tbl>
      <w:tblPr>
        <w:tblStyle w:val="LightGrid-Accent1"/>
        <w:tblW w:w="952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904"/>
        <w:gridCol w:w="1904"/>
        <w:gridCol w:w="1904"/>
        <w:gridCol w:w="1904"/>
        <w:gridCol w:w="1904"/>
      </w:tblGrid>
      <w:tr>
        <w:trPr/>
        <w:tc>
          <w:tcPr>
            <w:tcW w:w="1904" w:type="dxa"/>
            <w:tcBorders>
              <w:bottom w:val="single" w:sz="18" w:space="0" w:color="4F81BD"/>
            </w:tcBorders>
            <w:shd w:color="auto" w:fill="1F3A5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color w:val="FFFFFF"/>
                <w:kern w:val="0"/>
                <w:szCs w:val="22"/>
                <w:lang w:val="en-US" w:eastAsia="en-US" w:bidi="ar-SA"/>
              </w:rPr>
              <w:t>Rank</w:t>
            </w:r>
          </w:p>
        </w:tc>
        <w:tc>
          <w:tcPr>
            <w:tcW w:w="1904" w:type="dxa"/>
            <w:tcBorders>
              <w:bottom w:val="single" w:sz="18" w:space="0" w:color="4F81BD"/>
            </w:tcBorders>
            <w:shd w:color="auto" w:fill="1F3A5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color w:val="FFFFFF"/>
                <w:kern w:val="0"/>
                <w:szCs w:val="22"/>
                <w:lang w:val="en-US" w:eastAsia="en-US" w:bidi="ar-SA"/>
              </w:rPr>
              <w:t>Variável</w:t>
            </w:r>
          </w:p>
        </w:tc>
        <w:tc>
          <w:tcPr>
            <w:tcW w:w="1904" w:type="dxa"/>
            <w:tcBorders>
              <w:bottom w:val="single" w:sz="18" w:space="0" w:color="4F81BD"/>
            </w:tcBorders>
            <w:shd w:color="auto" w:fill="1F3A5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color w:val="FFFFFF"/>
                <w:kern w:val="0"/>
                <w:szCs w:val="22"/>
                <w:lang w:val="en-US" w:eastAsia="en-US" w:bidi="ar-SA"/>
              </w:rPr>
              <w:t>|mean SHAP|</w:t>
            </w:r>
          </w:p>
        </w:tc>
        <w:tc>
          <w:tcPr>
            <w:tcW w:w="1904" w:type="dxa"/>
            <w:tcBorders>
              <w:bottom w:val="single" w:sz="18" w:space="0" w:color="4F81BD"/>
            </w:tcBorders>
            <w:shd w:color="auto" w:fill="1F3A5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color w:val="FFFFFF"/>
                <w:kern w:val="0"/>
                <w:szCs w:val="22"/>
                <w:lang w:val="en-US" w:eastAsia="en-US" w:bidi="ar-SA"/>
              </w:rPr>
              <w:t>Direção média</w:t>
            </w:r>
          </w:p>
        </w:tc>
        <w:tc>
          <w:tcPr>
            <w:tcW w:w="1904" w:type="dxa"/>
            <w:tcBorders>
              <w:bottom w:val="single" w:sz="18" w:space="0" w:color="4F81BD"/>
            </w:tcBorders>
            <w:shd w:color="auto" w:fill="1F3A5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color w:val="FFFFFF"/>
                <w:kern w:val="0"/>
                <w:szCs w:val="22"/>
                <w:lang w:val="en-US" w:eastAsia="en-US" w:bidi="ar-SA"/>
              </w:rPr>
              <w:t>% de clientes que puxam ↑ risco</w:t>
            </w:r>
          </w:p>
        </w:tc>
      </w:tr>
      <w:tr>
        <w:trPr/>
        <w:tc>
          <w:tcPr>
            <w:tcW w:w="1904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1</w:t>
            </w:r>
          </w:p>
        </w:tc>
        <w:tc>
          <w:tcPr>
            <w:tcW w:w="1904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uso_limite_rotativo</w:t>
            </w:r>
          </w:p>
        </w:tc>
        <w:tc>
          <w:tcPr>
            <w:tcW w:w="1904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0,839</w:t>
            </w:r>
          </w:p>
        </w:tc>
        <w:tc>
          <w:tcPr>
            <w:tcW w:w="1904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Redutor (baixo uso = risco baixo)</w:t>
            </w:r>
          </w:p>
        </w:tc>
        <w:tc>
          <w:tcPr>
            <w:tcW w:w="1904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29,97%</w:t>
            </w:r>
          </w:p>
        </w:tc>
      </w:tr>
      <w:tr>
        <w:trPr/>
        <w:tc>
          <w:tcPr>
            <w:tcW w:w="19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2</w:t>
            </w:r>
          </w:p>
        </w:tc>
        <w:tc>
          <w:tcPr>
            <w:tcW w:w="19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atrasos_30_59_dias</w:t>
            </w:r>
          </w:p>
        </w:tc>
        <w:tc>
          <w:tcPr>
            <w:tcW w:w="19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0,386</w:t>
            </w:r>
          </w:p>
        </w:tc>
        <w:tc>
          <w:tcPr>
            <w:tcW w:w="19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Negativo (média reduz score)</w:t>
            </w:r>
          </w:p>
        </w:tc>
        <w:tc>
          <w:tcPr>
            <w:tcW w:w="19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15,88%</w:t>
            </w:r>
          </w:p>
        </w:tc>
      </w:tr>
      <w:tr>
        <w:trPr/>
        <w:tc>
          <w:tcPr>
            <w:tcW w:w="1904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3</w:t>
            </w:r>
          </w:p>
        </w:tc>
        <w:tc>
          <w:tcPr>
            <w:tcW w:w="1904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atrasos_90_mais_dias</w:t>
            </w:r>
          </w:p>
        </w:tc>
        <w:tc>
          <w:tcPr>
            <w:tcW w:w="1904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0,329</w:t>
            </w:r>
          </w:p>
        </w:tc>
        <w:tc>
          <w:tcPr>
            <w:tcW w:w="1904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Negativo (média reduz score)</w:t>
            </w:r>
          </w:p>
        </w:tc>
        <w:tc>
          <w:tcPr>
            <w:tcW w:w="1904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5,45%</w:t>
            </w:r>
          </w:p>
        </w:tc>
      </w:tr>
      <w:tr>
        <w:trPr/>
        <w:tc>
          <w:tcPr>
            <w:tcW w:w="19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4</w:t>
            </w:r>
          </w:p>
        </w:tc>
        <w:tc>
          <w:tcPr>
            <w:tcW w:w="19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idade</w:t>
            </w:r>
          </w:p>
        </w:tc>
        <w:tc>
          <w:tcPr>
            <w:tcW w:w="19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0,232</w:t>
            </w:r>
          </w:p>
        </w:tc>
        <w:tc>
          <w:tcPr>
            <w:tcW w:w="19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Negativo (média reduz score)</w:t>
            </w:r>
          </w:p>
        </w:tc>
        <w:tc>
          <w:tcPr>
            <w:tcW w:w="19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54,72%</w:t>
            </w:r>
          </w:p>
        </w:tc>
      </w:tr>
      <w:tr>
        <w:trPr/>
        <w:tc>
          <w:tcPr>
            <w:tcW w:w="1904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5</w:t>
            </w:r>
          </w:p>
        </w:tc>
        <w:tc>
          <w:tcPr>
            <w:tcW w:w="1904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atrasos_60_89_dias</w:t>
            </w:r>
          </w:p>
        </w:tc>
        <w:tc>
          <w:tcPr>
            <w:tcW w:w="1904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0,176</w:t>
            </w:r>
          </w:p>
        </w:tc>
        <w:tc>
          <w:tcPr>
            <w:tcW w:w="1904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Negativo (média reduz score)</w:t>
            </w:r>
          </w:p>
        </w:tc>
        <w:tc>
          <w:tcPr>
            <w:tcW w:w="1904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5,01%</w:t>
            </w:r>
          </w:p>
        </w:tc>
      </w:tr>
      <w:tr>
        <w:trPr/>
        <w:tc>
          <w:tcPr>
            <w:tcW w:w="19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6</w:t>
            </w:r>
          </w:p>
        </w:tc>
        <w:tc>
          <w:tcPr>
            <w:tcW w:w="19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linhas_credito_abertas</w:t>
            </w:r>
          </w:p>
        </w:tc>
        <w:tc>
          <w:tcPr>
            <w:tcW w:w="19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0,167</w:t>
            </w:r>
          </w:p>
        </w:tc>
        <w:tc>
          <w:tcPr>
            <w:tcW w:w="19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Neutro-negativo</w:t>
            </w:r>
          </w:p>
        </w:tc>
        <w:tc>
          <w:tcPr>
            <w:tcW w:w="19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43,85%</w:t>
            </w:r>
          </w:p>
        </w:tc>
      </w:tr>
      <w:tr>
        <w:trPr/>
        <w:tc>
          <w:tcPr>
            <w:tcW w:w="1904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7</w:t>
            </w:r>
          </w:p>
        </w:tc>
        <w:tc>
          <w:tcPr>
            <w:tcW w:w="1904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financiamentos_imobiliarios</w:t>
            </w:r>
          </w:p>
        </w:tc>
        <w:tc>
          <w:tcPr>
            <w:tcW w:w="1904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0,116</w:t>
            </w:r>
          </w:p>
        </w:tc>
        <w:tc>
          <w:tcPr>
            <w:tcW w:w="1904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Negativo</w:t>
            </w:r>
          </w:p>
        </w:tc>
        <w:tc>
          <w:tcPr>
            <w:tcW w:w="1904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41,19%</w:t>
            </w:r>
          </w:p>
        </w:tc>
      </w:tr>
      <w:tr>
        <w:trPr/>
        <w:tc>
          <w:tcPr>
            <w:tcW w:w="19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8</w:t>
            </w:r>
          </w:p>
        </w:tc>
        <w:tc>
          <w:tcPr>
            <w:tcW w:w="19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sobra_caixa (engenharia)</w:t>
            </w:r>
          </w:p>
        </w:tc>
        <w:tc>
          <w:tcPr>
            <w:tcW w:w="19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0,092</w:t>
            </w:r>
          </w:p>
        </w:tc>
        <w:tc>
          <w:tcPr>
            <w:tcW w:w="19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Negativo</w:t>
            </w:r>
          </w:p>
        </w:tc>
        <w:tc>
          <w:tcPr>
            <w:tcW w:w="19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40,24%</w:t>
            </w:r>
          </w:p>
        </w:tc>
      </w:tr>
      <w:tr>
        <w:trPr/>
        <w:tc>
          <w:tcPr>
            <w:tcW w:w="1904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9</w:t>
            </w:r>
          </w:p>
        </w:tc>
        <w:tc>
          <w:tcPr>
            <w:tcW w:w="1904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razao_divida</w:t>
            </w:r>
          </w:p>
        </w:tc>
        <w:tc>
          <w:tcPr>
            <w:tcW w:w="1904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0,088</w:t>
            </w:r>
          </w:p>
        </w:tc>
        <w:tc>
          <w:tcPr>
            <w:tcW w:w="1904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Negativo</w:t>
            </w:r>
          </w:p>
        </w:tc>
        <w:tc>
          <w:tcPr>
            <w:tcW w:w="1904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35,25%</w:t>
            </w:r>
          </w:p>
        </w:tc>
      </w:tr>
      <w:tr>
        <w:trPr/>
        <w:tc>
          <w:tcPr>
            <w:tcW w:w="19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10</w:t>
            </w:r>
          </w:p>
        </w:tc>
        <w:tc>
          <w:tcPr>
            <w:tcW w:w="19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renda_mensal</w:t>
            </w:r>
          </w:p>
        </w:tc>
        <w:tc>
          <w:tcPr>
            <w:tcW w:w="19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0,060</w:t>
            </w:r>
          </w:p>
        </w:tc>
        <w:tc>
          <w:tcPr>
            <w:tcW w:w="19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Negativo</w:t>
            </w:r>
          </w:p>
        </w:tc>
        <w:tc>
          <w:tcPr>
            <w:tcW w:w="19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43,09%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Conclusão executiva: “uso_limite_rotativo” domina como preditor (2× o impacto do 2º colocado), seguido pelas três variáveis de atraso (30–59, 60–89 e 90+ dias). Juntos, esses 4 fatores explicam ≈70% da variação de impacto SHAP global.</w:t>
      </w:r>
    </w:p>
    <w:p>
      <w:pPr>
        <w:pStyle w:val="Heading1"/>
        <w:rPr/>
      </w:pPr>
      <w:r>
        <w:rPr/>
        <w:t>2. Como a Aurora deveria tratar valores ausentes em renda_mensal e dependentes? A ausência de informação deve ser imputada, sinalizada por uma variável indicadora ou tratada de outra forma?</w:t>
      </w:r>
    </w:p>
    <w:p>
      <w:pPr>
        <w:pStyle w:val="Normal"/>
        <w:rPr/>
      </w:pPr>
      <w:r>
        <w:rPr/>
        <w:t>Diagnóstico (base bruta, 150.000 observações):</w:t>
      </w:r>
    </w:p>
    <w:tbl>
      <w:tblPr>
        <w:tblStyle w:val="LightGrid-Accent1"/>
        <w:tblW w:w="952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904"/>
        <w:gridCol w:w="1904"/>
        <w:gridCol w:w="1904"/>
        <w:gridCol w:w="1904"/>
        <w:gridCol w:w="1904"/>
      </w:tblGrid>
      <w:tr>
        <w:trPr/>
        <w:tc>
          <w:tcPr>
            <w:tcW w:w="1904" w:type="dxa"/>
            <w:tcBorders>
              <w:bottom w:val="single" w:sz="18" w:space="0" w:color="4F81BD"/>
            </w:tcBorders>
            <w:shd w:color="auto" w:fill="1F3A5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color w:val="FFFFFF"/>
                <w:kern w:val="0"/>
                <w:szCs w:val="22"/>
                <w:lang w:val="en-US" w:eastAsia="en-US" w:bidi="ar-SA"/>
              </w:rPr>
              <w:t>Variável</w:t>
            </w:r>
          </w:p>
        </w:tc>
        <w:tc>
          <w:tcPr>
            <w:tcW w:w="1904" w:type="dxa"/>
            <w:tcBorders>
              <w:bottom w:val="single" w:sz="18" w:space="0" w:color="4F81BD"/>
            </w:tcBorders>
            <w:shd w:color="auto" w:fill="1F3A5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color w:val="FFFFFF"/>
                <w:kern w:val="0"/>
                <w:szCs w:val="22"/>
                <w:lang w:val="en-US" w:eastAsia="en-US" w:bidi="ar-SA"/>
              </w:rPr>
              <w:t>Qtd. ausentes</w:t>
            </w:r>
          </w:p>
        </w:tc>
        <w:tc>
          <w:tcPr>
            <w:tcW w:w="1904" w:type="dxa"/>
            <w:tcBorders>
              <w:bottom w:val="single" w:sz="18" w:space="0" w:color="4F81BD"/>
            </w:tcBorders>
            <w:shd w:color="auto" w:fill="1F3A5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color w:val="FFFFFF"/>
                <w:kern w:val="0"/>
                <w:szCs w:val="22"/>
                <w:lang w:val="en-US" w:eastAsia="en-US" w:bidi="ar-SA"/>
              </w:rPr>
              <w:t>% ausentes</w:t>
            </w:r>
          </w:p>
        </w:tc>
        <w:tc>
          <w:tcPr>
            <w:tcW w:w="1904" w:type="dxa"/>
            <w:tcBorders>
              <w:bottom w:val="single" w:sz="18" w:space="0" w:color="4F81BD"/>
            </w:tcBorders>
            <w:shd w:color="auto" w:fill="1F3A5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color w:val="FFFFFF"/>
                <w:kern w:val="0"/>
                <w:szCs w:val="22"/>
                <w:lang w:val="en-US" w:eastAsia="en-US" w:bidi="ar-SA"/>
              </w:rPr>
              <w:t>Inadimplência quem NÃO informou</w:t>
            </w:r>
          </w:p>
        </w:tc>
        <w:tc>
          <w:tcPr>
            <w:tcW w:w="1904" w:type="dxa"/>
            <w:tcBorders>
              <w:bottom w:val="single" w:sz="18" w:space="0" w:color="4F81BD"/>
            </w:tcBorders>
            <w:shd w:color="auto" w:fill="1F3A5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color w:val="FFFFFF"/>
                <w:kern w:val="0"/>
                <w:szCs w:val="22"/>
                <w:lang w:val="en-US" w:eastAsia="en-US" w:bidi="ar-SA"/>
              </w:rPr>
              <w:t>Inadimplência quem INFORMOU</w:t>
            </w:r>
          </w:p>
        </w:tc>
      </w:tr>
      <w:tr>
        <w:trPr/>
        <w:tc>
          <w:tcPr>
            <w:tcW w:w="1904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renda_mensal</w:t>
            </w:r>
          </w:p>
        </w:tc>
        <w:tc>
          <w:tcPr>
            <w:tcW w:w="1904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29.731</w:t>
            </w:r>
          </w:p>
        </w:tc>
        <w:tc>
          <w:tcPr>
            <w:tcW w:w="1904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19,82%</w:t>
            </w:r>
          </w:p>
        </w:tc>
        <w:tc>
          <w:tcPr>
            <w:tcW w:w="1904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5,61%</w:t>
            </w:r>
          </w:p>
        </w:tc>
        <w:tc>
          <w:tcPr>
            <w:tcW w:w="1904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6,95%</w:t>
            </w:r>
          </w:p>
        </w:tc>
      </w:tr>
      <w:tr>
        <w:trPr/>
        <w:tc>
          <w:tcPr>
            <w:tcW w:w="19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numero_dependentes</w:t>
            </w:r>
          </w:p>
        </w:tc>
        <w:tc>
          <w:tcPr>
            <w:tcW w:w="19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3.924</w:t>
            </w:r>
          </w:p>
        </w:tc>
        <w:tc>
          <w:tcPr>
            <w:tcW w:w="19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2,62%</w:t>
            </w:r>
          </w:p>
        </w:tc>
        <w:tc>
          <w:tcPr>
            <w:tcW w:w="19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—</w:t>
            </w:r>
          </w:p>
        </w:tc>
        <w:tc>
          <w:tcPr>
            <w:tcW w:w="19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—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Como a ausência de renda_não é aleatória (inadimplência difere entre quem informa e quem não informa em 134 bps), imputar mediana SEM sinalizador apagaria o sinal de risco. A estratégia recomendada é a que foi aplicada no projeto — estratégia híbrida em 2 camadas:</w:t>
      </w:r>
    </w:p>
    <w:p>
      <w:pPr>
        <w:pStyle w:val="ListBullet"/>
        <w:numPr>
          <w:ilvl w:val="0"/>
          <w:numId w:val="1"/>
        </w:numPr>
        <w:rPr/>
      </w:pPr>
      <w:r>
        <w:rPr/>
        <w:t>Camada 1 — Flag binária (Indicadora): criar renda_ausente = 1 quando renda_mensal estiver ausente e dependentes_ausentes = 1 quando número de dependentes estiver ausente. Estas flags entram como variáveis preditivas separadas.</w:t>
      </w:r>
    </w:p>
    <w:p>
      <w:pPr>
        <w:pStyle w:val="ListBullet"/>
        <w:numPr>
          <w:ilvl w:val="0"/>
          <w:numId w:val="1"/>
        </w:numPr>
        <w:rPr/>
      </w:pPr>
      <w:r>
        <w:rPr/>
        <w:t>Camada 2 — Imputação robusta (sem viés de treino/teste): imputar a mediana APRENDIDA SOMENTE NO TREINO para as colunas originais (renda_mensal mediana = R$ 5.400; número de dependentes mediana = 0). A mediana é preferida à média por ser robusta aos outliers de renda (&gt;R$ 100.000 existiam na base).</w:t>
      </w:r>
    </w:p>
    <w:p>
      <w:pPr>
        <w:pStyle w:val="ListBullet"/>
        <w:numPr>
          <w:ilvl w:val="0"/>
          <w:numId w:val="1"/>
        </w:numPr>
        <w:rPr/>
      </w:pPr>
      <w:r>
        <w:rPr/>
        <w:t>Complementar: para a variável dependentes ausentes (2,62%) a flag por si só já é informativa. Para renda_mensal (19,82%) flag + imputação = o padrão ouro do BCB/FAIR lending guidance para hipótese de Missing Not At Random (MNAR).</w:t>
      </w:r>
    </w:p>
    <w:p>
      <w:pPr>
        <w:pStyle w:val="Normal"/>
        <w:rPr/>
      </w:pPr>
      <w:r>
        <w:rPr/>
        <w:t>Procedimento SÊNIOR anti-leakage: mediana R$ 5.400 aprendida no TREINO (112.500 linhas), reaplicada idêntica no holdout (37.500 linhas) e reaplicada idêntica no app Streamlit (arquivo preprocessamento.py importado pelo deploy).</w:t>
      </w:r>
    </w:p>
    <w:p>
      <w:pPr>
        <w:pStyle w:val="Heading1"/>
        <w:rPr/>
      </w:pPr>
      <w:r>
        <w:rPr/>
        <w:t>3. Como definir o ponto de corte ideal para aprovar ou negar crédito? A decisão deveria maximizar acurácia estatística, reduzir inadimplência ou maximizar lucro esperado?</w:t>
      </w:r>
    </w:p>
    <w:p>
      <w:pPr>
        <w:pStyle w:val="Normal"/>
        <w:rPr/>
      </w:pPr>
      <w:r>
        <w:rPr/>
        <w:t>A decisão NÃO deve maximizar acurácia. Por quê? Baseline trivial da base = “todos adimplentes” entrega 93,32% de acurácia e ainda assim é a pior política de negócio (custo esperado da carteira: FNs consomem o principal de 10 adimplentes). O objetivo correto é maximizar lucro esperado ou, equivalentemente, minimizar custo esperado da carteira ponderado pelos custos reais de negócio:</w:t>
      </w:r>
    </w:p>
    <w:p>
      <w:pPr>
        <w:pStyle w:val="ListBullet"/>
        <w:numPr>
          <w:ilvl w:val="0"/>
          <w:numId w:val="1"/>
        </w:numPr>
        <w:rPr/>
      </w:pPr>
      <w:r>
        <w:rPr/>
        <w:t>Custo de Falso Negativo (FN) = R$ 5.000 — aprovamos quem vai calotear; perdemos o principal do empréstimo (10×).</w:t>
      </w:r>
    </w:p>
    <w:p>
      <w:pPr>
        <w:pStyle w:val="ListBullet"/>
        <w:numPr>
          <w:ilvl w:val="0"/>
          <w:numId w:val="1"/>
        </w:numPr>
        <w:rPr/>
      </w:pPr>
      <w:r>
        <w:rPr/>
        <w:t>Custo de Falso Positivo (FP) = R$ 500 — negamos quem pagaria; perdemos a margem do cliente (1×).</w:t>
      </w:r>
    </w:p>
    <w:p>
      <w:pPr>
        <w:pStyle w:val="Normal"/>
        <w:rPr/>
      </w:pPr>
      <w:r>
        <w:rPr/>
        <w:t>Metodologia aplicada no projeto (PADRÃO SÊNIOR SEM LEAKAGE):</w:t>
      </w:r>
    </w:p>
    <w:p>
      <w:pPr>
        <w:pStyle w:val="ListNumber"/>
        <w:numPr>
          <w:ilvl w:val="0"/>
          <w:numId w:val="4"/>
        </w:numPr>
        <w:rPr/>
      </w:pPr>
      <w:r>
        <w:rPr/>
        <w:t>1. Varredura 9.900 limiares (0,01 → 0,99, passo 0,01) APENAS sobre as previsões Out-Of-Fold (OOF) do TREINO via StratifiedKFold 5-fold. NUNCA sobre o holdout — holdout só é batizado 1 vez no final para confirmar cegamente.</w:t>
      </w:r>
    </w:p>
    <w:p>
      <w:pPr>
        <w:pStyle w:val="ListNumber"/>
        <w:numPr>
          <w:ilvl w:val="0"/>
          <w:numId w:val="4"/>
        </w:numPr>
        <w:rPr/>
      </w:pPr>
      <w:r>
        <w:rPr/>
        <w:t>2. Para cada limiar, calcula custo total esperado = 5.000 × N_FN + 500 × N_FP.</w:t>
      </w:r>
    </w:p>
    <w:p>
      <w:pPr>
        <w:pStyle w:val="ListNumber"/>
        <w:numPr>
          <w:ilvl w:val="0"/>
          <w:numId w:val="4"/>
        </w:numPr>
        <w:rPr/>
      </w:pPr>
      <w:r>
        <w:rPr/>
        <w:t>3. Seleciona o limiar com MENOR custo esperado no OOF treino. Chamamos esse limiar de ponto de corte ótimo orientado a negócio.</w:t>
      </w:r>
    </w:p>
    <w:tbl>
      <w:tblPr>
        <w:tblStyle w:val="LightGrid-Accent1"/>
        <w:tblW w:w="951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586"/>
        <w:gridCol w:w="1585"/>
        <w:gridCol w:w="1587"/>
        <w:gridCol w:w="1586"/>
        <w:gridCol w:w="1585"/>
        <w:gridCol w:w="1587"/>
      </w:tblGrid>
      <w:tr>
        <w:trPr/>
        <w:tc>
          <w:tcPr>
            <w:tcW w:w="1586" w:type="dxa"/>
            <w:tcBorders>
              <w:bottom w:val="single" w:sz="18" w:space="0" w:color="4F81BD"/>
            </w:tcBorders>
            <w:shd w:color="auto" w:fill="1F3A5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color w:val="FFFFFF"/>
                <w:kern w:val="0"/>
                <w:szCs w:val="22"/>
                <w:lang w:val="en-US" w:eastAsia="en-US" w:bidi="ar-SA"/>
              </w:rPr>
              <w:t>Modelo</w:t>
            </w:r>
          </w:p>
        </w:tc>
        <w:tc>
          <w:tcPr>
            <w:tcW w:w="1585" w:type="dxa"/>
            <w:tcBorders>
              <w:bottom w:val="single" w:sz="18" w:space="0" w:color="4F81BD"/>
            </w:tcBorders>
            <w:shd w:color="auto" w:fill="1F3A5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color w:val="FFFFFF"/>
                <w:kern w:val="0"/>
                <w:szCs w:val="22"/>
                <w:lang w:val="en-US" w:eastAsia="en-US" w:bidi="ar-SA"/>
              </w:rPr>
              <w:t>Limiar ótimo (OOF treino)</w:t>
            </w:r>
          </w:p>
        </w:tc>
        <w:tc>
          <w:tcPr>
            <w:tcW w:w="1587" w:type="dxa"/>
            <w:tcBorders>
              <w:bottom w:val="single" w:sz="18" w:space="0" w:color="4F81BD"/>
            </w:tcBorders>
            <w:shd w:color="auto" w:fill="1F3A5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color w:val="FFFFFF"/>
                <w:kern w:val="0"/>
                <w:szCs w:val="22"/>
                <w:lang w:val="en-US" w:eastAsia="en-US" w:bidi="ar-SA"/>
              </w:rPr>
              <w:t>Custo OOF treino (R$ milhões)</w:t>
            </w:r>
          </w:p>
        </w:tc>
        <w:tc>
          <w:tcPr>
            <w:tcW w:w="1586" w:type="dxa"/>
            <w:tcBorders>
              <w:bottom w:val="single" w:sz="18" w:space="0" w:color="4F81BD"/>
            </w:tcBorders>
            <w:shd w:color="auto" w:fill="1F3A5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color w:val="FFFFFF"/>
                <w:kern w:val="0"/>
                <w:szCs w:val="22"/>
                <w:lang w:val="en-US" w:eastAsia="en-US" w:bidi="ar-SA"/>
              </w:rPr>
              <w:t>Economia vs. “aprovar todos” (treino)</w:t>
            </w:r>
          </w:p>
        </w:tc>
        <w:tc>
          <w:tcPr>
            <w:tcW w:w="1585" w:type="dxa"/>
            <w:tcBorders>
              <w:bottom w:val="single" w:sz="18" w:space="0" w:color="4F81BD"/>
            </w:tcBorders>
            <w:shd w:color="auto" w:fill="1F3A5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color w:val="FFFFFF"/>
                <w:kern w:val="0"/>
                <w:szCs w:val="22"/>
                <w:lang w:val="en-US" w:eastAsia="en-US" w:bidi="ar-SA"/>
              </w:rPr>
              <w:t>Custo HOLDOUT cego (R$ milhões)</w:t>
            </w:r>
          </w:p>
        </w:tc>
        <w:tc>
          <w:tcPr>
            <w:tcW w:w="1587" w:type="dxa"/>
            <w:tcBorders>
              <w:bottom w:val="single" w:sz="18" w:space="0" w:color="4F81BD"/>
            </w:tcBorders>
            <w:shd w:color="auto" w:fill="1F3A5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color w:val="FFFFFF"/>
                <w:kern w:val="0"/>
                <w:szCs w:val="22"/>
                <w:lang w:val="en-US" w:eastAsia="en-US" w:bidi="ar-SA"/>
              </w:rPr>
              <w:t>Economia HOLDOUT</w:t>
            </w:r>
          </w:p>
        </w:tc>
      </w:tr>
      <w:tr>
        <w:trPr/>
        <w:tc>
          <w:tcPr>
            <w:tcW w:w="1586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Árvore de Decisão (d=7)</w:t>
            </w:r>
          </w:p>
        </w:tc>
        <w:tc>
          <w:tcPr>
            <w:tcW w:w="158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0,08</w:t>
            </w:r>
          </w:p>
        </w:tc>
        <w:tc>
          <w:tcPr>
            <w:tcW w:w="1587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R$ 19,78M</w:t>
            </w:r>
          </w:p>
        </w:tc>
        <w:tc>
          <w:tcPr>
            <w:tcW w:w="1586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47,28%</w:t>
            </w:r>
          </w:p>
        </w:tc>
        <w:tc>
          <w:tcPr>
            <w:tcW w:w="158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—</w:t>
            </w:r>
          </w:p>
        </w:tc>
        <w:tc>
          <w:tcPr>
            <w:tcW w:w="1587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47,59%</w:t>
            </w:r>
          </w:p>
        </w:tc>
      </w:tr>
      <w:tr>
        <w:trPr/>
        <w:tc>
          <w:tcPr>
            <w:tcW w:w="15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XGBoost Campeão</w:t>
            </w:r>
          </w:p>
        </w:tc>
        <w:tc>
          <w:tcPr>
            <w:tcW w:w="15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0,56</w:t>
            </w:r>
          </w:p>
        </w:tc>
        <w:tc>
          <w:tcPr>
            <w:tcW w:w="15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R$ 18,80M</w:t>
            </w:r>
          </w:p>
        </w:tc>
        <w:tc>
          <w:tcPr>
            <w:tcW w:w="15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50,01%</w:t>
            </w:r>
          </w:p>
        </w:tc>
        <w:tc>
          <w:tcPr>
            <w:tcW w:w="15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R$ 18,798M</w:t>
            </w:r>
          </w:p>
        </w:tc>
        <w:tc>
          <w:tcPr>
            <w:tcW w:w="15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50,65%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Conclusão executiva: ponto de corte ideal para a Aurora = **0,56 no XGBoost Campeão**. Nesse limiar, HOLDOUT: P(inadimplência) ≥ 56% → negar crédito; &lt;56% → aprovar. Não se decide por “máxima acurácia” (errado), decide-se por **máxima economia de custo real**.</w:t>
      </w:r>
    </w:p>
    <w:p>
      <w:pPr>
        <w:pStyle w:val="Heading1"/>
        <w:rPr/>
      </w:pPr>
      <w:r>
        <w:rPr/>
        <w:t>4. Como explicar a decisão do modelo para áreas de negócio e clientes sem reduzir excessivamente a complexidade do problema?</w:t>
      </w:r>
    </w:p>
    <w:p>
      <w:pPr>
        <w:pStyle w:val="Normal"/>
        <w:rPr/>
      </w:pPr>
      <w:r>
        <w:rPr/>
        <w:t>Solução do projeto: três camadas de comunicação, alinhadas com LGPD (art. 7º, direito de explicação), BCB Circular 4.015/20 e exigências de compliance:</w:t>
      </w:r>
    </w:p>
    <w:p>
      <w:pPr>
        <w:pStyle w:val="Normal"/>
        <w:rPr/>
      </w:pPr>
      <w:r>
        <w:rPr>
          <w:b/>
        </w:rPr>
        <w:t>Camada 1 — Executiva (1 slide, 10 s, para áreas de negócio / diretoria)</w:t>
      </w:r>
    </w:p>
    <w:p>
      <w:pPr>
        <w:pStyle w:val="Normal"/>
        <w:rPr/>
      </w:pPr>
      <w:r>
        <w:rPr/>
        <w:t>Card de decisão com 3 métricas: (a) % de inadimplência estimada; (b) Decisão “APROVAR” / “RECUSAR” com o limiar 56% em destaque; (c) Card de economia esperada vs. “aprovar todos” (50,65% no holdout). Impresso como cabeçalho do app Streamlit e de qualquer relatório de tomada de decisão.</w:t>
      </w:r>
    </w:p>
    <w:p>
      <w:pPr>
        <w:pStyle w:val="Normal"/>
        <w:rPr/>
      </w:pPr>
      <w:r>
        <w:rPr>
          <w:b/>
        </w:rPr>
        <w:t>Camada 2 — Analista de crédito / Compliance (5 motivos, visual TABELA + GRÁFICO)</w:t>
      </w:r>
    </w:p>
    <w:p>
      <w:pPr>
        <w:pStyle w:val="Normal"/>
        <w:rPr/>
      </w:pPr>
      <w:r>
        <w:rPr/>
        <w:t>TOP 5 SHAP LOCAL por cliente, entregue em duas formas simultâneas no app: (a) Tabela com Feature, Valor do Cliente, Contribuição SHAP (verde para redutores de risco, vermelho para amplificadores) e texto “aumenta risco ↑ calote / diminui risco ↓ calote”; (b) Gráfico horizontal TOP 10 de barras com linha tracejada de base zero, cores vermelho/verde e tooltip interativo com o valor exato da feature na linha. Tudo calculado &lt;10 ms por cliente via TreeExplainer exato do XGBoost.</w:t>
      </w:r>
    </w:p>
    <w:p>
      <w:pPr>
        <w:pStyle w:val="Normal"/>
        <w:rPr/>
      </w:pPr>
      <w:r>
        <w:rPr>
          <w:b/>
        </w:rPr>
        <w:t>Camada 3 — Cliente final / Ouvidoria (linguagem natural, sem jargões, 2 frases)</w:t>
      </w:r>
    </w:p>
    <w:p>
      <w:pPr>
        <w:pStyle w:val="Normal"/>
        <w:rPr/>
      </w:pPr>
      <w:r>
        <w:rPr/>
        <w:t>Template padrão, baseado nos Top 3 SHAP de cada cliente: “Seu crédito foi RECUSADO/APROVADO com base em três fatores principais: (1) Utilização do seu limite de cartão de [X%] comparado a perfis aprovados; (2) Histórico de [N] atrasos de 30 a 59 dias nos últimos 2 anos; (3) Perfil de idade de [Y] anos em conjunto com razão dívida/renda de [Z%]. Detalhes documentados e sob consulta na ouvidoria, conforme Art. 7º da LGPD.”.</w:t>
      </w:r>
    </w:p>
    <w:p>
      <w:pPr>
        <w:pStyle w:val="Normal"/>
        <w:rPr/>
      </w:pPr>
      <w:r>
        <w:rPr>
          <w:b/>
        </w:rPr>
        <w:t>Garantia metodológica anti-black-box</w:t>
      </w:r>
    </w:p>
    <w:p>
      <w:pPr>
        <w:pStyle w:val="Normal"/>
        <w:rPr/>
      </w:pPr>
      <w:r>
        <w:rPr/>
        <w:t>Nenhuma explicação usa “feature importance global” para explicar um cliente individual — sempre SHAP LOCAL. Sanity check obrigatório exibido no app: “Consistência SHAP (expected + Σ shap) vs. logit(p)” deve ficar abaixo de 1e-4. Se falhar, exibe “Investigar” e bloqueia a emissão da justificativa automática — evita explicações inventadas.</w:t>
      </w:r>
    </w:p>
    <w:p>
      <w:pPr>
        <w:pStyle w:val="Heading1"/>
        <w:rPr/>
      </w:pPr>
      <w:r>
        <w:rPr/>
        <w:t>5. Quais riscos éticos, regulatórios ou reputacionais podem surgir ao utilizar idade, renda, dependentes e histórico de atraso em uma política automatizada de crédito?</w:t>
      </w:r>
    </w:p>
    <w:p>
      <w:pPr>
        <w:pStyle w:val="Normal"/>
        <w:rPr/>
      </w:pPr>
      <w:r>
        <w:rPr/>
        <w:t>Classificação em três pilares, com mitigações adotadas no projeto:</w:t>
      </w:r>
    </w:p>
    <w:p>
      <w:pPr>
        <w:pStyle w:val="Heading2"/>
        <w:rPr/>
      </w:pPr>
      <w:r>
        <w:rPr/>
        <w:t>5.1 Riscos éticos — Discriminação indireta e viés (Fair Lending)</w:t>
      </w:r>
    </w:p>
    <w:p>
      <w:pPr>
        <w:pStyle w:val="ListBullet"/>
        <w:numPr>
          <w:ilvl w:val="0"/>
          <w:numId w:val="1"/>
        </w:numPr>
        <w:rPr/>
      </w:pPr>
      <w:r>
        <w:rPr/>
        <w:t>Idade como fator de risco: no SHAP global idade é o 4º maior impacto (0,232). Sem governança, o modelo pode penalizar sistematicamente jovens (18–30 anos) e super-beneficiar idosos — configurando age discrimination e risco ético.</w:t>
      </w:r>
    </w:p>
    <w:p>
      <w:pPr>
        <w:pStyle w:val="ListBullet"/>
        <w:numPr>
          <w:ilvl w:val="0"/>
          <w:numId w:val="1"/>
        </w:numPr>
        <w:rPr/>
      </w:pPr>
      <w:r>
        <w:rPr/>
        <w:t>Renda_mensal + n_dependentes correlação com raça/gênero/região. No Brasil a Proteção de Dados Pessoais (LGPD) e a Circular BCB 4.015 proíbem uso de proxies de classe e origem. A ausência de sinalização de missing poderia atuar como proxy de “baixa escolaridade”; mitigamos com flag explícita.</w:t>
      </w:r>
    </w:p>
    <w:p>
      <w:pPr>
        <w:pStyle w:val="ListBullet"/>
        <w:numPr>
          <w:ilvl w:val="0"/>
          <w:numId w:val="1"/>
        </w:numPr>
        <w:rPr/>
      </w:pPr>
      <w:r>
        <w:rPr/>
        <w:t>Histórico de atraso vs. “cod_sistema_atrasos 96/98”: se 264+5 linhas recebiam tratamento de vencedor sem flag, o modelo penalizaria sistematicamente quem tem erro de sistema (viés de medição) — tratamento: flag binária dedicada.</w:t>
      </w:r>
    </w:p>
    <w:p>
      <w:pPr>
        <w:pStyle w:val="Heading2"/>
        <w:rPr/>
      </w:pPr>
      <w:r>
        <w:rPr/>
        <w:t>5.2 Riscos regulatórios — LGPD, BCB, Bacen e Auto-Regulação Febraban</w:t>
      </w:r>
    </w:p>
    <w:p>
      <w:pPr>
        <w:pStyle w:val="ListBullet"/>
        <w:numPr>
          <w:ilvl w:val="0"/>
          <w:numId w:val="1"/>
        </w:numPr>
        <w:rPr/>
      </w:pPr>
      <w:r>
        <w:rPr/>
        <w:t>LGPD Art. 7º (direito a explicação individual) e Art. 20 (título de crédito) exigem que o titular SAIBO “por que” o crédito foi negado em linguagem acessível — o que obriga ter SHAP/Waterfall e não só score black box.</w:t>
      </w:r>
    </w:p>
    <w:p>
      <w:pPr>
        <w:pStyle w:val="ListBullet"/>
        <w:numPr>
          <w:ilvl w:val="0"/>
          <w:numId w:val="1"/>
        </w:numPr>
        <w:rPr/>
      </w:pPr>
      <w:r>
        <w:rPr/>
        <w:t>BCB Circular 4.015/2020 e Resolução CMN 4.852/2020 (governança de modelos de crédito): exigem documentar metodologia, validação, monitoramento de desempenho e reexame anual. Violações = multa até 2% do faturamento bruto anual da instituição.</w:t>
      </w:r>
    </w:p>
    <w:p>
      <w:pPr>
        <w:pStyle w:val="ListBullet"/>
        <w:numPr>
          <w:ilvl w:val="0"/>
          <w:numId w:val="1"/>
        </w:numPr>
        <w:rPr/>
      </w:pPr>
      <w:r>
        <w:rPr/>
        <w:t>Regulamentação de uso de IA no Brasil (PL 2.338/2023) e na UE (AI Act, 2024): classificam sistemas de crédito automatizado como “alto risco”, exigindo registro de decisões, trilha de auditoria completa e intervenção humana possível em qualquer ponto. Devemos arquivar por cliente: 10 inputs brutos, probabilidade, limiar, decisão, top 5 SHAP e data/hora.</w:t>
      </w:r>
    </w:p>
    <w:p>
      <w:pPr>
        <w:pStyle w:val="Heading2"/>
        <w:rPr/>
      </w:pPr>
      <w:r>
        <w:rPr/>
        <w:t>5.3 Riscos reputacionais — Erros visíveis e opacidade</w:t>
      </w:r>
    </w:p>
    <w:p>
      <w:pPr>
        <w:pStyle w:val="ListBullet"/>
        <w:numPr>
          <w:ilvl w:val="0"/>
          <w:numId w:val="1"/>
        </w:numPr>
        <w:rPr/>
      </w:pPr>
      <w:r>
        <w:rPr/>
        <w:t>Rejeição arbitrária percebida: se um bom cliente com score de 55,9% é negado por “1 décimo abaixo do limiar 0,56” sem explicação, vira caso de Reclame Aqui / notícia negativa. Mitigação: exibir o limiar explicitamente no app e oferecer “análise manual complementar” para a banda 0,50 → 0,62 (borderline).</w:t>
      </w:r>
    </w:p>
    <w:p>
      <w:pPr>
        <w:pStyle w:val="ListBullet"/>
        <w:numPr>
          <w:ilvl w:val="0"/>
          <w:numId w:val="1"/>
        </w:numPr>
        <w:rPr/>
      </w:pPr>
      <w:r>
        <w:rPr/>
        <w:t>Data drift / concept drift: se a taxa de juros sobe 500 bps ou inflação afeta renda real, o modelo treinado em Janeiro fica descalibrado em Agosto; inadimplência real cresce e a Aurora perde reputação de “risco conservador” por aprovar gente que caloteou. Mitigação: monitoramento mensal obrigatório de PSI population stability index por feature e CSI characteristic stability index de score.</w:t>
      </w:r>
    </w:p>
    <w:p>
      <w:pPr>
        <w:pStyle w:val="ListBullet"/>
        <w:numPr>
          <w:ilvl w:val="0"/>
          <w:numId w:val="1"/>
        </w:numPr>
        <w:rPr/>
      </w:pPr>
      <w:r>
        <w:rPr/>
        <w:t>Uso indevido por analistas (gaming): sem governança, analista de crédito pode forçar inputs manualmente para “passar” o cliente (minimizar uso_limite → aprovar e depois o cliente usa 120% do limite). Risco reputacional e de perda financeira. Mitigação: import automático de inputs via API do cadastro, e histórico de alterações manuais no formulário do app.</w:t>
      </w:r>
    </w:p>
    <w:p>
      <w:pPr>
        <w:pStyle w:val="Heading2"/>
        <w:rPr/>
      </w:pPr>
      <w:r>
        <w:rPr/>
        <w:t>Conclusão do item 5 (governança recomendada à Aurora)</w:t>
      </w:r>
    </w:p>
    <w:p>
      <w:pPr>
        <w:pStyle w:val="Normal"/>
        <w:rPr/>
      </w:pPr>
      <w:r>
        <w:rPr/>
        <w:t>As quatro variáveis devem continuar no modelo (elas carregam poder preditivo real, e excluí-las degradaria ROC AUC abaixo de 0,85), mas sob uma estrutura de três controles: (a) Fairness report mensal por faixas etárias, decil de renda e UF; (b) Trilha de auditoria por decisão (inputs brutos + preparados + p + limiar + decisão + top 5 SHAP + usuário); e (c) Override humano obrigatório para clientes na faixa borderline 0,50 a 0,62. Com essas três camadas a política automatizada fica ética, regulatória e de baixa reputação de risco.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  <w:t xml:space="preserve">— </w:t>
      </w:r>
      <w:r>
        <w:rPr/>
        <w:t>Fim das respostas do case Aurora Consumer Credit Risk. —</w:t>
      </w:r>
    </w:p>
    <w:p>
      <w:pPr>
        <w:pStyle w:val="Normal"/>
        <w:widowControl/>
        <w:bidi w:val="0"/>
        <w:spacing w:lineRule="auto" w:line="276" w:before="0" w:after="200"/>
        <w:jc w:val="start"/>
        <w:rPr>
          <w:i/>
          <w:color w:val="555555"/>
          <w:sz w:val="18"/>
        </w:rPr>
      </w:pPr>
      <w:r>
        <w:rPr/>
      </w:r>
    </w:p>
    <w:sectPr>
      <w:type w:val="nextPage"/>
      <w:pgSz w:w="12240" w:h="15840"/>
      <w:pgMar w:left="1361" w:right="1361" w:gutter="0" w:header="0" w:top="1247" w:footer="0" w:bottom="124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libri" w:hAnsi="Calibri" w:eastAsia="ＭＳ 明朝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LibreOffice/26.2.5.2$Windows_X86_64 LibreOffice_project/cd7284b4cbbfeb507e630c1aac019f4157393acb</Application>
  <AppVersion>15.0000</AppVersion>
  <Pages>2</Pages>
  <Words>1716</Words>
  <Characters>9430</Characters>
  <CharactersWithSpaces>11012</CharactersWithSpaces>
  <Paragraphs>139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pt-BR</dc:language>
  <cp:lastModifiedBy/>
  <dcterms:modified xsi:type="dcterms:W3CDTF">2026-09-03T16:41:25Z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