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Estratégico: Análise e Predição de Lifetime Value (LTV)</w:t>
      </w:r>
    </w:p>
    <w:p>
      <w:r>
        <w:t>Este documento apresenta os principais insights derivados do projeto de Ciência de Dados para estimativa de LTV, utilizando o modelo final de Regressão Linear validado com R² de 0,8477.</w:t>
      </w:r>
    </w:p>
    <w:p>
      <w:pPr>
        <w:pStyle w:val="Heading1"/>
      </w:pPr>
      <w:r>
        <w:t>1. Comportamento do LTV por Produto de Entrada</w:t>
      </w:r>
    </w:p>
    <w:p>
      <w:r>
        <w:t>O produto pelo qual o cliente inicia sua jornada é um dos indicadores mais fortes do seu valor futuro. A análise dos dados revela uma hierarquia clara de valor:</w:t>
      </w:r>
    </w:p>
    <w:p>
      <w:pPr>
        <w:pStyle w:val="ListBullet"/>
      </w:pPr>
      <w:r>
        <w:t>Segmento Premium (High-End): O produto Vitalício apresenta o maior LTV médio da base (R$ 4.980,48), seguido pelo curso de Ciência de Dados (R$ 2.735,36). Clientes que entram por esses produtos demonstram uma propensão significativamente maior de investimento na plataforma.</w:t>
      </w:r>
    </w:p>
    <w:p>
      <w:pPr>
        <w:pStyle w:val="ListBullet"/>
      </w:pPr>
      <w:r>
        <w:t>Segmento de Volume: Power BI e Python são os pilares de receita, com LTVs médios entre R$ 2.100 e R$ 2.380. Embora o valor individual seja menor que o premium, a base combinada ultrapassa 18 mil clientes.</w:t>
      </w:r>
    </w:p>
    <w:p>
      <w:pPr>
        <w:pStyle w:val="ListBullet"/>
      </w:pPr>
      <w:r>
        <w:t>Segmento de Entrada: O produto Comunidade registra o menor valor médio (R$ 1.778,27).</w:t>
      </w:r>
    </w:p>
    <w:p>
      <w:r>
        <w:t>Confiabilidade Estatística: As diferenças observadas são altamente confiáveis. O volume de dados para produtos como Power BI (6.961 clientes) e Python (11.444 clientes) garante que as médias não sejam fruto do acaso. Para garantir a precisão das previsões, produtos com amostras muito pequenas (abaixo de 400 clientes) foram agrupados em uma categoria "Outros" no modelo.</w:t>
      </w:r>
    </w:p>
    <w:p>
      <w:pPr>
        <w:pStyle w:val="Heading1"/>
      </w:pPr>
      <w:r>
        <w:t>2. Estratégia de Vendas e Qualidade da Aquisição</w:t>
      </w:r>
    </w:p>
    <w:p>
      <w:r>
        <w:t>Nem todas as estratégias de vendas atraem clientes com o mesmo perfil de valor. A origem do cliente impacta diretamente o retorno sobre o investimento:</w:t>
      </w:r>
    </w:p>
    <w:p>
      <w:pPr>
        <w:pStyle w:val="ListBullet"/>
      </w:pPr>
      <w:r>
        <w:t>Melhores Canais: As estratégias de Comercial e Lista de Espera lideram em qualidade, trazendo clientes com LTV médio acima de R$ 2.350. O canal de Lançamento é o mais eficiente em escala, mantendo um LTV saudável de R$ 2.188 para um volume massivo de quase 30 mil clientes.</w:t>
      </w:r>
    </w:p>
    <w:p>
      <w:pPr>
        <w:pStyle w:val="ListBullet"/>
      </w:pPr>
      <w:r>
        <w:t>Ponto de Atenção: O canal Checkout (compra direta sem funil) apresenta o menor desempenho (R$ 1.134,92), sugerindo que clientes que não passam por um processo de nutrição ou webinar tendem a ter uma vida útil menor ou menor gasto acumulado.</w:t>
      </w:r>
    </w:p>
    <w:p>
      <w:r>
        <w:t>Variáveis de Confusão: É importante notar que o Valor da 1ª Compra é o principal fator que pode mascarar esses resultados. Um canal pode parecer ruim apenas por vender um produto mais barato. O modelo desenvolvido isola esse efeito (ceteris paribus), confirmando que a estratégia de venda em si é um preditor real de valor, independentemente do preço inicial pago.</w:t>
      </w:r>
    </w:p>
    <w:p>
      <w:pPr>
        <w:pStyle w:val="Heading1"/>
      </w:pPr>
      <w:r>
        <w:t>3. Impacto da Recorrência na Primeira Compra</w:t>
      </w:r>
    </w:p>
    <w:p>
      <w:r>
        <w:t>A análise revelou um comportamento que exige interpretação cuidadosa: clientes com recorrência na primeira compra apresentam, no modelo atual, um LTV previsto ligeiramente menor (coeficiente de -368,66) do que clientes de compra única, quando comparados sob as mesmas condições.</w:t>
      </w:r>
    </w:p>
    <w:p>
      <w:pPr>
        <w:pStyle w:val="ListBullet"/>
      </w:pPr>
      <w:r>
        <w:t>Fatores de Interpretação:</w:t>
      </w:r>
    </w:p>
    <w:p>
      <w:pPr>
        <w:pStyle w:val="ListBullet"/>
      </w:pPr>
      <w:r>
        <w:t>Ticket Inicial: Compras únicas (não recorrentes) costumam envolver produtos de maior valor imediato (ex: Vitalício), o que eleva o LTV instantaneamente.</w:t>
      </w:r>
    </w:p>
    <w:p>
      <w:pPr>
        <w:pStyle w:val="ListBullet"/>
      </w:pPr>
      <w:r>
        <w:t>Janela de Observação: Como a base de dados compreende o período de Jan/2023 a Mai/2024, clientes recorrentes podem ainda não ter tido tempo suficiente para superar, em pagamentos mensais, o valor total de uma compra única de alto ticket.</w:t>
      </w:r>
    </w:p>
    <w:p>
      <w:pPr>
        <w:pStyle w:val="ListBullet"/>
      </w:pPr>
      <w:r>
        <w:t>Definição de LTV: O modelo está capturando o valor acumulado até o momento. Isso indica que a estratégia de retenção para converter o cliente recorrente em um usuário de longo prazo (acima de 18 meses) é crítica para que este perfil supere o comprador de ticket único.</w:t>
      </w:r>
    </w:p>
    <w:p>
      <w:pPr>
        <w:pStyle w:val="Heading1"/>
      </w:pPr>
      <w:r>
        <w:t>4. Otimização de Investimentos em Mídia e Segmentação</w:t>
      </w:r>
    </w:p>
    <w:p>
      <w:r>
        <w:t>A capacidade preditiva do modelo permite uma transição da gestão de marketing baseada em "Custo por Aquisição" (CPA) para uma gestão baseada em "Retorno sobre LTV":</w:t>
      </w:r>
    </w:p>
    <w:p>
      <w:pPr>
        <w:pStyle w:val="ListBullet"/>
      </w:pPr>
      <w:r>
        <w:t>Lances Diferenciados: O time de mídia pode agora aceitar um CAC (Custo de Aquisição) muito maior para um lead com perfil de "Vitalício + Lista de Espera" do que para um perfil de "Comunidade + Checkout".</w:t>
      </w:r>
    </w:p>
    <w:p>
      <w:pPr>
        <w:pStyle w:val="ListBullet"/>
      </w:pPr>
      <w:r>
        <w:t>Cálculo do CAC Máximo: Utilizando a Calculadora de LTV entregue, definimos que o CAC Máximo Recomendado = LTV Previsto / 3 (considerando um benchmark de mercado saudável). Se o sistema prevê um LTV de R$ 3.000, o limite de investimento para aquele cliente é R$ 1.000.</w:t>
      </w:r>
    </w:p>
    <w:p>
      <w:pPr>
        <w:pStyle w:val="ListBullet"/>
      </w:pPr>
      <w:r>
        <w:t>Maximização de Lucro: Ao segmentar os investimentos nos perfis onde o LTV é comprovadamente maior, a empresa para de investir em volume ineficiente e passa a focar na aquisição de clientes que geram margem real no longo prazo.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