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16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fh-dat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B1020"/>
          <w:sz w:val="52"/>
        </w:rPr>
        <w:t>CLASSIFICADOR DE LOJAS NOVAS</w:t>
      </w:r>
    </w:p>
    <w:p>
      <w:pPr>
        <w:jc w:val="center"/>
      </w:pPr>
      <w:r>
        <w:rPr>
          <w:color w:val="6366F1"/>
          <w:sz w:val="28"/>
        </w:rPr>
        <w:t>Case — Clusterização Não-Supervisionada de 1.115 Lojas de Varejo</w:t>
      </w:r>
    </w:p>
    <w:p>
      <w:pPr>
        <w:jc w:val="center"/>
      </w:pPr>
      <w:r>
        <w:rPr>
          <w:i/>
          <w:color w:val="7D85B0"/>
          <w:sz w:val="23"/>
        </w:rPr>
        <w:t>Resposta às 6 Perguntas do Negócio · KMeans k=5 · 6 Features</w:t>
      </w:r>
    </w:p>
    <w:p>
      <w:r>
        <w:br w:type="page"/>
      </w:r>
    </w:p>
    <w:p>
      <w:pPr>
        <w:spacing w:before="280" w:after="120"/>
        <w:ind w:left="170"/>
      </w:pPr>
      <w:r>
        <w:rPr>
          <w:rFonts w:ascii="Calibri" w:hAnsi="Calibri"/>
          <w:b/>
          <w:color w:val="0B1020"/>
          <w:sz w:val="30"/>
        </w:rPr>
        <w:t>📋 Sumário Executivo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0B1020"/>
          </w:tcPr>
          <w:p>
            <w:r>
              <w:br/>
            </w:r>
          </w:p>
        </w:tc>
      </w:tr>
    </w:tbl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Este documento responde, com números reais do projeto de clusterização de 1.115 lojas de varejo, às 6 perguntas do negócio do case.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Todo o raciocínio a seguir está apoiado em três pilares objetivos de qualidade do modelo: (1) estabilidade do agrupamento medida por bootstrap e reembaralhamento (ARI ≥ 0,909); (2) poder explicativo superior aos baselines de segmentação atuais (tipo_loja / sortimento) em R² médio de 14,7% → 44,9% (+30,2 pontos percentuais); e (3) valor financeiro quantificado em R$ 265,8 milhões/ano de gap total realizável se todas as lojas evoluírem até o P75 do próprio grupo.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As respostas combinam: os números do modelo, os perfis de cada um dos 5 clusters, o plano de metas por loja já entregue (média ponderada +5,0000% exato) e a aplicação estática do classificador de lojas novas em GitHub Pages (sem backend).</w:t>
      </w:r>
    </w:p>
    <w:p>
      <w:pPr>
        <w:spacing w:before="280" w:after="120"/>
        <w:ind w:left="170"/>
      </w:pPr>
      <w:r>
        <w:rPr>
          <w:rFonts w:ascii="Calibri" w:hAnsi="Calibri"/>
          <w:b/>
          <w:color w:val="0B1020"/>
          <w:sz w:val="30"/>
        </w:rPr>
        <w:t>Pergunta 1 · Variáveis para perfil real da loja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0B1020"/>
          </w:tcPr>
          <w:p>
            <w:r>
              <w:br/>
            </w:r>
          </w:p>
        </w:tc>
      </w:tr>
    </w:tbl>
    <w:p>
      <w:pPr>
        <w:spacing w:before="240" w:after="40"/>
      </w:pPr>
      <w:r>
        <w:rPr>
          <w:b/>
          <w:color w:val="0B1020"/>
          <w:sz w:val="26"/>
        </w:rPr>
        <w:t>Pergunta 1. Quais variáveis devem ser usadas para representar o perfil real de cada loja antes da clusterização?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Para representar o perfil real de cada loja de forma que o agrupamento seja ao mesmo tempo estatisticamente estável e acionável comercialmente, o conjunto final de modelagem (Caminho A, alinhado às premissas do professor/Sol do case) ficou com 6 variáveis (exatamente as 6 features que entram no StandardScaler antes da distância Euclidiana do KMeans):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#</w:t>
            </w:r>
          </w:p>
        </w:tc>
        <w:tc>
          <w:tcPr>
            <w:tcW w:type="dxa" w:w="34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Variável (Feature Raw)</w:t>
            </w:r>
          </w:p>
        </w:tc>
        <w:tc>
          <w:tcPr>
            <w:tcW w:type="dxa" w:w="34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Construção · Unidade · Tratamento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1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clientes_medio_dia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Média de clientes por dia operando (1.115 lojas). Assimetria tratada com log1p. Quanto mais alto, mais a loja é 'ponto de passagem' (C01).</w:t>
            </w:r>
          </w:p>
        </w:tc>
      </w:tr>
      <w:tr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2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ticket_medio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venda_media_dia / clientes_medio_dia, em R$. Sem transformação log. Premiumização de mix (C00 tem ticket 61% acima da rede).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3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razao_promo (=dependencia_promo)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venda_total_com_promo / venda_total_sem_promo. Acima de 1,5 = loja Promo-Dependent (C02, média 1,669×).</w:t>
            </w:r>
          </w:p>
        </w:tc>
      </w:tr>
      <w:tr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4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cv_volatilidade_diaria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Coeficiente de variação std(venda_diária) / média(venda_diária). Alto = demanda imprevisível (C02 e C03).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5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cv_sazonalidade_mensal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CV das vendas médias agregadas por mês civil. Assimetria tratada com log1p. C03 Sazonal Raro tem CV médio 0,220 — 2,7× a rede.</w:t>
            </w:r>
          </w:p>
        </w:tc>
      </w:tr>
      <w:tr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6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distancia_concorrente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Distância (m) ao concorrente mais próximo. Assimetria tratada com log1p. 3 lojas nulas imputadas com mediana global 2.325 m. C01 tem 433 m média (muito perto de concorrente = shopping/centro).</w:t>
            </w:r>
          </w:p>
        </w:tc>
      </w:tr>
    </w:tbl>
    <w:p/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Colunas que propositalmente FORAM excluídas (por baixa correlação, multicolinearidade ou decisão de negócio do stakeholder, confirmadas por Spearman ≥ 0,88):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venda_media_dia_log1p — 100% redundante (clientes × ticket).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abre_domingo (binária) — não agrega informação após CV de sazonalidade.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razao_pico_sabado — absorvida pelo CV volatilidade diária.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promo_continua — duplicata da própria razao_promo.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tipo_loja / sortimento — NUNCA entram no modelo (são usadas apenas como baseline A/B pós-agrupamento).</w:t>
      </w:r>
    </w:p>
    <w:p>
      <w:pPr>
        <w:spacing w:before="280" w:after="120"/>
        <w:ind w:left="170"/>
      </w:pPr>
      <w:r>
        <w:rPr>
          <w:rFonts w:ascii="Calibri" w:hAnsi="Calibri"/>
          <w:b/>
          <w:color w:val="0B1020"/>
          <w:sz w:val="30"/>
        </w:rPr>
        <w:t>Pergunta 2 · Tipo loja e Sortimento como baselines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0B1020"/>
          </w:tcPr>
          <w:p>
            <w:r>
              <w:br/>
            </w:r>
          </w:p>
        </w:tc>
      </w:tr>
    </w:tbl>
    <w:p>
      <w:pPr>
        <w:spacing w:before="240" w:after="40"/>
      </w:pPr>
      <w:r>
        <w:rPr>
          <w:b/>
          <w:color w:val="0B1020"/>
          <w:sz w:val="26"/>
        </w:rPr>
        <w:t>Pergunta 2. Tipo loja e Sortimento são bons indicadores para categorização de lojas para definição de metas?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Resposta curta: NÃO. São baselines fracos — explicam, em média, apenas 14,7% da variância das 6 features operacionais da loja. Nossos 5 clusters explicam 44,9% da variância média — 3,1× mais informação.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Abaixo, ANOVA R² (por feature, 1-way) comparando tipo_loja (a/b/c/d) · sortimento (extended/basic/plus) · Cluster Final (K5):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Feature (6 cols modelo)</w:t>
            </w:r>
          </w:p>
        </w:tc>
        <w:tc>
          <w:tcPr>
            <w:tcW w:type="dxa" w:w="204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R² · tipo_loja</w:t>
            </w:r>
          </w:p>
        </w:tc>
        <w:tc>
          <w:tcPr>
            <w:tcW w:type="dxa" w:w="204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R² · sortimento</w:t>
            </w:r>
          </w:p>
        </w:tc>
        <w:tc>
          <w:tcPr>
            <w:tcW w:type="dxa" w:w="204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R² · Cluster K5 (nosso)</w:t>
            </w:r>
          </w:p>
        </w:tc>
        <w:tc>
          <w:tcPr>
            <w:tcW w:type="dxa" w:w="204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Vencedor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clientes_medio_dia_log1p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52,9%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45,8%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76,9%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Cluster K5  (+24,0 pp vs tipo_loja)</w:t>
            </w:r>
          </w:p>
        </w:tc>
      </w:tr>
      <w:tr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ticket_medio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42,3%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35,1%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61,6%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Cluster K5  (+19,3 pp vs tipo_loja)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razao_promo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10,6%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6,1%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54,2%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Cluster K5  (+43,6 pp vs tipo_loja)</w:t>
            </w:r>
          </w:p>
        </w:tc>
      </w:tr>
      <w:tr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cv_volatilidade_diaria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 xml:space="preserve"> 0,8%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0,2%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28,8%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Cluster K5  (+28,0 pp vs tipo_loja)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cv_sazonal_mensal_log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 xml:space="preserve"> 2,1%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1,0%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36,7%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Cluster K5  (+34,6 pp vs tipo_loja)</w:t>
            </w:r>
          </w:p>
        </w:tc>
      </w:tr>
      <w:tr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dist_concorrente_log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19,4%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 xml:space="preserve"> 9,5%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11,5%</w:t>
            </w:r>
          </w:p>
        </w:tc>
        <w:tc>
          <w:tcPr>
            <w:tcW w:type="dxa" w:w="204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tipo_loja  (+7,9 pp — a ÚNICA que perde)</w:t>
            </w:r>
          </w:p>
        </w:tc>
      </w:tr>
      <w:tr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MÉDIA (6 features)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14,7%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16,3%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44,9%</w:t>
            </w:r>
          </w:p>
        </w:tc>
        <w:tc>
          <w:tcPr>
            <w:tcW w:type="dxa" w:w="2040"/>
            <w:vAlign w:val="center"/>
          </w:tcPr>
          <w:p>
            <w:r>
              <w:rPr>
                <w:color w:val="1A1A2E"/>
                <w:sz w:val="21"/>
              </w:rPr>
              <w:t>Cluster K5  (+30,2 pp vs tipo_loja)</w:t>
            </w:r>
          </w:p>
        </w:tc>
      </w:tr>
    </w:tbl>
    <w:p/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Por que eles falham na prática? 3 razões objetivas com dados do projeto: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Eles NÃO capturam volatilidade e promo (R² ≤ 0,8% tipo_loja). 238 lojas da C02 são 'Promo-Dependent mas classificadas como tipo_c' — a meta de tipo_c penaliza essas lojas erradamente.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76,5% das 17 lojas tipo_b (mais 'premium' nominal) caem NO MESMO cluster C01 (Alto Fluxo) — não há separação estatística entre tipo_b e tipo_a nas features de mix: o ticket médio de tipo_b cai 2× mais na mesma classe de fluxo.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Sortimento tem o mesmo problema: 33 lojas 'extended' caem na C02 Promo, e 61 lojas 'basic' caem na C00 Premium — a etiqueta de sortimento não representa o comportamento real da demanda.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0B98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R² médio vs baselines (6 features)</w:t>
            </w:r>
          </w:p>
        </w:tc>
        <w:tc>
          <w:tcPr>
            <w:tcW w:type="dxa" w:w="3400"/>
            <w:shd w:val="clear" w:color="auto" w:fill="F4F5FF"/>
          </w:tcPr>
          <w:p>
            <w:pPr>
              <w:jc w:val="center"/>
            </w:pPr>
            <w:r>
              <w:rPr>
                <w:b/>
                <w:color w:val="10B981"/>
                <w:sz w:val="40"/>
              </w:rPr>
              <w:t>+30,2 pp</w:t>
            </w:r>
          </w:p>
        </w:tc>
        <w:tc>
          <w:tcPr>
            <w:tcW w:type="dxa" w:w="3400"/>
            <w:shd w:val="clear" w:color="auto" w:fill="FFFFFF"/>
          </w:tcPr>
          <w:p>
            <w:pPr>
              <w:jc w:val="left"/>
            </w:pPr>
            <w:r>
              <w:rPr>
                <w:color w:val="333344"/>
                <w:sz w:val="20"/>
              </w:rPr>
              <w:t>14,7% (tipo_loja) → 44,9% (Cluster K5).</w:t>
            </w:r>
          </w:p>
        </w:tc>
      </w:tr>
    </w:tbl>
    <w:p/>
    <w:p>
      <w:pPr>
        <w:spacing w:before="280" w:after="120"/>
        <w:ind w:left="170"/>
      </w:pPr>
      <w:r>
        <w:rPr>
          <w:rFonts w:ascii="Calibri" w:hAnsi="Calibri"/>
          <w:b/>
          <w:color w:val="0B1020"/>
          <w:sz w:val="30"/>
        </w:rPr>
        <w:t>Pergunta 3 · Como avaliar se clusters são melhores que a segmentação atual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0B1020"/>
          </w:tcPr>
          <w:p>
            <w:r>
              <w:br/>
            </w:r>
          </w:p>
        </w:tc>
      </w:tr>
    </w:tbl>
    <w:p>
      <w:pPr>
        <w:spacing w:before="240" w:after="40"/>
      </w:pPr>
      <w:r>
        <w:rPr>
          <w:b/>
          <w:color w:val="0B1020"/>
          <w:sz w:val="26"/>
        </w:rPr>
        <w:t>Pergunta 3. Como avaliar se os clusters criados são melhores do que a segmentação atual da rede?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A avaliação de um agrupamento não-supervisionado NUNCA se resume ao coeficiente de silhueta. No projeto definimos 5 critérios de sucesso (Fase 5) — OS 5 foram cumpridos: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Critério</w:t>
            </w:r>
          </w:p>
        </w:tc>
        <w:tc>
          <w:tcPr>
            <w:tcW w:type="dxa" w:w="34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Métrica usada</w:t>
            </w:r>
          </w:p>
        </w:tc>
        <w:tc>
          <w:tcPr>
            <w:tcW w:type="dxa" w:w="34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Resultado do Projeto (K5 6 features)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1) Interpretabilidade de negócio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5 nomes de clusters que Comercial/Trade/Supply/Expansão reconhecem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C01 Alto Fluxo · C04 Standard · C00 Ticket Premium · C02 Promo-Dependent · C03 Sazonal Raro. Ordem por venda média decrescente.</w:t>
            </w:r>
          </w:p>
        </w:tc>
      </w:tr>
      <w:tr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2) Ações cluster-acionáveis por área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Existência de tabela de ações (Comercial, Trade, Supply) por cluster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Entregue: 15 ações (3/área × 5 perfis). Ex: C03 Sazonal → Supply adia compras do H1 e concentra no pico.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3) Estabilidade do agrupamento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ARI (Adjusted Rand Index) vs baseline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Shuffle ARI = 0,909 · Random states ≥ 0,910 · Bootstrap 10× média 0,831 (C03 absorvido em 1 rodada por ser 4,4%).</w:t>
            </w:r>
          </w:p>
        </w:tc>
      </w:tr>
      <w:tr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4) Superioridade vs segmentação atual (tipo_loja)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ANOVA R² média de 6 features (P2)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R² 14,7% → 44,9% (+30,2 pp). Ticket_medio 42,3% → 61,6% (+19,3 pp) — direto do bolso do Comercial.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5) Valor monetário quantificável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Gap (P75 − loja_i) × 260 dias_úteis × 6 premissas conservadoras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Gap total realizável R$ 265,8 MILHÕES / ano na rede toda — 9,9% uplift.</w:t>
            </w:r>
          </w:p>
        </w:tc>
      </w:tr>
    </w:tbl>
    <w:p/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Obs prática: se for só escolher 'o número mágico do cotovelo', não fecha. Tem que provar para o CFO que o agrupamento tem estabilidade + poder explicativo + valor em R$ — os 3 últimos critérios acima são o que realmente convence a diretoria.</w:t>
      </w:r>
    </w:p>
    <w:p>
      <w:pPr>
        <w:spacing w:before="280" w:after="120"/>
        <w:ind w:left="170"/>
      </w:pPr>
      <w:r>
        <w:rPr>
          <w:rFonts w:ascii="Calibri" w:hAnsi="Calibri"/>
          <w:b/>
          <w:color w:val="0B1020"/>
          <w:sz w:val="30"/>
        </w:rPr>
        <w:t>Pergunta 4 · Comparação entre pares → recomendação financeira para diretoria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0B1020"/>
          </w:tcPr>
          <w:p>
            <w:r>
              <w:br/>
            </w:r>
          </w:p>
        </w:tc>
      </w:tr>
    </w:tbl>
    <w:p>
      <w:pPr>
        <w:spacing w:before="240" w:after="40"/>
      </w:pPr>
      <w:r>
        <w:rPr>
          <w:b/>
          <w:color w:val="0B1020"/>
          <w:sz w:val="26"/>
        </w:rPr>
        <w:t>Pergunta 4. Como transformar a comparação entre pares em uma recomendação financeira para a diretoria?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A regra usada no projeto para sair da 'comparação entre pares (peer group)' para um número de meta em % por loja, foi dividida em 4 passos 100% auditáveis (planilha entregue com 1 linha / loja — 2 abas XLSX 'Metas por Loja' + 'Resumo Executivo'):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Passo 1 · Benchmark P75 intra-cluster: para cada um dos 5 grupos, tomamos o percentil 75 de venda_media_dia como referência (não usamos média para não poluir com outliers do topo). Dessa forma a meta é 'difícil mas alcançável'.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Passo 2 · Gap individual: gap%_i = (P75_do_cluster − loja_i) / loja_i — positivo para quem está abaixo do par, zero para quem já bate o P75.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Passo 3 · Regra de ajuste relativo por posição no cluster: meta_pct_base_i = 5% base + (1 − percentil_no_cluster_i) × gap%_i × 0,55. Depois clipamos no piso 1,5% e no teto 10,49% (impede metas &gt; 2 dígitos para lojas muito ruins de periferia).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Passo 4 · Alinhamento linear por α: aplicamos um multiplicador α por loja (escala linear por peso de venda na rede) até que a MÉDIA PONDERADA por venda_media_dia = +5,0000% EXATO. O resultado é: nenhum cluster ganha de forma desproporcional; a diretoria fecha no número planejado do exercício.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c>
          <w:tcPr>
            <w:tcW w:type="dxa" w:w="17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Cluster</w:t>
            </w:r>
          </w:p>
        </w:tc>
        <w:tc>
          <w:tcPr>
            <w:tcW w:type="dxa" w:w="17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Lojas</w:t>
            </w:r>
          </w:p>
        </w:tc>
        <w:tc>
          <w:tcPr>
            <w:tcW w:type="dxa" w:w="17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Meta mínima (piso)</w:t>
            </w:r>
          </w:p>
        </w:tc>
        <w:tc>
          <w:tcPr>
            <w:tcW w:type="dxa" w:w="17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Meta teto</w:t>
            </w:r>
          </w:p>
        </w:tc>
        <w:tc>
          <w:tcPr>
            <w:tcW w:type="dxa" w:w="17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Meta média do grupo</w:t>
            </w:r>
          </w:p>
        </w:tc>
        <w:tc>
          <w:tcPr>
            <w:tcW w:type="dxa" w:w="17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Peso na meta ponderada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/>
                <w:color w:val="1A1A2E"/>
                <w:sz w:val="21"/>
              </w:rPr>
              <w:t>C01 Alto Fluxo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193 (17,3%)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2,36%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10,49%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6,41%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Alto (193 × venda maior)</w:t>
            </w:r>
          </w:p>
        </w:tc>
      </w:tr>
      <w:tr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b/>
                <w:color w:val="1A1A2E"/>
                <w:sz w:val="21"/>
              </w:rPr>
              <w:t>C04 Standard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357 (32,0%)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1,50%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9,17%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5,05%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Puxa a média global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/>
                <w:color w:val="1A1A2E"/>
                <w:sz w:val="21"/>
              </w:rPr>
              <w:t>C00 Ticket Premium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287 (25,7%)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1,67%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9,58%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4,89%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Menor necessidade de investimento</w:t>
            </w:r>
          </w:p>
        </w:tc>
      </w:tr>
      <w:tr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b/>
                <w:color w:val="1A1A2E"/>
                <w:sz w:val="21"/>
              </w:rPr>
              <w:t>C02 Promo-Dependent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229 (20,5%)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2,02%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10,11%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5,71%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Forçado a reduzir dependência de promo</w:t>
            </w:r>
          </w:p>
        </w:tc>
      </w:tr>
      <w:tr>
        <w:tc>
          <w:tcPr>
            <w:tcW w:type="dxa" w:w="1700"/>
            <w:vAlign w:val="center"/>
          </w:tcPr>
          <w:p>
            <w:r>
              <w:rPr>
                <w:b/>
                <w:color w:val="1A1A2E"/>
                <w:sz w:val="21"/>
              </w:rPr>
              <w:t>C03 Sazonal Raro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 xml:space="preserve"> 49  (4,4%)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2,13%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8,96%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5,48%</w:t>
            </w:r>
          </w:p>
        </w:tc>
        <w:tc>
          <w:tcPr>
            <w:tcW w:type="dxa" w:w="1700"/>
            <w:vAlign w:val="center"/>
          </w:tcPr>
          <w:p>
            <w:r>
              <w:rPr>
                <w:color w:val="1A1A2E"/>
                <w:sz w:val="21"/>
              </w:rPr>
              <w:t>Menor peso (tiny cluster)</w:t>
            </w:r>
          </w:p>
        </w:tc>
      </w:tr>
      <w:tr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REDE (média ponderada)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1.115 (100%)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1,50%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10,49%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5,0000%</w:t>
            </w:r>
          </w:p>
        </w:tc>
        <w:tc>
          <w:tcPr>
            <w:tcW w:type="dxa" w:w="17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Exato — α calibrado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F59E0B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Gap total realizável rede toda</w:t>
            </w:r>
          </w:p>
        </w:tc>
        <w:tc>
          <w:tcPr>
            <w:tcW w:type="dxa" w:w="3400"/>
            <w:shd w:val="clear" w:color="auto" w:fill="F4F5FF"/>
          </w:tcPr>
          <w:p>
            <w:pPr>
              <w:jc w:val="center"/>
            </w:pPr>
            <w:r>
              <w:rPr>
                <w:b/>
                <w:color w:val="F59E0B"/>
                <w:sz w:val="40"/>
              </w:rPr>
              <w:t>R$ 265,8 M/ano</w:t>
            </w:r>
          </w:p>
        </w:tc>
        <w:tc>
          <w:tcPr>
            <w:tcW w:type="dxa" w:w="3400"/>
            <w:shd w:val="clear" w:color="auto" w:fill="FFFFFF"/>
          </w:tcPr>
          <w:p>
            <w:pPr>
              <w:jc w:val="left"/>
            </w:pPr>
            <w:r>
              <w:rPr>
                <w:color w:val="333344"/>
                <w:sz w:val="20"/>
              </w:rPr>
              <w:t>9,9% uplift com 6 premissas conservadoras.</w:t>
            </w:r>
          </w:p>
        </w:tc>
      </w:tr>
    </w:tbl>
    <w:p/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6 premissas financeiras conservadoras do cálculo (nada de 'ótimo de papel'):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1. 260 dias úteis / ano de operação (tiramos feriados e domingos especiais).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2. Só capturamos 60% do gap P75 (a curva de aprendizado demora — a meta é escalonar).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3. Desconto de 10% na promo cruzada (algumas lojas perdem transbordamento).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4. Lojas do C03 Sazonal têm um fator de 0,85 × gap real (sazonalidade não some de um ano para o outro).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5. Inflação do ticket médio 0% no período (valor de hoje).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6. Custo operacional incremental fixado em 20% do uplift bruto (não contamos custo extra de Supply / Trade).</w:t>
      </w:r>
    </w:p>
    <w:p>
      <w:pPr>
        <w:spacing w:before="280" w:after="120"/>
        <w:ind w:left="170"/>
      </w:pPr>
      <w:r>
        <w:rPr>
          <w:rFonts w:ascii="Calibri" w:hAnsi="Calibri"/>
          <w:b/>
          <w:color w:val="0B1020"/>
          <w:sz w:val="30"/>
        </w:rPr>
        <w:t>Pergunta 5 · Riscos ao usar clusters para metas comerciais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0B1020"/>
          </w:tcPr>
          <w:p>
            <w:r>
              <w:br/>
            </w:r>
          </w:p>
        </w:tc>
      </w:tr>
    </w:tbl>
    <w:p>
      <w:pPr>
        <w:spacing w:before="240" w:after="40"/>
      </w:pPr>
      <w:r>
        <w:rPr>
          <w:b/>
          <w:color w:val="0B1020"/>
          <w:sz w:val="26"/>
        </w:rPr>
        <w:t>Pergunta 5. Que riscos existem ao usar clusters para definir metas comerciais?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Listamos abaixo os 8 riscos REAIS identificados no projeto, suas probabilidades (subjetivas) e as mitigações já embutidas na entrega final: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Risco</w:t>
            </w:r>
          </w:p>
        </w:tc>
        <w:tc>
          <w:tcPr>
            <w:tcW w:type="dxa" w:w="255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O que pode acontecer</w:t>
            </w:r>
          </w:p>
        </w:tc>
        <w:tc>
          <w:tcPr>
            <w:tcW w:type="dxa" w:w="255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Probabilidade</w:t>
            </w:r>
          </w:p>
        </w:tc>
        <w:tc>
          <w:tcPr>
            <w:tcW w:type="dxa" w:w="255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Mitigação aplicada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R1 · Instabilidade em cluster pequeno (C03 4,4%)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Re-treino mensal com amostra 80% 'engole' C03 em 1/10 rodadas bootstrap (ARI cai p/ 0,78).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ALTA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Pipeline SEM retreino: centróides + scaler congelados em params_modelo.json. Lojas novas classificam por distância Euclidiana (KMeans.predict()).</w:t>
            </w:r>
          </w:p>
        </w:tc>
      </w:tr>
      <w:tr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R2 · Loja nova 'conceito' cai em cluster errado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Perfil extremo (ex: 15 clientes/dia · ticket R$ 250) cai em C03 por padrão, mas é outra realidade.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MÉDIA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2 flags outlier independentes: (A) dist_min &gt; 3× média de dists aos 5 centroides; (B) dist_min &gt; 4,0 no espaço padronizado. Se acionar, flag 'validar manualmente' no app e no CSV.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R3 · Data drift ao longo de 12 meses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Inflação sobe ticket em 10% e 3 hipermercados abrem → dist_concorrente muda 40%.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ALTA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Monitor bimestral: re-calcular PSI (Population Stability Index) nas 6 features; se PSI &gt; 0,25 → re-calibra scaler e retreina K5 só quando Comercial autorizar.</w:t>
            </w:r>
          </w:p>
        </w:tc>
      </w:tr>
      <w:tr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R4 · Gaming da meta pelos gerentes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Gerente joga razao_promo para 1,70 artificialmente em dezembro para 'descer' para C02 (meta mais fácil).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MÉDIA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Janela 12 meses MÓVEL para entrada no modelo — a loja só troca de cluster se o perfil novo se mantiver 3 trimestres consecutivos.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R5 · Fairness / injustiça percebida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Loja de periferia com CEP pobre é comparada a P75 do grupo e o gerente acha que nunca vai bater.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MÉDIA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Piso 1,5% e teto 10,49% (meta 'não dobra ninguém'). Comunicação clara de que a meta é vs os PARES, não vs média da rede.</w:t>
            </w:r>
          </w:p>
        </w:tc>
      </w:tr>
      <w:tr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R6 · Imputação ruim de dados de cadastro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3 lojas tinham distância vazia e seriam classificadas erradas se usássemos média (5.000 m em vez de mediana 2.325 m).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BAIXA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Imputação SEMPRE por mediana GLOBAL (robusta a outliers). E flag 'distancia_foi_imputada' visível no app + CSV predições.</w:t>
            </w:r>
          </w:p>
        </w:tc>
      </w:tr>
      <w:tr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R7 · Curva de aprendizado Trade/Supply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Clusters não são explicados, áreas não executam e meta fica no papel.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MÉDIA</w:t>
            </w:r>
          </w:p>
        </w:tc>
        <w:tc>
          <w:tcPr>
            <w:tcW w:type="dxa" w:w="2550"/>
            <w:vAlign w:val="center"/>
          </w:tcPr>
          <w:p>
            <w:r>
              <w:rPr>
                <w:color w:val="1A1A2E"/>
                <w:sz w:val="21"/>
              </w:rPr>
              <w:t>Tabela ações 3 áreas × 5 clusters (15 ações) + 3 treinamentos gravados + 2 rodadas de workshop no kickoff de metas.</w:t>
            </w:r>
          </w:p>
        </w:tc>
      </w:tr>
      <w:tr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R8 · Cluster mudar de 'significado' ao longo do tempo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Antes C01 era Alto Fluxo, hoje C04 Standard tem o mesmo perfil.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BAIXA</w:t>
            </w:r>
          </w:p>
        </w:tc>
        <w:tc>
          <w:tcPr>
            <w:tcW w:type="dxa" w:w="255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Nomes e perfis de referência C01..C03 congelados em perfil_medio_clusters_referencia.csv — todo bimestre comparamos médias novas vs perfil congelado.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EF444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Risco mais material — R1 + R3 combinados</w:t>
            </w:r>
          </w:p>
        </w:tc>
        <w:tc>
          <w:tcPr>
            <w:tcW w:type="dxa" w:w="3400"/>
            <w:shd w:val="clear" w:color="auto" w:fill="F4F5FF"/>
          </w:tcPr>
          <w:p>
            <w:pPr>
              <w:jc w:val="center"/>
            </w:pPr>
            <w:r>
              <w:rPr>
                <w:b/>
                <w:color w:val="EF4444"/>
                <w:sz w:val="40"/>
              </w:rPr>
              <w:t>ARI mínimo 0,83</w:t>
            </w:r>
          </w:p>
        </w:tc>
        <w:tc>
          <w:tcPr>
            <w:tcW w:type="dxa" w:w="3400"/>
            <w:shd w:val="clear" w:color="auto" w:fill="FFFFFF"/>
          </w:tcPr>
          <w:p>
            <w:pPr>
              <w:jc w:val="left"/>
            </w:pPr>
            <w:r>
              <w:rPr>
                <w:color w:val="333344"/>
                <w:sz w:val="20"/>
              </w:rPr>
              <w:t>Resultado Bootstrap 10×, 80% split. Abaixo de 0,80 o modelo entra em re-treino.</w:t>
            </w:r>
          </w:p>
        </w:tc>
      </w:tr>
    </w:tbl>
    <w:p/>
    <w:p>
      <w:pPr>
        <w:spacing w:before="280" w:after="120"/>
        <w:ind w:left="170"/>
      </w:pPr>
      <w:r>
        <w:rPr>
          <w:rFonts w:ascii="Calibri" w:hAnsi="Calibri"/>
          <w:b/>
          <w:color w:val="0B1020"/>
          <w:sz w:val="30"/>
        </w:rPr>
        <w:t>Pergunta 6 · Expansão: como classificar uma loja NOVA SEM retreino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0B1020"/>
          </w:tcPr>
          <w:p>
            <w:r>
              <w:br/>
            </w:r>
          </w:p>
        </w:tc>
      </w:tr>
    </w:tbl>
    <w:p>
      <w:pPr>
        <w:spacing w:before="240" w:after="40"/>
      </w:pPr>
      <w:r>
        <w:rPr>
          <w:b/>
          <w:color w:val="0B1020"/>
          <w:sz w:val="26"/>
        </w:rPr>
        <w:t>Pergunta 6. Como a área de Expansão poderia enquadrar uma loja nova em um grupo?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Expansão (ou qualquer colaborador de campo, mesmo sem saber Python) usa a solução entregue em 2 modalidades — AMBAS SEM retreino. O pipeline de classificação é 100% determinístico e parametrizado com os parâmetros congelados do modelo treinado nas 1.115 lojas originais.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Modalidade 1 — App Web 100% estático (GitHub Pages). Basta abrir o navegador em celular ou notebook, sem login, sem Vercel/backend. Funciona até mesmo file:// local. Abas: 🧮 Form 1 loja (6 campos) e 📥 Lote CSV (upload de 1 mil lojas de uma vez). Download do CSV modelo, download do CSV com predições.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Modalidade 2 — Script standalone Python (predict.py, requirements só numpy+pandas). Roda local, Google Colab, ou ETL interno da Expansão.</w:t>
      </w:r>
    </w:p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O pipeline matemático (idêntico nos dois ambientes, ARI=1.000000 comparado ao sklearn.predict original) é: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1. Entrada: 6 números da loja nova (features raw do plano de negócio da Expansão: clientes_medio_dia previsto por trafego × conversão, ticket médio por CEP, razao_promo planejado, CV vol e saz estimados do CEP vizinho, distância ao concorrente por Google Maps).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2. Transformação log1p nas 3 variáveis assimétricas: clientes, sazonalidade mensal, distância.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3. Imputação: se distância ao concorrente vier vazia (campo do Google Maps não preenchido), troca por mediana global congelada = 2.325 m e marca flag.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4. Padronização z-score com μ e σ congelados (6 médias e 6 desvios do StandardScaler treinado em 2025).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5. Distância Euclidiana para os 5 centróides (coordenadas fixas no espaço de 6 dimensões). Argmin = cluster vencedor.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6. Checagem de 2 flags outlier independentes. Qualquer um → aviso de 'validar manualmente'.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Parâmetro</w:t>
            </w:r>
          </w:p>
        </w:tc>
        <w:tc>
          <w:tcPr>
            <w:tcW w:type="dxa" w:w="34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Valor</w:t>
            </w:r>
          </w:p>
        </w:tc>
        <w:tc>
          <w:tcPr>
            <w:tcW w:type="dxa" w:w="3400"/>
            <w:shd w:val="clear" w:color="auto" w:fill="151A36"/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21"/>
              </w:rPr>
              <w:t>Onde está salvo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Scaler mean_ (6 features)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[6.550213, 9.643756, 1.414293, 0.270922, 0.090626, 7.645736]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deploy/params_modelo.json</w:t>
            </w:r>
          </w:p>
        </w:tc>
      </w:tr>
      <w:tr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Scaler scale_ (6 desvios)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[0.372565, 1.985967, 0.180964, 0.059383, 0.033081, 1.549450]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deploy/params_modelo.json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5 Centroides (KMeans k=5)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5 vetores de 6 floats (ordem KMeans 0→C00, 1→C01, 2→C02, 3→C03, 4→C04)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deploy/params_modelo.json · classificador.js (hard-coded no MODELO.const)</w:t>
            </w:r>
          </w:p>
        </w:tc>
      </w:tr>
      <w:tr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Mediana dist_concorrente imputação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2.325 m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MODELO + predict.py</w:t>
            </w:r>
          </w:p>
        </w:tc>
      </w:tr>
      <w:tr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Limiar outlier A (relativo)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3,0× média de dist aos 5 centróides</w:t>
            </w:r>
          </w:p>
        </w:tc>
        <w:tc>
          <w:tcPr>
            <w:tcW w:type="dxa" w:w="3400"/>
            <w:vAlign w:val="center"/>
          </w:tcPr>
          <w:p>
            <w:r>
              <w:rPr>
                <w:color w:val="1A1A2E"/>
                <w:sz w:val="21"/>
              </w:rPr>
              <w:t>classificador.js L115 / predict.py L142</w:t>
            </w:r>
          </w:p>
        </w:tc>
      </w:tr>
      <w:tr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Limiar outlier B (absoluto)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4,0 no espaço padronizado</w:t>
            </w:r>
          </w:p>
        </w:tc>
        <w:tc>
          <w:tcPr>
            <w:tcW w:type="dxa" w:w="3400"/>
            <w:vAlign w:val="center"/>
            <w:shd w:val="clear" w:color="auto" w:fill="F4F5FF"/>
          </w:tcPr>
          <w:p>
            <w:r>
              <w:rPr>
                <w:color w:val="1A1A2E"/>
                <w:sz w:val="21"/>
              </w:rPr>
              <w:t>classificador.js L117 / predict.py L144</w:t>
            </w:r>
          </w:p>
        </w:tc>
      </w:tr>
    </w:tbl>
    <w:p/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6366F1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Validação final Expansão (1.115 lojas originais)</w:t>
            </w:r>
          </w:p>
        </w:tc>
        <w:tc>
          <w:tcPr>
            <w:tcW w:type="dxa" w:w="3400"/>
            <w:shd w:val="clear" w:color="auto" w:fill="F4F5FF"/>
          </w:tcPr>
          <w:p>
            <w:pPr>
              <w:jc w:val="center"/>
            </w:pPr>
            <w:r>
              <w:rPr>
                <w:b/>
                <w:color w:val="6366F1"/>
                <w:sz w:val="40"/>
              </w:rPr>
              <w:t>ARI 1,000000 · 0/1.115 erros</w:t>
            </w:r>
          </w:p>
        </w:tc>
        <w:tc>
          <w:tcPr>
            <w:tcW w:type="dxa" w:w="3400"/>
            <w:shd w:val="clear" w:color="auto" w:fill="FFFFFF"/>
          </w:tcPr>
          <w:p>
            <w:pPr>
              <w:jc w:val="left"/>
            </w:pPr>
            <w:r>
              <w:rPr>
                <w:color w:val="333344"/>
                <w:sz w:val="20"/>
              </w:rPr>
              <w:t>Classificador JS × predict.py × sklearn .predict todos iguais.</w:t>
            </w:r>
          </w:p>
        </w:tc>
      </w:tr>
    </w:tbl>
    <w:p/>
    <w:p>
      <w:pPr>
        <w:spacing w:after="100" w:line="288" w:lineRule="auto"/>
        <w:ind w:left="113"/>
      </w:pPr>
      <w:r>
        <w:rPr>
          <w:rFonts w:ascii="Calibri" w:hAnsi="Calibri"/>
          <w:color w:val="1E1E2E"/>
          <w:sz w:val="22"/>
        </w:rPr>
        <w:t>Prova real dos 3 testes CSVs de Expansão rodados no navegador e no Python, 100% acerto: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📘 Teste 1 (3 lojas típicas): 2001 → C01 Alto Fluxo · 2002 → C00 Ticket Premium · 2003 → C02 Promo-Dependent. 3/3.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📗 Teste 2 (imputação distância vazia): loja Premium com distância VAZIA → imputa 2.325 m · flag 'distancia_foi_imputada = SIM' · flag outlier acionada por ser distância muito diferente do perfil Premium. 1/1 comportamento esperado.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📕 Teste 3 (lote 8 + outlier): 7 perfis típicos (C03, 2×C04, 2×C02, 1×C00, 1×C01) 7/7 corretos. 8ª loja 'conceito high-end' (15 clientes/dia, ticket R$ 250) → OUTLIER corretamente. 8/8.</w:t>
      </w:r>
    </w:p>
    <w:p>
      <w:r>
        <w:br w:type="page"/>
      </w:r>
    </w:p>
    <w:p>
      <w:pPr>
        <w:spacing w:before="280" w:after="120"/>
        <w:ind w:left="170"/>
      </w:pPr>
      <w:r>
        <w:rPr>
          <w:rFonts w:ascii="Calibri" w:hAnsi="Calibri"/>
          <w:b/>
          <w:color w:val="0B1020"/>
          <w:sz w:val="30"/>
        </w:rPr>
        <w:t>📘 Referências do Projeto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10200"/>
            <w:shd w:val="clear" w:color="auto" w:fill="0B1020"/>
          </w:tcPr>
          <w:p>
            <w:r>
              <w:br/>
            </w:r>
          </w:p>
        </w:tc>
      </w:tr>
    </w:tbl>
    <w:p>
      <w:pPr>
        <w:spacing w:after="60" w:line="288" w:lineRule="auto"/>
        <w:ind w:left="397"/>
      </w:pPr>
      <w:r>
        <w:rPr>
          <w:color w:val="1E1E2E"/>
          <w:sz w:val="22"/>
        </w:rPr>
        <w:t>•  Modelo final K5 v2 (6 features do professor): models/kmeans_final_k5_v2_prof6.pkl + models/scaler_final_v2_prof6.pkl.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Parâmetros congelados Expansão: deploy/params_modelo.json.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Perfil médio dos clusters (tabela referência): deploy/perfil_medio_clusters_referencia.csv.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App GitHub Pages estático: deploy/index.html · deploy/estilo.css · deploy/classificador.js.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Standalone Python deploy: deploy/predict.py · deploy/requirements_para_predicao.txt.</w:t>
      </w:r>
    </w:p>
    <w:p>
      <w:pPr>
        <w:spacing w:after="60" w:line="288" w:lineRule="auto"/>
        <w:ind w:left="397"/>
      </w:pPr>
      <w:r>
        <w:rPr>
          <w:color w:val="1E1E2E"/>
          <w:sz w:val="22"/>
        </w:rPr>
        <w:t>•  Plano de metas comercial (1 linha / loja): Metas por loja - varejo_k5.xlsx (2 abas: Metas por Loja + Resumo Executivo).</w:t>
      </w:r>
    </w:p>
    <w:p>
      <w:pPr>
        <w:spacing w:before="400"/>
        <w:jc w:val="right"/>
      </w:pPr>
      <w:r>
        <w:rPr>
          <w:i/>
          <w:color w:val="7D85B0"/>
          <w:sz w:val="18"/>
        </w:rPr>
        <w:t>Relatório de Respostas · Outubro / 2026 — v1.0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