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0E808C"/>
          <w:sz w:val="22"/>
        </w:rPr>
        <w:t>REDE BANDEIRANTE</w:t>
      </w:r>
    </w:p>
    <w:p>
      <w:pPr>
        <w:spacing w:after="0"/>
      </w:pPr>
      <w:r>
        <w:rPr>
          <w:rFonts w:ascii="Calibri" w:hAnsi="Calibri"/>
          <w:b/>
          <w:color w:val="0F3D5C"/>
          <w:sz w:val="52"/>
        </w:rPr>
        <w:t>Supply Chain Forecasting</w:t>
      </w:r>
    </w:p>
    <w:p>
      <w:pPr>
        <w:spacing w:after="40"/>
      </w:pPr>
      <w:r>
        <w:rPr>
          <w:rFonts w:ascii="Calibri" w:hAnsi="Calibri"/>
          <w:color w:val="505A66"/>
          <w:sz w:val="26"/>
        </w:rPr>
        <w:t>Perguntas para Discussão — Respostas</w:t>
      </w:r>
    </w:p>
    <w:p>
      <w:pPr>
        <w:spacing w:after="200"/>
        <w:pBdr>
          <w:bottom w:val="single" w:sz="6" w:space="3" w:color="D5DDE6"/>
        </w:pBdr>
      </w:pPr>
      <w:r>
        <w:rPr>
          <w:rFonts w:ascii="Calibri" w:hAnsi="Calibri"/>
          <w:color w:val="505A66"/>
          <w:sz w:val="18"/>
        </w:rPr>
        <w:t>Previsão de demanda e política de estoque no centro de distribuição  ·  Produto de referência: P0131  ·  Outubro de 2019</w:t>
      </w:r>
    </w:p>
    <w:p>
      <w:pPr>
        <w:spacing w:after="80" w:before="0" w:line="276" w:lineRule="auto"/>
      </w:pPr>
      <w:r>
        <w:rPr>
          <w:rFonts w:ascii="Calibri" w:hAnsi="Calibri"/>
          <w:b w:val="0"/>
          <w:sz w:val="21"/>
        </w:rPr>
        <w:t>Este documento responde, em linguagem acessível, às quatro perguntas de discussão do case. As respostas vêm das duas bases fornecidas pela empresa (demanda.csv e demanda_por_loja.csv) e do trabalho analítico conduzido em seis etapas. Sempre que possível, cada afirmação é acompanhada do número que a sustenta — para que a leitura dispense jargão técnico, mas não dispense evidência.</w:t>
      </w:r>
    </w:p>
    <w:p>
      <w:pPr>
        <w:spacing w:before="320" w:after="100"/>
        <w:pBdr>
          <w:bottom w:val="single" w:sz="10" w:space="3" w:color="0E808C"/>
        </w:pBdr>
      </w:pPr>
      <w:r>
        <w:rPr>
          <w:rFonts w:ascii="Calibri" w:hAnsi="Calibri"/>
          <w:b/>
          <w:color w:val="0E808C"/>
          <w:sz w:val="30"/>
        </w:rPr>
        <w:t xml:space="preserve">1.  </w:t>
      </w:r>
      <w:r>
        <w:rPr>
          <w:rFonts w:ascii="Calibri" w:hAnsi="Calibri"/>
          <w:b/>
          <w:color w:val="0F3D5C"/>
          <w:sz w:val="30"/>
        </w:rPr>
        <w:t>Escopo da previsão</w:t>
      </w:r>
    </w:p>
    <w:p>
      <w:pPr>
        <w:spacing w:after="160" w:line="264" w:lineRule="auto"/>
      </w:pPr>
      <w:r>
        <w:rPr>
          <w:rFonts w:ascii="Calibri" w:hAnsi="Calibri"/>
          <w:i/>
          <w:color w:val="505A66"/>
          <w:sz w:val="19"/>
        </w:rPr>
        <w:t>Quantos dias à frente a Bandeirante precisa prever, deduzindo a resposta dos dois parâmetros operacionais do Exhibit 1? E em que nível de agregação: por loja ou consolidada na rede? Compare as duas bases para sustentar a escolha e enuncie a regra geral que você levaria para outros projetos.</w:t>
      </w:r>
    </w:p>
    <w:tbl>
      <w:tblPr>
        <w:tblW w:type="auto" w:w="0"/>
        <w:tblLayout w:type="autofit"/>
        <w:tblLook w:firstColumn="1" w:firstRow="1" w:lastColumn="0" w:lastRow="0" w:noHBand="0" w:noVBand="1" w:val="04A0"/>
        <w:tblBorders>
          <w:top w:val="single" w:sz="8" w:space="0" w:color="0E808C"/>
          <w:left w:val="single" w:sz="8" w:space="0" w:color="0E808C"/>
          <w:bottom w:val="single" w:sz="8" w:space="0" w:color="0E808C"/>
          <w:right w:val="single" w:sz="8" w:space="0" w:color="0E808C"/>
          <w:insideH w:val="single" w:sz="8" w:space="0" w:color="0E808C"/>
          <w:insideV w:val="single" w:sz="8" w:space="0" w:color="0E808C"/>
        </w:tblBorders>
      </w:tblPr>
      <w:tblGrid>
        <w:gridCol w:w="9746"/>
      </w:tblGrid>
      <w:tr>
        <w:tc>
          <w:tcPr>
            <w:tcW w:type="dxa" w:w="9746"/>
            <w:shd w:val="clear" w:color="auto" w:fill="E8F3F5"/>
            <w:tcMar>
              <w:top w:w="90" w:type="dxa"/>
              <w:left w:w="140" w:type="dxa"/>
              <w:bottom w:w="90" w:type="dxa"/>
              <w:right w:w="140" w:type="dxa"/>
            </w:tcMar>
          </w:tcPr>
          <w:p>
            <w:pPr>
              <w:spacing w:after="0"/>
            </w:pPr>
            <w:r>
              <w:rPr>
                <w:rFonts w:ascii="Calibri" w:hAnsi="Calibri"/>
                <w:b/>
                <w:color w:val="0E808C"/>
                <w:sz w:val="20"/>
              </w:rPr>
              <w:t xml:space="preserve">Em uma frase:  </w:t>
            </w:r>
            <w:r>
              <w:rPr>
                <w:rFonts w:ascii="Calibri" w:hAnsi="Calibri"/>
                <w:b w:val="0"/>
                <w:sz w:val="20"/>
              </w:rPr>
              <w:t xml:space="preserve">Prever </w:t>
            </w:r>
            <w:r>
              <w:rPr>
                <w:rFonts w:ascii="Calibri" w:hAnsi="Calibri"/>
                <w:b/>
                <w:sz w:val="20"/>
              </w:rPr>
              <w:t>28 dias à frente</w:t>
            </w:r>
            <w:r>
              <w:rPr>
                <w:rFonts w:ascii="Calibri" w:hAnsi="Calibri"/>
                <w:b w:val="0"/>
                <w:sz w:val="20"/>
              </w:rPr>
              <w:t xml:space="preserve">, na base </w:t>
            </w:r>
            <w:r>
              <w:rPr>
                <w:rFonts w:ascii="Calibri" w:hAnsi="Calibri"/>
                <w:b/>
                <w:sz w:val="20"/>
              </w:rPr>
              <w:t>consolidada da rede</w:t>
            </w:r>
            <w:r>
              <w:rPr>
                <w:rFonts w:ascii="Calibri" w:hAnsi="Calibri"/>
                <w:b w:val="0"/>
                <w:sz w:val="20"/>
              </w:rPr>
              <w:t xml:space="preserve"> (produto × dia). Prever por loja multiplica o ruído sem melhorar a decisão — e a decisão de compra é tomada em um único ponto: o CD.</w:t>
            </w:r>
          </w:p>
        </w:tc>
      </w:tr>
    </w:tbl>
    <w:p>
      <w:pPr>
        <w:spacing w:after="80"/>
      </w:pPr>
    </w:p>
    <w:p>
      <w:pPr>
        <w:spacing w:before="200" w:after="80"/>
      </w:pPr>
      <w:r>
        <w:rPr>
          <w:rFonts w:ascii="Calibri" w:hAnsi="Calibri"/>
          <w:b/>
          <w:color w:val="0F3D5C"/>
          <w:sz w:val="23"/>
        </w:rPr>
        <w:t>1.1 — Quantos dias à frente prever</w:t>
      </w:r>
    </w:p>
    <w:p>
      <w:pPr>
        <w:spacing w:after="120" w:before="0" w:line="276" w:lineRule="auto"/>
      </w:pPr>
      <w:r>
        <w:rPr>
          <w:rFonts w:ascii="Calibri" w:hAnsi="Calibri"/>
          <w:b w:val="0"/>
          <w:sz w:val="21"/>
        </w:rPr>
        <w:t>O Exhibit 1 traz dois parâmetros contratuais que, somados, definem o horizonte de previsão:</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2948"/>
            <w:shd w:val="clear" w:color="auto" w:fill="0F3D5C"/>
            <w:tcMar>
              <w:top w:w="50" w:type="dxa"/>
              <w:left w:w="110" w:type="dxa"/>
              <w:bottom w:w="50" w:type="dxa"/>
              <w:right w:w="110" w:type="dxa"/>
            </w:tcMar>
          </w:tcPr>
          <w:p>
            <w:pPr>
              <w:spacing w:after="0"/>
            </w:pPr>
            <w:r>
              <w:rPr>
                <w:rFonts w:ascii="Calibri" w:hAnsi="Calibri"/>
                <w:b/>
                <w:color w:val="FFFFFF"/>
                <w:sz w:val="19"/>
              </w:rPr>
              <w:t>Parâmetro contratual</w:t>
            </w:r>
          </w:p>
        </w:tc>
        <w:tc>
          <w:tcPr>
            <w:tcW w:type="dxa" w:w="1474"/>
            <w:shd w:val="clear" w:color="auto" w:fill="0F3D5C"/>
            <w:tcMar>
              <w:top w:w="50" w:type="dxa"/>
              <w:left w:w="110" w:type="dxa"/>
              <w:bottom w:w="50" w:type="dxa"/>
              <w:right w:w="110" w:type="dxa"/>
            </w:tcMar>
          </w:tcPr>
          <w:p>
            <w:pPr>
              <w:spacing w:after="0"/>
            </w:pPr>
            <w:r>
              <w:rPr>
                <w:rFonts w:ascii="Calibri" w:hAnsi="Calibri"/>
                <w:b/>
                <w:color w:val="FFFFFF"/>
                <w:sz w:val="19"/>
              </w:rPr>
              <w:t>Valor</w:t>
            </w:r>
          </w:p>
        </w:tc>
        <w:tc>
          <w:tcPr>
            <w:tcW w:type="dxa" w:w="4535"/>
            <w:shd w:val="clear" w:color="auto" w:fill="0F3D5C"/>
            <w:tcMar>
              <w:top w:w="50" w:type="dxa"/>
              <w:left w:w="110" w:type="dxa"/>
              <w:bottom w:w="50" w:type="dxa"/>
              <w:right w:w="110" w:type="dxa"/>
            </w:tcMar>
          </w:tcPr>
          <w:p>
            <w:pPr>
              <w:spacing w:after="0"/>
            </w:pPr>
            <w:r>
              <w:rPr>
                <w:rFonts w:ascii="Calibri" w:hAnsi="Calibri"/>
                <w:b/>
                <w:color w:val="FFFFFF"/>
                <w:sz w:val="19"/>
              </w:rPr>
              <w:t>O que significa na prática</w:t>
            </w:r>
          </w:p>
        </w:tc>
      </w:tr>
      <w:tr>
        <w:tc>
          <w:tcPr>
            <w:tcW w:type="dxa" w:w="2948"/>
            <w:tcMar>
              <w:top w:w="45" w:type="dxa"/>
              <w:left w:w="110" w:type="dxa"/>
              <w:bottom w:w="45" w:type="dxa"/>
              <w:right w:w="110" w:type="dxa"/>
            </w:tcMar>
          </w:tcPr>
          <w:p>
            <w:pPr>
              <w:spacing w:after="0"/>
            </w:pPr>
            <w:r>
              <w:rPr>
                <w:rFonts w:ascii="Calibri" w:hAnsi="Calibri"/>
                <w:b w:val="0"/>
                <w:sz w:val="19"/>
              </w:rPr>
              <w:t>Lead time do fornecedor</w:t>
            </w:r>
          </w:p>
        </w:tc>
        <w:tc>
          <w:tcPr>
            <w:tcW w:type="dxa" w:w="1474"/>
            <w:tcMar>
              <w:top w:w="45" w:type="dxa"/>
              <w:left w:w="110" w:type="dxa"/>
              <w:bottom w:w="45" w:type="dxa"/>
              <w:right w:w="110" w:type="dxa"/>
            </w:tcMar>
          </w:tcPr>
          <w:p>
            <w:pPr>
              <w:spacing w:after="0"/>
            </w:pPr>
            <w:r>
              <w:rPr>
                <w:rFonts w:ascii="Calibri" w:hAnsi="Calibri"/>
                <w:b w:val="0"/>
                <w:sz w:val="19"/>
              </w:rPr>
              <w:t>14 dias</w:t>
            </w:r>
          </w:p>
        </w:tc>
        <w:tc>
          <w:tcPr>
            <w:tcW w:type="dxa" w:w="4535"/>
            <w:tcMar>
              <w:top w:w="45" w:type="dxa"/>
              <w:left w:w="110" w:type="dxa"/>
              <w:bottom w:w="45" w:type="dxa"/>
              <w:right w:w="110" w:type="dxa"/>
            </w:tcMar>
          </w:tcPr>
          <w:p>
            <w:pPr>
              <w:spacing w:after="0"/>
            </w:pPr>
            <w:r>
              <w:rPr>
                <w:rFonts w:ascii="Calibri" w:hAnsi="Calibri"/>
                <w:b w:val="0"/>
                <w:sz w:val="19"/>
              </w:rPr>
              <w:t>Tempo entre fazer o pedido e a mercadoria chegar na doca do CD.</w:t>
            </w:r>
          </w:p>
        </w:tc>
      </w:tr>
      <w:tr>
        <w:tc>
          <w:tcPr>
            <w:tcW w:type="dxa" w:w="2948"/>
            <w:tcMar>
              <w:top w:w="45" w:type="dxa"/>
              <w:left w:w="110" w:type="dxa"/>
              <w:bottom w:w="45" w:type="dxa"/>
              <w:right w:w="110" w:type="dxa"/>
            </w:tcMar>
            <w:shd w:val="clear" w:color="auto" w:fill="F2F6F9"/>
          </w:tcPr>
          <w:p>
            <w:pPr>
              <w:spacing w:after="0"/>
            </w:pPr>
            <w:r>
              <w:rPr>
                <w:rFonts w:ascii="Calibri" w:hAnsi="Calibri"/>
                <w:b w:val="0"/>
                <w:sz w:val="19"/>
              </w:rPr>
              <w:t>Ciclo de revisão do pedido</w:t>
            </w:r>
          </w:p>
        </w:tc>
        <w:tc>
          <w:tcPr>
            <w:tcW w:type="dxa" w:w="1474"/>
            <w:tcMar>
              <w:top w:w="45" w:type="dxa"/>
              <w:left w:w="110" w:type="dxa"/>
              <w:bottom w:w="45" w:type="dxa"/>
              <w:right w:w="110" w:type="dxa"/>
            </w:tcMar>
            <w:shd w:val="clear" w:color="auto" w:fill="F2F6F9"/>
          </w:tcPr>
          <w:p>
            <w:pPr>
              <w:spacing w:after="0"/>
            </w:pPr>
            <w:r>
              <w:rPr>
                <w:rFonts w:ascii="Calibri" w:hAnsi="Calibri"/>
                <w:b w:val="0"/>
                <w:sz w:val="19"/>
              </w:rPr>
              <w:t>14 dias</w:t>
            </w:r>
          </w:p>
        </w:tc>
        <w:tc>
          <w:tcPr>
            <w:tcW w:type="dxa" w:w="4535"/>
            <w:tcMar>
              <w:top w:w="45" w:type="dxa"/>
              <w:left w:w="110" w:type="dxa"/>
              <w:bottom w:w="45" w:type="dxa"/>
              <w:right w:w="110" w:type="dxa"/>
            </w:tcMar>
            <w:shd w:val="clear" w:color="auto" w:fill="F2F6F9"/>
          </w:tcPr>
          <w:p>
            <w:pPr>
              <w:spacing w:after="0"/>
            </w:pPr>
            <w:r>
              <w:rPr>
                <w:rFonts w:ascii="Calibri" w:hAnsi="Calibri"/>
                <w:b w:val="0"/>
                <w:sz w:val="19"/>
              </w:rPr>
              <w:t>Só é possível fazer um novo pedido ao mesmo fornecedor 14 dias depois.</w:t>
            </w:r>
          </w:p>
        </w:tc>
      </w:tr>
      <w:tr>
        <w:tc>
          <w:tcPr>
            <w:tcW w:type="dxa" w:w="2948"/>
            <w:tcMar>
              <w:top w:w="45" w:type="dxa"/>
              <w:left w:w="110" w:type="dxa"/>
              <w:bottom w:w="45" w:type="dxa"/>
              <w:right w:w="110" w:type="dxa"/>
            </w:tcMar>
          </w:tcPr>
          <w:p>
            <w:pPr>
              <w:spacing w:after="0"/>
            </w:pPr>
            <w:r>
              <w:rPr>
                <w:rFonts w:ascii="Calibri" w:hAnsi="Calibri"/>
                <w:b/>
                <w:sz w:val="19"/>
              </w:rPr>
              <w:t>Horizonte necessário</w:t>
            </w:r>
          </w:p>
        </w:tc>
        <w:tc>
          <w:tcPr>
            <w:tcW w:type="dxa" w:w="1474"/>
            <w:tcMar>
              <w:top w:w="45" w:type="dxa"/>
              <w:left w:w="110" w:type="dxa"/>
              <w:bottom w:w="45" w:type="dxa"/>
              <w:right w:w="110" w:type="dxa"/>
            </w:tcMar>
          </w:tcPr>
          <w:p>
            <w:pPr>
              <w:spacing w:after="0"/>
            </w:pPr>
            <w:r>
              <w:rPr>
                <w:rFonts w:ascii="Calibri" w:hAnsi="Calibri"/>
                <w:b/>
                <w:sz w:val="19"/>
              </w:rPr>
              <w:t>28 dias</w:t>
            </w:r>
          </w:p>
        </w:tc>
        <w:tc>
          <w:tcPr>
            <w:tcW w:type="dxa" w:w="4535"/>
            <w:tcMar>
              <w:top w:w="45" w:type="dxa"/>
              <w:left w:w="110" w:type="dxa"/>
              <w:bottom w:w="45" w:type="dxa"/>
              <w:right w:w="110" w:type="dxa"/>
            </w:tcMar>
          </w:tcPr>
          <w:p>
            <w:pPr>
              <w:spacing w:after="0"/>
            </w:pPr>
            <w:r>
              <w:rPr>
                <w:rFonts w:ascii="Calibri" w:hAnsi="Calibri"/>
                <w:b/>
                <w:sz w:val="19"/>
              </w:rPr>
              <w:t>14 + 14</w:t>
            </w:r>
            <w:r>
              <w:rPr>
                <w:rFonts w:ascii="Calibri" w:hAnsi="Calibri"/>
                <w:b w:val="0"/>
                <w:sz w:val="19"/>
              </w:rPr>
              <w:t>: cobrir a espera da entrega e o intervalo até o próximo pedido.</w:t>
            </w:r>
          </w:p>
        </w:tc>
      </w:tr>
    </w:tbl>
    <w:p>
      <w:pPr>
        <w:spacing w:after="40"/>
      </w:pPr>
    </w:p>
    <w:p>
      <w:pPr>
        <w:spacing w:after="120" w:before="0" w:line="276" w:lineRule="auto"/>
      </w:pPr>
      <w:r>
        <w:rPr>
          <w:rFonts w:ascii="Calibri" w:hAnsi="Calibri"/>
          <w:b w:val="0"/>
          <w:sz w:val="21"/>
        </w:rPr>
        <w:t xml:space="preserve">A lógica é simples: quando o comprador fecha o pedido, a mercadoria demora 14 dias para chegar e precisa durar até o pedido seguinte, que só acontece 14 dias depois. São </w:t>
      </w:r>
      <w:r>
        <w:rPr>
          <w:rFonts w:ascii="Calibri" w:hAnsi="Calibri"/>
          <w:b/>
          <w:sz w:val="21"/>
        </w:rPr>
        <w:t>28 dias de cobertura</w:t>
      </w:r>
      <w:r>
        <w:rPr>
          <w:rFonts w:ascii="Calibri" w:hAnsi="Calibri"/>
          <w:b w:val="0"/>
          <w:sz w:val="21"/>
        </w:rPr>
        <w:t>. Prever menos deixaria um buraco de abastecimento; prever mais significaria comprar para um período que ainda não é o do próximo ciclo.</w:t>
      </w:r>
    </w:p>
    <w:p>
      <w:pPr>
        <w:spacing w:before="200" w:after="80"/>
      </w:pPr>
      <w:r>
        <w:rPr>
          <w:rFonts w:ascii="Calibri" w:hAnsi="Calibri"/>
          <w:b/>
          <w:color w:val="0F3D5C"/>
          <w:sz w:val="23"/>
        </w:rPr>
        <w:t>1.2 — Por loja ou consolidada na rede?</w:t>
      </w:r>
    </w:p>
    <w:p>
      <w:pPr>
        <w:spacing w:after="120" w:before="0" w:line="276" w:lineRule="auto"/>
      </w:pPr>
      <w:r>
        <w:rPr>
          <w:rFonts w:ascii="Calibri" w:hAnsi="Calibri"/>
          <w:b w:val="0"/>
          <w:sz w:val="21"/>
        </w:rPr>
        <w:t>Comparamos as duas bases para o mesmo produto (P0131). A diferença de comportamento é decisiva:</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3175"/>
            <w:shd w:val="clear" w:color="auto" w:fill="0F3D5C"/>
            <w:tcMar>
              <w:top w:w="50" w:type="dxa"/>
              <w:left w:w="110" w:type="dxa"/>
              <w:bottom w:w="50" w:type="dxa"/>
              <w:right w:w="110" w:type="dxa"/>
            </w:tcMar>
          </w:tcPr>
          <w:p>
            <w:pPr>
              <w:spacing w:after="0"/>
            </w:pPr>
            <w:r>
              <w:rPr>
                <w:rFonts w:ascii="Calibri" w:hAnsi="Calibri"/>
                <w:b/>
                <w:color w:val="FFFFFF"/>
                <w:sz w:val="19"/>
              </w:rPr>
              <w:t>Critério de comparação</w:t>
            </w:r>
          </w:p>
        </w:tc>
        <w:tc>
          <w:tcPr>
            <w:tcW w:type="dxa" w:w="2891"/>
            <w:shd w:val="clear" w:color="auto" w:fill="0F3D5C"/>
            <w:tcMar>
              <w:top w:w="50" w:type="dxa"/>
              <w:left w:w="110" w:type="dxa"/>
              <w:bottom w:w="50" w:type="dxa"/>
              <w:right w:w="110" w:type="dxa"/>
            </w:tcMar>
          </w:tcPr>
          <w:p>
            <w:pPr>
              <w:spacing w:after="0"/>
            </w:pPr>
            <w:r>
              <w:rPr>
                <w:rFonts w:ascii="Calibri" w:hAnsi="Calibri"/>
                <w:b/>
                <w:color w:val="FFFFFF"/>
                <w:sz w:val="19"/>
              </w:rPr>
              <w:t>Base por loja</w:t>
            </w:r>
          </w:p>
        </w:tc>
        <w:tc>
          <w:tcPr>
            <w:tcW w:type="dxa" w:w="2891"/>
            <w:shd w:val="clear" w:color="auto" w:fill="0F3D5C"/>
            <w:tcMar>
              <w:top w:w="50" w:type="dxa"/>
              <w:left w:w="110" w:type="dxa"/>
              <w:bottom w:w="50" w:type="dxa"/>
              <w:right w:w="110" w:type="dxa"/>
            </w:tcMar>
          </w:tcPr>
          <w:p>
            <w:pPr>
              <w:spacing w:after="0"/>
            </w:pPr>
            <w:r>
              <w:rPr>
                <w:rFonts w:ascii="Calibri" w:hAnsi="Calibri"/>
                <w:b/>
                <w:color w:val="FFFFFF"/>
                <w:sz w:val="19"/>
              </w:rPr>
              <w:t>Base consolidada (rede)</w:t>
            </w:r>
          </w:p>
        </w:tc>
      </w:tr>
      <w:tr>
        <w:tc>
          <w:tcPr>
            <w:tcW w:type="dxa" w:w="3175"/>
            <w:tcMar>
              <w:top w:w="45" w:type="dxa"/>
              <w:left w:w="110" w:type="dxa"/>
              <w:bottom w:w="45" w:type="dxa"/>
              <w:right w:w="110" w:type="dxa"/>
            </w:tcMar>
          </w:tcPr>
          <w:p>
            <w:pPr>
              <w:spacing w:after="0"/>
            </w:pPr>
            <w:r>
              <w:rPr>
                <w:rFonts w:ascii="Calibri" w:hAnsi="Calibri"/>
                <w:b w:val="0"/>
                <w:sz w:val="19"/>
              </w:rPr>
              <w:t>Séries a prever por produto</w:t>
            </w:r>
          </w:p>
        </w:tc>
        <w:tc>
          <w:tcPr>
            <w:tcW w:type="dxa" w:w="2891"/>
            <w:tcMar>
              <w:top w:w="45" w:type="dxa"/>
              <w:left w:w="110" w:type="dxa"/>
              <w:bottom w:w="45" w:type="dxa"/>
              <w:right w:w="110" w:type="dxa"/>
            </w:tcMar>
          </w:tcPr>
          <w:p>
            <w:pPr>
              <w:spacing w:after="0"/>
            </w:pPr>
            <w:r>
              <w:rPr>
                <w:rFonts w:ascii="Calibri" w:hAnsi="Calibri"/>
                <w:b w:val="0"/>
                <w:sz w:val="19"/>
              </w:rPr>
              <w:t>144 (uma por loja)</w:t>
            </w:r>
          </w:p>
        </w:tc>
        <w:tc>
          <w:tcPr>
            <w:tcW w:type="dxa" w:w="2891"/>
            <w:tcMar>
              <w:top w:w="45" w:type="dxa"/>
              <w:left w:w="110" w:type="dxa"/>
              <w:bottom w:w="45" w:type="dxa"/>
              <w:right w:w="110" w:type="dxa"/>
            </w:tcMar>
          </w:tcPr>
          <w:p>
            <w:pPr>
              <w:spacing w:after="0"/>
            </w:pPr>
            <w:r>
              <w:rPr>
                <w:rFonts w:ascii="Calibri" w:hAnsi="Calibri"/>
                <w:b w:val="0"/>
                <w:sz w:val="19"/>
              </w:rPr>
              <w:t>1 (a rede somada)</w:t>
            </w:r>
          </w:p>
        </w:tc>
      </w:tr>
      <w:tr>
        <w:tc>
          <w:tcPr>
            <w:tcW w:type="dxa" w:w="3175"/>
            <w:tcMar>
              <w:top w:w="45" w:type="dxa"/>
              <w:left w:w="110" w:type="dxa"/>
              <w:bottom w:w="45" w:type="dxa"/>
              <w:right w:w="110" w:type="dxa"/>
            </w:tcMar>
            <w:shd w:val="clear" w:color="auto" w:fill="F2F6F9"/>
          </w:tcPr>
          <w:p>
            <w:pPr>
              <w:spacing w:after="0"/>
            </w:pPr>
            <w:r>
              <w:rPr>
                <w:rFonts w:ascii="Calibri" w:hAnsi="Calibri"/>
                <w:b w:val="0"/>
                <w:sz w:val="19"/>
              </w:rPr>
              <w:t>Venda típica em um dia</w:t>
            </w:r>
          </w:p>
        </w:tc>
        <w:tc>
          <w:tcPr>
            <w:tcW w:type="dxa" w:w="2891"/>
            <w:tcMar>
              <w:top w:w="45" w:type="dxa"/>
              <w:left w:w="110" w:type="dxa"/>
              <w:bottom w:w="45" w:type="dxa"/>
              <w:right w:w="110" w:type="dxa"/>
            </w:tcMar>
            <w:shd w:val="clear" w:color="auto" w:fill="F2F6F9"/>
          </w:tcPr>
          <w:p>
            <w:pPr>
              <w:spacing w:after="0"/>
            </w:pPr>
            <w:r>
              <w:rPr>
                <w:rFonts w:ascii="Calibri" w:hAnsi="Calibri"/>
                <w:b w:val="0"/>
                <w:sz w:val="19"/>
              </w:rPr>
              <w:t>mediana de 0 unidade</w:t>
            </w:r>
          </w:p>
        </w:tc>
        <w:tc>
          <w:tcPr>
            <w:tcW w:type="dxa" w:w="2891"/>
            <w:tcMar>
              <w:top w:w="45" w:type="dxa"/>
              <w:left w:w="110" w:type="dxa"/>
              <w:bottom w:w="45" w:type="dxa"/>
              <w:right w:w="110" w:type="dxa"/>
            </w:tcMar>
            <w:shd w:val="clear" w:color="auto" w:fill="F2F6F9"/>
          </w:tcPr>
          <w:p>
            <w:pPr>
              <w:spacing w:after="0"/>
            </w:pPr>
            <w:r>
              <w:rPr>
                <w:rFonts w:ascii="Calibri" w:hAnsi="Calibri"/>
                <w:b w:val="0"/>
                <w:sz w:val="19"/>
              </w:rPr>
              <w:t>≈ 208 unidades/dia</w:t>
            </w:r>
          </w:p>
        </w:tc>
      </w:tr>
      <w:tr>
        <w:tc>
          <w:tcPr>
            <w:tcW w:type="dxa" w:w="3175"/>
            <w:tcMar>
              <w:top w:w="45" w:type="dxa"/>
              <w:left w:w="110" w:type="dxa"/>
              <w:bottom w:w="45" w:type="dxa"/>
              <w:right w:w="110" w:type="dxa"/>
            </w:tcMar>
          </w:tcPr>
          <w:p>
            <w:pPr>
              <w:spacing w:after="0"/>
            </w:pPr>
            <w:r>
              <w:rPr>
                <w:rFonts w:ascii="Calibri" w:hAnsi="Calibri"/>
                <w:b w:val="0"/>
                <w:sz w:val="19"/>
              </w:rPr>
              <w:t>Volatilidade (coeficiente de variação)</w:t>
            </w:r>
          </w:p>
        </w:tc>
        <w:tc>
          <w:tcPr>
            <w:tcW w:type="dxa" w:w="2891"/>
            <w:tcMar>
              <w:top w:w="45" w:type="dxa"/>
              <w:left w:w="110" w:type="dxa"/>
              <w:bottom w:w="45" w:type="dxa"/>
              <w:right w:w="110" w:type="dxa"/>
            </w:tcMar>
          </w:tcPr>
          <w:p>
            <w:pPr>
              <w:spacing w:after="0"/>
            </w:pPr>
            <w:r>
              <w:rPr>
                <w:rFonts w:ascii="Calibri" w:hAnsi="Calibri"/>
                <w:b w:val="0"/>
                <w:sz w:val="19"/>
              </w:rPr>
              <w:t xml:space="preserve">mediana </w:t>
            </w:r>
            <w:r>
              <w:rPr>
                <w:rFonts w:ascii="Calibri" w:hAnsi="Calibri"/>
                <w:b/>
                <w:sz w:val="19"/>
              </w:rPr>
              <w:t>1,53</w:t>
            </w:r>
          </w:p>
        </w:tc>
        <w:tc>
          <w:tcPr>
            <w:tcW w:type="dxa" w:w="2891"/>
            <w:tcMar>
              <w:top w:w="45" w:type="dxa"/>
              <w:left w:w="110" w:type="dxa"/>
              <w:bottom w:w="45" w:type="dxa"/>
              <w:right w:w="110" w:type="dxa"/>
            </w:tcMar>
          </w:tcPr>
          <w:p>
            <w:pPr>
              <w:spacing w:after="0"/>
            </w:pPr>
            <w:r>
              <w:rPr>
                <w:rFonts w:ascii="Calibri" w:hAnsi="Calibri"/>
                <w:b/>
                <w:sz w:val="19"/>
              </w:rPr>
              <w:t>0,51</w:t>
            </w:r>
          </w:p>
        </w:tc>
      </w:tr>
      <w:tr>
        <w:tc>
          <w:tcPr>
            <w:tcW w:type="dxa" w:w="3175"/>
            <w:tcMar>
              <w:top w:w="45" w:type="dxa"/>
              <w:left w:w="110" w:type="dxa"/>
              <w:bottom w:w="45" w:type="dxa"/>
              <w:right w:w="110" w:type="dxa"/>
            </w:tcMar>
            <w:shd w:val="clear" w:color="auto" w:fill="F2F6F9"/>
          </w:tcPr>
          <w:p>
            <w:pPr>
              <w:spacing w:after="0"/>
            </w:pPr>
            <w:r>
              <w:rPr>
                <w:rFonts w:ascii="Calibri" w:hAnsi="Calibri"/>
                <w:b w:val="0"/>
                <w:sz w:val="19"/>
              </w:rPr>
              <w:t>Dias sem venda</w:t>
            </w:r>
          </w:p>
        </w:tc>
        <w:tc>
          <w:tcPr>
            <w:tcW w:type="dxa" w:w="2891"/>
            <w:tcMar>
              <w:top w:w="45" w:type="dxa"/>
              <w:left w:w="110" w:type="dxa"/>
              <w:bottom w:w="45" w:type="dxa"/>
              <w:right w:w="110" w:type="dxa"/>
            </w:tcMar>
            <w:shd w:val="clear" w:color="auto" w:fill="F2F6F9"/>
          </w:tcPr>
          <w:p>
            <w:pPr>
              <w:spacing w:after="0"/>
            </w:pPr>
            <w:r>
              <w:rPr>
                <w:rFonts w:ascii="Calibri" w:hAnsi="Calibri"/>
                <w:b/>
                <w:sz w:val="19"/>
              </w:rPr>
              <w:t>51,3%</w:t>
            </w:r>
            <w:r>
              <w:rPr>
                <w:rFonts w:ascii="Calibri" w:hAnsi="Calibri"/>
                <w:b w:val="0"/>
                <w:sz w:val="19"/>
              </w:rPr>
              <w:t xml:space="preserve"> dos dias de loja</w:t>
            </w:r>
          </w:p>
        </w:tc>
        <w:tc>
          <w:tcPr>
            <w:tcW w:type="dxa" w:w="2891"/>
            <w:tcMar>
              <w:top w:w="45" w:type="dxa"/>
              <w:left w:w="110" w:type="dxa"/>
              <w:bottom w:w="45" w:type="dxa"/>
              <w:right w:w="110" w:type="dxa"/>
            </w:tcMar>
            <w:shd w:val="clear" w:color="auto" w:fill="F2F6F9"/>
          </w:tcPr>
          <w:p>
            <w:pPr>
              <w:spacing w:after="0"/>
            </w:pPr>
            <w:r>
              <w:rPr>
                <w:rFonts w:ascii="Calibri" w:hAnsi="Calibri"/>
                <w:b w:val="0"/>
                <w:sz w:val="19"/>
              </w:rPr>
              <w:t>raro</w:t>
            </w:r>
          </w:p>
        </w:tc>
      </w:tr>
      <w:tr>
        <w:tc>
          <w:tcPr>
            <w:tcW w:type="dxa" w:w="3175"/>
            <w:tcMar>
              <w:top w:w="45" w:type="dxa"/>
              <w:left w:w="110" w:type="dxa"/>
              <w:bottom w:w="45" w:type="dxa"/>
              <w:right w:w="110" w:type="dxa"/>
            </w:tcMar>
          </w:tcPr>
          <w:p>
            <w:pPr>
              <w:spacing w:after="0"/>
            </w:pPr>
            <w:r>
              <w:rPr>
                <w:rFonts w:ascii="Calibri" w:hAnsi="Calibri"/>
                <w:b w:val="0"/>
                <w:sz w:val="19"/>
              </w:rPr>
              <w:t>Onde a decisão é tomada</w:t>
            </w:r>
          </w:p>
        </w:tc>
        <w:tc>
          <w:tcPr>
            <w:tcW w:type="dxa" w:w="2891"/>
            <w:tcMar>
              <w:top w:w="45" w:type="dxa"/>
              <w:left w:w="110" w:type="dxa"/>
              <w:bottom w:w="45" w:type="dxa"/>
              <w:right w:w="110" w:type="dxa"/>
            </w:tcMar>
          </w:tcPr>
          <w:p>
            <w:pPr>
              <w:spacing w:after="0"/>
            </w:pPr>
            <w:r>
              <w:rPr>
                <w:rFonts w:ascii="Calibri" w:hAnsi="Calibri"/>
                <w:b w:val="0"/>
                <w:sz w:val="19"/>
              </w:rPr>
              <w:t>a loja não compra</w:t>
            </w:r>
          </w:p>
        </w:tc>
        <w:tc>
          <w:tcPr>
            <w:tcW w:type="dxa" w:w="2891"/>
            <w:tcMar>
              <w:top w:w="45" w:type="dxa"/>
              <w:left w:w="110" w:type="dxa"/>
              <w:bottom w:w="45" w:type="dxa"/>
              <w:right w:w="110" w:type="dxa"/>
            </w:tcMar>
          </w:tcPr>
          <w:p>
            <w:pPr>
              <w:spacing w:after="0"/>
            </w:pPr>
            <w:r>
              <w:rPr>
                <w:rFonts w:ascii="Calibri" w:hAnsi="Calibri"/>
                <w:b w:val="0"/>
                <w:sz w:val="19"/>
              </w:rPr>
              <w:t>o CD compra — é o decisor</w:t>
            </w:r>
          </w:p>
        </w:tc>
      </w:tr>
    </w:tbl>
    <w:p>
      <w:pPr>
        <w:spacing w:after="40"/>
      </w:pPr>
    </w:p>
    <w:p>
      <w:pPr>
        <w:spacing w:after="120" w:before="0" w:line="276" w:lineRule="auto"/>
      </w:pPr>
      <w:r>
        <w:rPr>
          <w:rFonts w:ascii="Calibri" w:hAnsi="Calibri"/>
          <w:b w:val="0"/>
          <w:sz w:val="21"/>
        </w:rPr>
        <w:t xml:space="preserve">Na base por loja, a venda diária é quase sempre 0, 1 ou 2 unidades — em mais da metade dos dias não há venda alguma. Séries assim são dominadas por acaso, não por padrão. Prever 144 séries instáveis e depois somá-las tende a errar mais do que prever diretamente o total da rede, que é muito mais regular (volatilidade 0,51 contra 1,53). Além disso, o pedido é </w:t>
      </w:r>
      <w:r>
        <w:rPr>
          <w:rFonts w:ascii="Calibri" w:hAnsi="Calibri"/>
          <w:b/>
          <w:sz w:val="21"/>
        </w:rPr>
        <w:t>um só</w:t>
      </w:r>
      <w:r>
        <w:rPr>
          <w:rFonts w:ascii="Calibri" w:hAnsi="Calibri"/>
          <w:b w:val="0"/>
          <w:sz w:val="21"/>
        </w:rPr>
        <w:t xml:space="preserve"> — feito pelo CD —, então o nível natural de decisão é o agregado.</w:t>
      </w:r>
    </w:p>
    <w:p>
      <w:pPr>
        <w:jc w:val="center"/>
      </w:pPr>
      <w:r>
        <w:drawing>
          <wp:inline xmlns:a="http://schemas.openxmlformats.org/drawingml/2006/main" xmlns:pic="http://schemas.openxmlformats.org/drawingml/2006/picture">
            <wp:extent cx="5616000" cy="3347854"/>
            <wp:docPr id="1" name="Picture 1"/>
            <wp:cNvGraphicFramePr>
              <a:graphicFrameLocks noChangeAspect="1"/>
            </wp:cNvGraphicFramePr>
            <a:graphic>
              <a:graphicData uri="http://schemas.openxmlformats.org/drawingml/2006/picture">
                <pic:pic>
                  <pic:nvPicPr>
                    <pic:cNvPr id="0" name="serie_comparativa_P0131_loja_vs_rede.png"/>
                    <pic:cNvPicPr/>
                  </pic:nvPicPr>
                  <pic:blipFill>
                    <a:blip r:embed="rId9"/>
                    <a:stretch>
                      <a:fillRect/>
                    </a:stretch>
                  </pic:blipFill>
                  <pic:spPr>
                    <a:xfrm>
                      <a:off x="0" y="0"/>
                      <a:ext cx="5616000" cy="3347854"/>
                    </a:xfrm>
                    <a:prstGeom prst="rect"/>
                  </pic:spPr>
                </pic:pic>
              </a:graphicData>
            </a:graphic>
          </wp:inline>
        </w:drawing>
      </w:r>
    </w:p>
    <w:p>
      <w:pPr>
        <w:spacing w:before="40" w:after="160"/>
        <w:jc w:val="center"/>
      </w:pPr>
      <w:r>
        <w:rPr>
          <w:rFonts w:ascii="Calibri" w:hAnsi="Calibri"/>
          <w:i/>
          <w:color w:val="505A66"/>
          <w:sz w:val="17"/>
        </w:rPr>
        <w:t>À esquerda, a venda de uma loja isolada: irregular e cheia de zeros. À direita, a mesma venda somada na rede: contínua e previsível. Agregar transforma ruído em sinal.</w:t>
      </w:r>
    </w:p>
    <w:p>
      <w:pPr>
        <w:spacing w:before="200" w:after="80"/>
      </w:pPr>
      <w:r>
        <w:rPr>
          <w:rFonts w:ascii="Calibri" w:hAnsi="Calibri"/>
          <w:b/>
          <w:color w:val="0F3D5C"/>
          <w:sz w:val="23"/>
        </w:rPr>
        <w:t>1.3 — A regra geral para outros projetos</w:t>
      </w:r>
    </w:p>
    <w:tbl>
      <w:tblPr>
        <w:tblW w:type="auto" w:w="0"/>
        <w:tblLayout w:type="autofit"/>
        <w:tblLook w:firstColumn="1" w:firstRow="1" w:lastColumn="0" w:lastRow="0" w:noHBand="0" w:noVBand="1" w:val="04A0"/>
        <w:tblBorders>
          <w:top w:val="single" w:sz="8" w:space="0" w:color="0E808C"/>
          <w:left w:val="single" w:sz="8" w:space="0" w:color="0E808C"/>
          <w:bottom w:val="single" w:sz="8" w:space="0" w:color="0E808C"/>
          <w:right w:val="single" w:sz="8" w:space="0" w:color="0E808C"/>
          <w:insideH w:val="single" w:sz="8" w:space="0" w:color="0E808C"/>
          <w:insideV w:val="single" w:sz="8" w:space="0" w:color="0E808C"/>
        </w:tblBorders>
      </w:tblPr>
      <w:tblGrid>
        <w:gridCol w:w="9746"/>
      </w:tblGrid>
      <w:tr>
        <w:tc>
          <w:tcPr>
            <w:tcW w:type="dxa" w:w="9746"/>
            <w:shd w:val="clear" w:color="auto" w:fill="E8F3F5"/>
            <w:tcMar>
              <w:top w:w="90" w:type="dxa"/>
              <w:left w:w="140" w:type="dxa"/>
              <w:bottom w:w="90" w:type="dxa"/>
              <w:right w:w="140" w:type="dxa"/>
            </w:tcMar>
          </w:tcPr>
          <w:p>
            <w:pPr>
              <w:spacing w:after="0"/>
            </w:pPr>
            <w:r>
              <w:rPr>
                <w:rFonts w:ascii="Calibri" w:hAnsi="Calibri"/>
                <w:b/>
                <w:color w:val="0E808C"/>
                <w:sz w:val="20"/>
              </w:rPr>
              <w:t xml:space="preserve">Regra geral:  </w:t>
            </w:r>
            <w:r>
              <w:rPr>
                <w:rFonts w:ascii="Calibri" w:hAnsi="Calibri"/>
                <w:b/>
                <w:sz w:val="20"/>
              </w:rPr>
              <w:t>Preveja no nível em que a decisão é tomada e agregue o máximo possível antes de modelar.</w:t>
            </w:r>
            <w:r>
              <w:rPr>
                <w:rFonts w:ascii="Calibri" w:hAnsi="Calibri"/>
                <w:b w:val="0"/>
                <w:sz w:val="20"/>
              </w:rPr>
              <w:t xml:space="preserve"> A soma de muitas séries pequenas e ruidosas é mais previsível do que cada uma delas separadamente. Só desagregue quando a decisão também for local.</w:t>
            </w:r>
          </w:p>
        </w:tc>
      </w:tr>
    </w:tbl>
    <w:p>
      <w:pPr>
        <w:spacing w:after="80"/>
      </w:pPr>
    </w:p>
    <w:p>
      <w:pPr>
        <w:spacing w:before="320" w:after="100"/>
        <w:pBdr>
          <w:bottom w:val="single" w:sz="10" w:space="3" w:color="0E808C"/>
        </w:pBdr>
      </w:pPr>
      <w:r>
        <w:rPr>
          <w:rFonts w:ascii="Calibri" w:hAnsi="Calibri"/>
          <w:b/>
          <w:color w:val="0E808C"/>
          <w:sz w:val="30"/>
        </w:rPr>
        <w:t xml:space="preserve">2.  </w:t>
      </w:r>
      <w:r>
        <w:rPr>
          <w:rFonts w:ascii="Calibri" w:hAnsi="Calibri"/>
          <w:b/>
          <w:color w:val="0F3D5C"/>
          <w:sz w:val="30"/>
        </w:rPr>
        <w:t>Leitura crítica dos dados</w:t>
      </w:r>
    </w:p>
    <w:p>
      <w:pPr>
        <w:spacing w:after="160" w:line="264" w:lineRule="auto"/>
      </w:pPr>
      <w:r>
        <w:rPr>
          <w:rFonts w:ascii="Calibri" w:hAnsi="Calibri"/>
          <w:i/>
          <w:color w:val="505A66"/>
          <w:sz w:val="19"/>
        </w:rPr>
        <w:t>Investigue o que cada coluna de fato mede e o que ela deixa de medir. O que a coluna de unidades registra em um dia em que o produto esgotou na loja, e que consequência isso tem para um modelo treinado nela? O que exatamente é a coluna de estoque, e o pedido que estamos calculando abastece esse mesmo elo da cadeia? Há itens no painel que não deveriam estar no escopo de um modelo de previsão?</w:t>
      </w:r>
    </w:p>
    <w:tbl>
      <w:tblPr>
        <w:tblW w:type="auto" w:w="0"/>
        <w:tblLayout w:type="autofit"/>
        <w:tblLook w:firstColumn="1" w:firstRow="1" w:lastColumn="0" w:lastRow="0" w:noHBand="0" w:noVBand="1" w:val="04A0"/>
        <w:tblBorders>
          <w:top w:val="single" w:sz="8" w:space="0" w:color="0E808C"/>
          <w:left w:val="single" w:sz="8" w:space="0" w:color="0E808C"/>
          <w:bottom w:val="single" w:sz="8" w:space="0" w:color="0E808C"/>
          <w:right w:val="single" w:sz="8" w:space="0" w:color="0E808C"/>
          <w:insideH w:val="single" w:sz="8" w:space="0" w:color="0E808C"/>
          <w:insideV w:val="single" w:sz="8" w:space="0" w:color="0E808C"/>
        </w:tblBorders>
      </w:tblPr>
      <w:tblGrid>
        <w:gridCol w:w="9746"/>
      </w:tblGrid>
      <w:tr>
        <w:tc>
          <w:tcPr>
            <w:tcW w:type="dxa" w:w="9746"/>
            <w:shd w:val="clear" w:color="auto" w:fill="E8F3F5"/>
            <w:tcMar>
              <w:top w:w="90" w:type="dxa"/>
              <w:left w:w="140" w:type="dxa"/>
              <w:bottom w:w="90" w:type="dxa"/>
              <w:right w:w="140" w:type="dxa"/>
            </w:tcMar>
          </w:tcPr>
          <w:p>
            <w:pPr>
              <w:spacing w:after="0"/>
            </w:pPr>
            <w:r>
              <w:rPr>
                <w:rFonts w:ascii="Calibri" w:hAnsi="Calibri"/>
                <w:b/>
                <w:color w:val="0E808C"/>
                <w:sz w:val="20"/>
              </w:rPr>
              <w:t xml:space="preserve">Em uma frase:  </w:t>
            </w:r>
            <w:r>
              <w:rPr>
                <w:rFonts w:ascii="Calibri" w:hAnsi="Calibri"/>
                <w:b w:val="0"/>
                <w:sz w:val="20"/>
              </w:rPr>
              <w:t xml:space="preserve">As colunas registram </w:t>
            </w:r>
            <w:r>
              <w:rPr>
                <w:rFonts w:ascii="Calibri" w:hAnsi="Calibri"/>
                <w:b/>
                <w:sz w:val="20"/>
              </w:rPr>
              <w:t>venda</w:t>
            </w:r>
            <w:r>
              <w:rPr>
                <w:rFonts w:ascii="Calibri" w:hAnsi="Calibri"/>
                <w:b w:val="0"/>
                <w:sz w:val="20"/>
              </w:rPr>
              <w:t xml:space="preserve"> (não demanda), </w:t>
            </w:r>
            <w:r>
              <w:rPr>
                <w:rFonts w:ascii="Calibri" w:hAnsi="Calibri"/>
                <w:b/>
                <w:sz w:val="20"/>
              </w:rPr>
              <w:t>estoque de loja no fim do dia</w:t>
            </w:r>
            <w:r>
              <w:rPr>
                <w:rFonts w:ascii="Calibri" w:hAnsi="Calibri"/>
                <w:b w:val="0"/>
                <w:sz w:val="20"/>
              </w:rPr>
              <w:t xml:space="preserve"> (não do CD) e </w:t>
            </w:r>
            <w:r>
              <w:rPr>
                <w:rFonts w:ascii="Calibri" w:hAnsi="Calibri"/>
                <w:b/>
                <w:sz w:val="20"/>
              </w:rPr>
              <w:t>promoção</w:t>
            </w:r>
            <w:r>
              <w:rPr>
                <w:rFonts w:ascii="Calibri" w:hAnsi="Calibri"/>
                <w:b w:val="0"/>
                <w:sz w:val="20"/>
              </w:rPr>
              <w:t>. Nenhuma delas é exatamente o que o modelo precisa — e três itens do painel estão fora do escopo. Ler errado aqui contamina todas as etapas seguintes.</w:t>
            </w:r>
          </w:p>
        </w:tc>
      </w:tr>
    </w:tbl>
    <w:p>
      <w:pPr>
        <w:spacing w:after="80"/>
      </w:pPr>
    </w:p>
    <w:p>
      <w:pPr>
        <w:spacing w:before="200" w:after="80"/>
      </w:pPr>
      <w:r>
        <w:rPr>
          <w:rFonts w:ascii="Calibri" w:hAnsi="Calibri"/>
          <w:b/>
          <w:color w:val="0F3D5C"/>
          <w:sz w:val="23"/>
        </w:rPr>
        <w:t>2.1 — O que cada coluna mede e o que deixa de medir</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1984"/>
            <w:shd w:val="clear" w:color="auto" w:fill="0F3D5C"/>
            <w:tcMar>
              <w:top w:w="50" w:type="dxa"/>
              <w:left w:w="110" w:type="dxa"/>
              <w:bottom w:w="50" w:type="dxa"/>
              <w:right w:w="110" w:type="dxa"/>
            </w:tcMar>
          </w:tcPr>
          <w:p>
            <w:pPr>
              <w:spacing w:after="0"/>
            </w:pPr>
            <w:r>
              <w:rPr>
                <w:rFonts w:ascii="Calibri" w:hAnsi="Calibri"/>
                <w:b/>
                <w:color w:val="FFFFFF"/>
                <w:sz w:val="19"/>
              </w:rPr>
              <w:t>Coluna</w:t>
            </w:r>
          </w:p>
        </w:tc>
        <w:tc>
          <w:tcPr>
            <w:tcW w:type="dxa" w:w="3515"/>
            <w:shd w:val="clear" w:color="auto" w:fill="0F3D5C"/>
            <w:tcMar>
              <w:top w:w="50" w:type="dxa"/>
              <w:left w:w="110" w:type="dxa"/>
              <w:bottom w:w="50" w:type="dxa"/>
              <w:right w:w="110" w:type="dxa"/>
            </w:tcMar>
          </w:tcPr>
          <w:p>
            <w:pPr>
              <w:spacing w:after="0"/>
            </w:pPr>
            <w:r>
              <w:rPr>
                <w:rFonts w:ascii="Calibri" w:hAnsi="Calibri"/>
                <w:b/>
                <w:color w:val="FFFFFF"/>
                <w:sz w:val="19"/>
              </w:rPr>
              <w:t>O que ela mede de fato</w:t>
            </w:r>
          </w:p>
        </w:tc>
        <w:tc>
          <w:tcPr>
            <w:tcW w:type="dxa" w:w="3458"/>
            <w:shd w:val="clear" w:color="auto" w:fill="0F3D5C"/>
            <w:tcMar>
              <w:top w:w="50" w:type="dxa"/>
              <w:left w:w="110" w:type="dxa"/>
              <w:bottom w:w="50" w:type="dxa"/>
              <w:right w:w="110" w:type="dxa"/>
            </w:tcMar>
          </w:tcPr>
          <w:p>
            <w:pPr>
              <w:spacing w:after="0"/>
            </w:pPr>
            <w:r>
              <w:rPr>
                <w:rFonts w:ascii="Calibri" w:hAnsi="Calibri"/>
                <w:b/>
                <w:color w:val="FFFFFF"/>
                <w:sz w:val="19"/>
              </w:rPr>
              <w:t>O que ela deixa de medir</w:t>
            </w:r>
          </w:p>
        </w:tc>
      </w:tr>
      <w:tr>
        <w:tc>
          <w:tcPr>
            <w:tcW w:type="dxa" w:w="1984"/>
            <w:tcMar>
              <w:top w:w="45" w:type="dxa"/>
              <w:left w:w="110" w:type="dxa"/>
              <w:bottom w:w="45" w:type="dxa"/>
              <w:right w:w="110" w:type="dxa"/>
            </w:tcMar>
          </w:tcPr>
          <w:p>
            <w:pPr>
              <w:spacing w:after="0"/>
            </w:pPr>
            <w:r>
              <w:rPr>
                <w:rFonts w:ascii="Calibri" w:hAnsi="Calibri"/>
                <w:b w:val="0"/>
                <w:sz w:val="19"/>
              </w:rPr>
              <w:t>unidades</w:t>
            </w:r>
          </w:p>
        </w:tc>
        <w:tc>
          <w:tcPr>
            <w:tcW w:type="dxa" w:w="3515"/>
            <w:tcMar>
              <w:top w:w="45" w:type="dxa"/>
              <w:left w:w="110" w:type="dxa"/>
              <w:bottom w:w="45" w:type="dxa"/>
              <w:right w:w="110" w:type="dxa"/>
            </w:tcMar>
          </w:tcPr>
          <w:p>
            <w:pPr>
              <w:spacing w:after="0"/>
            </w:pPr>
            <w:r>
              <w:rPr>
                <w:rFonts w:ascii="Calibri" w:hAnsi="Calibri"/>
                <w:b w:val="0"/>
                <w:sz w:val="19"/>
              </w:rPr>
              <w:t xml:space="preserve">Unidades </w:t>
            </w:r>
            <w:r>
              <w:rPr>
                <w:rFonts w:ascii="Calibri" w:hAnsi="Calibri"/>
                <w:b/>
                <w:sz w:val="19"/>
              </w:rPr>
              <w:t>vendidas</w:t>
            </w:r>
            <w:r>
              <w:rPr>
                <w:rFonts w:ascii="Calibri" w:hAnsi="Calibri"/>
                <w:b w:val="0"/>
                <w:sz w:val="19"/>
              </w:rPr>
              <w:t xml:space="preserve"> no dia, somadas na rede.</w:t>
            </w:r>
          </w:p>
        </w:tc>
        <w:tc>
          <w:tcPr>
            <w:tcW w:type="dxa" w:w="3458"/>
            <w:tcMar>
              <w:top w:w="45" w:type="dxa"/>
              <w:left w:w="110" w:type="dxa"/>
              <w:bottom w:w="45" w:type="dxa"/>
              <w:right w:w="110" w:type="dxa"/>
            </w:tcMar>
          </w:tcPr>
          <w:p>
            <w:pPr>
              <w:spacing w:after="0"/>
            </w:pPr>
            <w:r>
              <w:rPr>
                <w:rFonts w:ascii="Calibri" w:hAnsi="Calibri"/>
                <w:b w:val="0"/>
                <w:sz w:val="19"/>
              </w:rPr>
              <w:t>A demanda não atendida: em dia de ruptura, registra só o que havia na gôndola.</w:t>
            </w:r>
          </w:p>
        </w:tc>
      </w:tr>
      <w:tr>
        <w:tc>
          <w:tcPr>
            <w:tcW w:type="dxa" w:w="1984"/>
            <w:tcMar>
              <w:top w:w="45" w:type="dxa"/>
              <w:left w:w="110" w:type="dxa"/>
              <w:bottom w:w="45" w:type="dxa"/>
              <w:right w:w="110" w:type="dxa"/>
            </w:tcMar>
            <w:shd w:val="clear" w:color="auto" w:fill="F2F6F9"/>
          </w:tcPr>
          <w:p>
            <w:pPr>
              <w:spacing w:after="0"/>
            </w:pPr>
            <w:r>
              <w:rPr>
                <w:rFonts w:ascii="Calibri" w:hAnsi="Calibri"/>
                <w:b w:val="0"/>
                <w:sz w:val="19"/>
              </w:rPr>
              <w:t>preco_medio</w:t>
            </w:r>
          </w:p>
        </w:tc>
        <w:tc>
          <w:tcPr>
            <w:tcW w:type="dxa" w:w="3515"/>
            <w:tcMar>
              <w:top w:w="45" w:type="dxa"/>
              <w:left w:w="110" w:type="dxa"/>
              <w:bottom w:w="45" w:type="dxa"/>
              <w:right w:w="110" w:type="dxa"/>
            </w:tcMar>
            <w:shd w:val="clear" w:color="auto" w:fill="F2F6F9"/>
          </w:tcPr>
          <w:p>
            <w:pPr>
              <w:spacing w:after="0"/>
            </w:pPr>
            <w:r>
              <w:rPr>
                <w:rFonts w:ascii="Calibri" w:hAnsi="Calibri"/>
                <w:b w:val="0"/>
                <w:sz w:val="19"/>
              </w:rPr>
              <w:t>Preço médio praticado no dia.</w:t>
            </w:r>
          </w:p>
        </w:tc>
        <w:tc>
          <w:tcPr>
            <w:tcW w:type="dxa" w:w="3458"/>
            <w:tcMar>
              <w:top w:w="45" w:type="dxa"/>
              <w:left w:w="110" w:type="dxa"/>
              <w:bottom w:w="45" w:type="dxa"/>
              <w:right w:w="110" w:type="dxa"/>
            </w:tcMar>
            <w:shd w:val="clear" w:color="auto" w:fill="F2F6F9"/>
          </w:tcPr>
          <w:p>
            <w:pPr>
              <w:spacing w:after="0"/>
            </w:pPr>
            <w:r>
              <w:rPr>
                <w:rFonts w:ascii="Calibri" w:hAnsi="Calibri"/>
                <w:b w:val="0"/>
                <w:sz w:val="19"/>
              </w:rPr>
              <w:t>Diferenças de preço entre lojas e efeitos de desconto específicos.</w:t>
            </w:r>
          </w:p>
        </w:tc>
      </w:tr>
      <w:tr>
        <w:tc>
          <w:tcPr>
            <w:tcW w:type="dxa" w:w="1984"/>
            <w:tcMar>
              <w:top w:w="45" w:type="dxa"/>
              <w:left w:w="110" w:type="dxa"/>
              <w:bottom w:w="45" w:type="dxa"/>
              <w:right w:w="110" w:type="dxa"/>
            </w:tcMar>
          </w:tcPr>
          <w:p>
            <w:pPr>
              <w:spacing w:after="0"/>
            </w:pPr>
            <w:r>
              <w:rPr>
                <w:rFonts w:ascii="Calibri" w:hAnsi="Calibri"/>
                <w:b w:val="0"/>
                <w:sz w:val="19"/>
              </w:rPr>
              <w:t>pct_lojas_promo</w:t>
            </w:r>
          </w:p>
        </w:tc>
        <w:tc>
          <w:tcPr>
            <w:tcW w:type="dxa" w:w="3515"/>
            <w:tcMar>
              <w:top w:w="45" w:type="dxa"/>
              <w:left w:w="110" w:type="dxa"/>
              <w:bottom w:w="45" w:type="dxa"/>
              <w:right w:w="110" w:type="dxa"/>
            </w:tcMar>
          </w:tcPr>
          <w:p>
            <w:pPr>
              <w:spacing w:after="0"/>
            </w:pPr>
            <w:r>
              <w:rPr>
                <w:rFonts w:ascii="Calibri" w:hAnsi="Calibri"/>
                <w:b w:val="0"/>
                <w:sz w:val="19"/>
              </w:rPr>
              <w:t>Fração de lojas com o item em promoção.</w:t>
            </w:r>
          </w:p>
        </w:tc>
        <w:tc>
          <w:tcPr>
            <w:tcW w:type="dxa" w:w="3458"/>
            <w:tcMar>
              <w:top w:w="45" w:type="dxa"/>
              <w:left w:w="110" w:type="dxa"/>
              <w:bottom w:w="45" w:type="dxa"/>
              <w:right w:w="110" w:type="dxa"/>
            </w:tcMar>
          </w:tcPr>
          <w:p>
            <w:pPr>
              <w:spacing w:after="0"/>
            </w:pPr>
            <w:r>
              <w:rPr>
                <w:rFonts w:ascii="Calibri" w:hAnsi="Calibri"/>
                <w:b w:val="0"/>
                <w:sz w:val="19"/>
              </w:rPr>
              <w:t>A intensidade e a mecânica da promoção, além do simples "estava ou não".</w:t>
            </w:r>
          </w:p>
        </w:tc>
      </w:tr>
      <w:tr>
        <w:tc>
          <w:tcPr>
            <w:tcW w:type="dxa" w:w="1984"/>
            <w:tcMar>
              <w:top w:w="45" w:type="dxa"/>
              <w:left w:w="110" w:type="dxa"/>
              <w:bottom w:w="45" w:type="dxa"/>
              <w:right w:w="110" w:type="dxa"/>
            </w:tcMar>
            <w:shd w:val="clear" w:color="auto" w:fill="F2F6F9"/>
          </w:tcPr>
          <w:p>
            <w:pPr>
              <w:spacing w:after="0"/>
            </w:pPr>
            <w:r>
              <w:rPr>
                <w:rFonts w:ascii="Calibri" w:hAnsi="Calibri"/>
                <w:b w:val="0"/>
                <w:sz w:val="19"/>
              </w:rPr>
              <w:t>estoque_total</w:t>
            </w:r>
          </w:p>
        </w:tc>
        <w:tc>
          <w:tcPr>
            <w:tcW w:type="dxa" w:w="3515"/>
            <w:tcMar>
              <w:top w:w="45" w:type="dxa"/>
              <w:left w:w="110" w:type="dxa"/>
              <w:bottom w:w="45" w:type="dxa"/>
              <w:right w:w="110" w:type="dxa"/>
            </w:tcMar>
            <w:shd w:val="clear" w:color="auto" w:fill="F2F6F9"/>
          </w:tcPr>
          <w:p>
            <w:pPr>
              <w:spacing w:after="0"/>
            </w:pPr>
            <w:r>
              <w:rPr>
                <w:rFonts w:ascii="Calibri" w:hAnsi="Calibri"/>
                <w:b w:val="0"/>
                <w:sz w:val="19"/>
              </w:rPr>
              <w:t xml:space="preserve">Estoque somado nas </w:t>
            </w:r>
            <w:r>
              <w:rPr>
                <w:rFonts w:ascii="Calibri" w:hAnsi="Calibri"/>
                <w:b/>
                <w:sz w:val="19"/>
              </w:rPr>
              <w:t>lojas</w:t>
            </w:r>
            <w:r>
              <w:rPr>
                <w:rFonts w:ascii="Calibri" w:hAnsi="Calibri"/>
                <w:b w:val="0"/>
                <w:sz w:val="19"/>
              </w:rPr>
              <w:t xml:space="preserve">, </w:t>
            </w:r>
            <w:r>
              <w:rPr>
                <w:rFonts w:ascii="Calibri" w:hAnsi="Calibri"/>
                <w:b/>
                <w:sz w:val="19"/>
              </w:rPr>
              <w:t>no fim do dia</w:t>
            </w:r>
            <w:r>
              <w:rPr>
                <w:rFonts w:ascii="Calibri" w:hAnsi="Calibri"/>
                <w:b w:val="0"/>
                <w:sz w:val="19"/>
              </w:rPr>
              <w:t>.</w:t>
            </w:r>
          </w:p>
        </w:tc>
        <w:tc>
          <w:tcPr>
            <w:tcW w:type="dxa" w:w="3458"/>
            <w:tcMar>
              <w:top w:w="45" w:type="dxa"/>
              <w:left w:w="110" w:type="dxa"/>
              <w:bottom w:w="45" w:type="dxa"/>
              <w:right w:w="110" w:type="dxa"/>
            </w:tcMar>
            <w:shd w:val="clear" w:color="auto" w:fill="F2F6F9"/>
          </w:tcPr>
          <w:p>
            <w:pPr>
              <w:spacing w:after="0"/>
            </w:pPr>
            <w:r>
              <w:rPr>
                <w:rFonts w:ascii="Calibri" w:hAnsi="Calibri"/>
                <w:b w:val="0"/>
                <w:sz w:val="19"/>
              </w:rPr>
              <w:t>O estoque do CD (o elo que efetivamente compramos) e o estoque de início de dia.</w:t>
            </w:r>
          </w:p>
        </w:tc>
      </w:tr>
      <w:tr>
        <w:tc>
          <w:tcPr>
            <w:tcW w:type="dxa" w:w="1984"/>
            <w:tcMar>
              <w:top w:w="45" w:type="dxa"/>
              <w:left w:w="110" w:type="dxa"/>
              <w:bottom w:w="45" w:type="dxa"/>
              <w:right w:w="110" w:type="dxa"/>
            </w:tcMar>
          </w:tcPr>
          <w:p>
            <w:pPr>
              <w:spacing w:after="0"/>
            </w:pPr>
            <w:r>
              <w:rPr>
                <w:rFonts w:ascii="Calibri" w:hAnsi="Calibri"/>
                <w:b w:val="0"/>
                <w:sz w:val="19"/>
              </w:rPr>
              <w:t>lojas_ativas</w:t>
            </w:r>
          </w:p>
        </w:tc>
        <w:tc>
          <w:tcPr>
            <w:tcW w:type="dxa" w:w="3515"/>
            <w:tcMar>
              <w:top w:w="45" w:type="dxa"/>
              <w:left w:w="110" w:type="dxa"/>
              <w:bottom w:w="45" w:type="dxa"/>
              <w:right w:w="110" w:type="dxa"/>
            </w:tcMar>
          </w:tcPr>
          <w:p>
            <w:pPr>
              <w:spacing w:after="0"/>
            </w:pPr>
            <w:r>
              <w:rPr>
                <w:rFonts w:ascii="Calibri" w:hAnsi="Calibri"/>
                <w:b w:val="0"/>
                <w:sz w:val="19"/>
              </w:rPr>
              <w:t>Lojas que venderam ao menos uma unidade.</w:t>
            </w:r>
          </w:p>
        </w:tc>
        <w:tc>
          <w:tcPr>
            <w:tcW w:type="dxa" w:w="3458"/>
            <w:tcMar>
              <w:top w:w="45" w:type="dxa"/>
              <w:left w:w="110" w:type="dxa"/>
              <w:bottom w:w="45" w:type="dxa"/>
              <w:right w:w="110" w:type="dxa"/>
            </w:tcMar>
          </w:tcPr>
          <w:p>
            <w:pPr>
              <w:spacing w:after="0"/>
            </w:pPr>
            <w:r>
              <w:rPr>
                <w:rFonts w:ascii="Calibri" w:hAnsi="Calibri"/>
                <w:b w:val="0"/>
                <w:sz w:val="19"/>
              </w:rPr>
              <w:t>Lojas que tinham o item e não venderam por falta de estoque aparecem como "inativas".</w:t>
            </w:r>
          </w:p>
        </w:tc>
      </w:tr>
    </w:tbl>
    <w:p>
      <w:pPr>
        <w:spacing w:after="40"/>
      </w:pPr>
    </w:p>
    <w:p>
      <w:pPr>
        <w:spacing w:before="200" w:after="80"/>
      </w:pPr>
      <w:r>
        <w:rPr>
          <w:rFonts w:ascii="Calibri" w:hAnsi="Calibri"/>
          <w:b/>
          <w:color w:val="0F3D5C"/>
          <w:sz w:val="23"/>
        </w:rPr>
        <w:t>2.2 — O que a coluna "unidades" registra em um dia de ruptura</w:t>
      </w:r>
    </w:p>
    <w:p>
      <w:pPr>
        <w:spacing w:after="120" w:before="0" w:line="276" w:lineRule="auto"/>
      </w:pPr>
      <w:r>
        <w:rPr>
          <w:rFonts w:ascii="Calibri" w:hAnsi="Calibri"/>
          <w:b w:val="0"/>
          <w:sz w:val="21"/>
        </w:rPr>
        <w:t xml:space="preserve">Em um dia em que o produto esgotou, a coluna `unidades` registra apenas </w:t>
      </w:r>
      <w:r>
        <w:rPr>
          <w:rFonts w:ascii="Calibri" w:hAnsi="Calibri"/>
          <w:b/>
          <w:sz w:val="21"/>
        </w:rPr>
        <w:t>o que a loja conseguiu vender com o estoque que ainda tinha</w:t>
      </w:r>
      <w:r>
        <w:rPr>
          <w:rFonts w:ascii="Calibri" w:hAnsi="Calibri"/>
          <w:b w:val="0"/>
          <w:sz w:val="21"/>
        </w:rPr>
        <w:t xml:space="preserve"> — ou seja, zero ou quase isso. A venda que deixou de acontecer (o cliente que foi procurar o produto e não achou) </w:t>
      </w:r>
      <w:r>
        <w:rPr>
          <w:rFonts w:ascii="Calibri" w:hAnsi="Calibri"/>
          <w:b/>
          <w:sz w:val="21"/>
        </w:rPr>
        <w:t>não aparece em lugar nenhum</w:t>
      </w:r>
      <w:r>
        <w:rPr>
          <w:rFonts w:ascii="Calibri" w:hAnsi="Calibri"/>
          <w:b w:val="0"/>
          <w:sz w:val="21"/>
        </w:rPr>
        <w:t>.</w:t>
      </w:r>
    </w:p>
    <w:p>
      <w:pPr>
        <w:spacing w:after="120" w:before="0" w:line="276" w:lineRule="auto"/>
      </w:pPr>
      <w:r>
        <w:rPr>
          <w:rFonts w:ascii="Calibri" w:hAnsi="Calibri"/>
          <w:b w:val="0"/>
          <w:sz w:val="21"/>
        </w:rPr>
        <w:t xml:space="preserve">A consequência para um modelo treinado nessa coluna é direta: ele aprende o </w:t>
      </w:r>
      <w:r>
        <w:rPr>
          <w:rFonts w:ascii="Calibri" w:hAnsi="Calibri"/>
          <w:b/>
          <w:sz w:val="21"/>
        </w:rPr>
        <w:t>teto</w:t>
      </w:r>
      <w:r>
        <w:rPr>
          <w:rFonts w:ascii="Calibri" w:hAnsi="Calibri"/>
          <w:b w:val="0"/>
          <w:sz w:val="21"/>
        </w:rPr>
        <w:t xml:space="preserve"> que a loja conseguiu vender, e não a demanda que existia de fato. Em itens sujeitos a ruptura, isso faz o modelo </w:t>
      </w:r>
      <w:r>
        <w:rPr>
          <w:rFonts w:ascii="Calibri" w:hAnsi="Calibri"/>
          <w:b/>
          <w:sz w:val="21"/>
        </w:rPr>
        <w:t>subestimar</w:t>
      </w:r>
      <w:r>
        <w:rPr>
          <w:rFonts w:ascii="Calibri" w:hAnsi="Calibri"/>
          <w:b w:val="0"/>
          <w:sz w:val="21"/>
        </w:rPr>
        <w:t xml:space="preserve"> a demanda — e o erro se concentra exatamente nos dias em que o cliente queria comprar mais. É também por isso que o estoque de segurança (pergunta 4) tem um papel central: ele protege contra essa subestimação.</w:t>
      </w:r>
    </w:p>
    <w:tbl>
      <w:tblPr>
        <w:tblW w:type="auto" w:w="0"/>
        <w:tblLayout w:type="autofit"/>
        <w:tblLook w:firstColumn="1" w:firstRow="1" w:lastColumn="0" w:lastRow="0" w:noHBand="0" w:noVBand="1" w:val="04A0"/>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746"/>
      </w:tblGrid>
      <w:tr>
        <w:tc>
          <w:tcPr>
            <w:tcW w:type="dxa" w:w="9746"/>
            <w:shd w:val="clear" w:color="auto" w:fill="FBF1DF"/>
            <w:tcMar>
              <w:top w:w="90" w:type="dxa"/>
              <w:left w:w="140" w:type="dxa"/>
              <w:bottom w:w="90" w:type="dxa"/>
              <w:right w:w="140" w:type="dxa"/>
            </w:tcMar>
          </w:tcPr>
          <w:p>
            <w:pPr>
              <w:spacing w:after="0"/>
            </w:pPr>
            <w:r>
              <w:rPr>
                <w:rFonts w:ascii="Calibri" w:hAnsi="Calibri"/>
                <w:b/>
                <w:color w:val="A96400"/>
                <w:sz w:val="20"/>
              </w:rPr>
              <w:t xml:space="preserve">Cuidado que vale para qualquer projeto:  </w:t>
            </w:r>
            <w:r>
              <w:rPr>
                <w:rFonts w:ascii="Calibri" w:hAnsi="Calibri"/>
                <w:b w:val="0"/>
                <w:sz w:val="20"/>
              </w:rPr>
              <w:t xml:space="preserve">venda registrada </w:t>
            </w:r>
            <w:r>
              <w:rPr>
                <w:rFonts w:ascii="Calibri" w:hAnsi="Calibri"/>
                <w:b/>
                <w:sz w:val="20"/>
              </w:rPr>
              <w:t>não é</w:t>
            </w:r>
            <w:r>
              <w:rPr>
                <w:rFonts w:ascii="Calibri" w:hAnsi="Calibri"/>
                <w:b w:val="0"/>
                <w:sz w:val="20"/>
              </w:rPr>
              <w:t xml:space="preserve"> demanda. Quando a ruptura é frequente, o dado observado é a demanda </w:t>
            </w:r>
            <w:r>
              <w:rPr>
                <w:rFonts w:ascii="Calibri" w:hAnsi="Calibri"/>
                <w:b/>
                <w:sz w:val="20"/>
              </w:rPr>
              <w:t>truncada</w:t>
            </w:r>
            <w:r>
              <w:rPr>
                <w:rFonts w:ascii="Calibri" w:hAnsi="Calibri"/>
                <w:b w:val="0"/>
                <w:sz w:val="20"/>
              </w:rPr>
              <w:t xml:space="preserve"> por falta de produto — e não a demanda real.</w:t>
            </w:r>
          </w:p>
        </w:tc>
      </w:tr>
    </w:tbl>
    <w:p>
      <w:pPr>
        <w:spacing w:after="80"/>
      </w:pPr>
    </w:p>
    <w:p>
      <w:pPr>
        <w:spacing w:before="200" w:after="80"/>
      </w:pPr>
      <w:r>
        <w:rPr>
          <w:rFonts w:ascii="Calibri" w:hAnsi="Calibri"/>
          <w:b/>
          <w:color w:val="0F3D5C"/>
          <w:sz w:val="23"/>
        </w:rPr>
        <w:t>2.3 — O pedido abastece o mesmo elo da cadeia?</w:t>
      </w:r>
    </w:p>
    <w:p>
      <w:pPr>
        <w:spacing w:after="120" w:before="0" w:line="276" w:lineRule="auto"/>
      </w:pPr>
      <w:r>
        <w:rPr>
          <w:rFonts w:ascii="Calibri" w:hAnsi="Calibri"/>
          <w:b/>
          <w:sz w:val="21"/>
        </w:rPr>
        <w:t>Não.</w:t>
      </w:r>
      <w:r>
        <w:rPr>
          <w:rFonts w:ascii="Calibri" w:hAnsi="Calibri"/>
          <w:b w:val="0"/>
          <w:sz w:val="21"/>
        </w:rPr>
        <w:t xml:space="preserve"> E esse é um ponto que a intuição costuma errar. A coluna `estoque_total` mede o estoque somado nas </w:t>
      </w:r>
      <w:r>
        <w:rPr>
          <w:rFonts w:ascii="Calibri" w:hAnsi="Calibri"/>
          <w:b/>
          <w:sz w:val="21"/>
        </w:rPr>
        <w:t>lojas</w:t>
      </w:r>
      <w:r>
        <w:rPr>
          <w:rFonts w:ascii="Calibri" w:hAnsi="Calibri"/>
          <w:b w:val="0"/>
          <w:sz w:val="21"/>
        </w:rPr>
        <w:t xml:space="preserve">, ao </w:t>
      </w:r>
      <w:r>
        <w:rPr>
          <w:rFonts w:ascii="Calibri" w:hAnsi="Calibri"/>
          <w:b/>
          <w:sz w:val="21"/>
        </w:rPr>
        <w:t>final do dia</w:t>
      </w:r>
      <w:r>
        <w:rPr>
          <w:rFonts w:ascii="Calibri" w:hAnsi="Calibri"/>
          <w:b w:val="0"/>
          <w:sz w:val="21"/>
        </w:rPr>
        <w:t xml:space="preserve"> — é o último elo da cadeia, o ponto de venda, já consumido pelo dia. Já o pedido que estamos calculando abastece o </w:t>
      </w:r>
      <w:r>
        <w:rPr>
          <w:rFonts w:ascii="Calibri" w:hAnsi="Calibri"/>
          <w:b/>
          <w:sz w:val="21"/>
        </w:rPr>
        <w:t>centro de distribuição</w:t>
      </w:r>
      <w:r>
        <w:rPr>
          <w:rFonts w:ascii="Calibri" w:hAnsi="Calibri"/>
          <w:b w:val="0"/>
          <w:sz w:val="21"/>
        </w:rPr>
        <w:t>: Rafael compra do fornecedor para o CD, e o CD é quem reabastece as 144 lojas.</w:t>
      </w:r>
    </w:p>
    <w:p>
      <w:pPr>
        <w:spacing w:after="120" w:before="0" w:line="276" w:lineRule="auto"/>
      </w:pPr>
      <w:r>
        <w:rPr>
          <w:rFonts w:ascii="Calibri" w:hAnsi="Calibri"/>
          <w:b w:val="0"/>
          <w:sz w:val="21"/>
        </w:rPr>
        <w:t xml:space="preserve">São, portanto, </w:t>
      </w:r>
      <w:r>
        <w:rPr>
          <w:rFonts w:ascii="Calibri" w:hAnsi="Calibri"/>
          <w:b/>
          <w:sz w:val="21"/>
        </w:rPr>
        <w:t>elos diferentes</w:t>
      </w:r>
      <w:r>
        <w:rPr>
          <w:rFonts w:ascii="Calibri" w:hAnsi="Calibri"/>
          <w:b w:val="0"/>
          <w:sz w:val="21"/>
        </w:rPr>
        <w:t xml:space="preserve">. Por isso não se desconta `estoque_total` na conta do pedido: o que desconta é o estoque </w:t>
      </w:r>
      <w:r>
        <w:rPr>
          <w:rFonts w:ascii="Calibri" w:hAnsi="Calibri"/>
          <w:b/>
          <w:sz w:val="21"/>
        </w:rPr>
        <w:t>disponível no CD</w:t>
      </w:r>
      <w:r>
        <w:rPr>
          <w:rFonts w:ascii="Calibri" w:hAnsi="Calibri"/>
          <w:b w:val="0"/>
          <w:sz w:val="21"/>
        </w:rPr>
        <w:t>, informado pelo negócio. Na aplicação, esse valor é um campo preenchido pelo próprio usuário (no exemplo da pergunta 4, 3.000 unidades).</w:t>
      </w:r>
    </w:p>
    <w:tbl>
      <w:tblPr>
        <w:tblW w:type="auto" w:w="0"/>
        <w:tblLayout w:type="autofit"/>
        <w:tblLook w:firstColumn="1" w:firstRow="1" w:lastColumn="0" w:lastRow="0" w:noHBand="0" w:noVBand="1" w:val="04A0"/>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746"/>
      </w:tblGrid>
      <w:tr>
        <w:tc>
          <w:tcPr>
            <w:tcW w:type="dxa" w:w="9746"/>
            <w:shd w:val="clear" w:color="auto" w:fill="FBF1DF"/>
            <w:tcMar>
              <w:top w:w="90" w:type="dxa"/>
              <w:left w:w="140" w:type="dxa"/>
              <w:bottom w:w="90" w:type="dxa"/>
              <w:right w:w="140" w:type="dxa"/>
            </w:tcMar>
          </w:tcPr>
          <w:p>
            <w:pPr>
              <w:spacing w:after="0"/>
            </w:pPr>
            <w:r>
              <w:rPr>
                <w:rFonts w:ascii="Calibri" w:hAnsi="Calibri"/>
                <w:b/>
                <w:color w:val="A96400"/>
                <w:sz w:val="20"/>
              </w:rPr>
              <w:t xml:space="preserve">Foi exatamente aqui que o processo atual travou:  </w:t>
            </w:r>
            <w:r>
              <w:rPr>
                <w:rFonts w:ascii="Calibri" w:hAnsi="Calibri"/>
                <w:b w:val="0"/>
                <w:sz w:val="20"/>
              </w:rPr>
              <w:t xml:space="preserve">a média móvel apontava cerca de 300 unidades/dia e o relatório de estoque mostrava mais de 10.000 unidades — a conta bruta zerava o pedido. O estoque de </w:t>
            </w:r>
            <w:r>
              <w:rPr>
                <w:rFonts w:ascii="Calibri" w:hAnsi="Calibri"/>
                <w:b/>
                <w:sz w:val="20"/>
              </w:rPr>
              <w:t>loja</w:t>
            </w:r>
            <w:r>
              <w:rPr>
                <w:rFonts w:ascii="Calibri" w:hAnsi="Calibri"/>
                <w:b w:val="0"/>
                <w:sz w:val="20"/>
              </w:rPr>
              <w:t xml:space="preserve"> não é o estoque que serve de base para o pedido do </w:t>
            </w:r>
            <w:r>
              <w:rPr>
                <w:rFonts w:ascii="Calibri" w:hAnsi="Calibri"/>
                <w:b/>
                <w:sz w:val="20"/>
              </w:rPr>
              <w:t>CD</w:t>
            </w:r>
            <w:r>
              <w:rPr>
                <w:rFonts w:ascii="Calibri" w:hAnsi="Calibri"/>
                <w:b w:val="0"/>
                <w:sz w:val="20"/>
              </w:rPr>
              <w:t>.</w:t>
            </w:r>
          </w:p>
        </w:tc>
      </w:tr>
    </w:tbl>
    <w:p>
      <w:pPr>
        <w:spacing w:after="80"/>
      </w:pPr>
    </w:p>
    <w:p>
      <w:pPr>
        <w:spacing w:before="200" w:after="80"/>
      </w:pPr>
      <w:r>
        <w:rPr>
          <w:rFonts w:ascii="Calibri" w:hAnsi="Calibri"/>
          <w:b/>
          <w:color w:val="0F3D5C"/>
          <w:sz w:val="23"/>
        </w:rPr>
        <w:t>2.4 — Itens que não deveriam estar no escopo</w:t>
      </w:r>
    </w:p>
    <w:p>
      <w:pPr>
        <w:spacing w:after="120" w:before="0" w:line="276" w:lineRule="auto"/>
      </w:pPr>
      <w:r>
        <w:rPr>
          <w:rFonts w:ascii="Calibri" w:hAnsi="Calibri"/>
          <w:b w:val="0"/>
          <w:sz w:val="21"/>
        </w:rPr>
        <w:t xml:space="preserve">Comparamos, para cada item, a média de venda dos últimos 90 dias com a média do período anterior. Uma razão muito baixa indica item que perdeu volume de forma estrutural — sinal de descontinuação. Adotamos o corte de </w:t>
      </w:r>
      <w:r>
        <w:rPr>
          <w:rFonts w:ascii="Calibri" w:hAnsi="Calibri"/>
          <w:b/>
          <w:sz w:val="21"/>
        </w:rPr>
        <w:t>razão abaixo de 0,6</w:t>
      </w:r>
      <w:r>
        <w:rPr>
          <w:rFonts w:ascii="Calibri" w:hAnsi="Calibri"/>
          <w:b w:val="0"/>
          <w:sz w:val="21"/>
        </w:rPr>
        <w:t xml:space="preserve"> para retirá-lo do painel:</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1949"/>
        <w:gridCol w:w="1949"/>
        <w:gridCol w:w="1949"/>
        <w:gridCol w:w="1949"/>
        <w:gridCol w:w="1949"/>
      </w:tblGrid>
      <w:tr>
        <w:tc>
          <w:tcPr>
            <w:tcW w:type="dxa" w:w="1361"/>
            <w:shd w:val="clear" w:color="auto" w:fill="0F3D5C"/>
            <w:tcMar>
              <w:top w:w="50" w:type="dxa"/>
              <w:left w:w="110" w:type="dxa"/>
              <w:bottom w:w="50" w:type="dxa"/>
              <w:right w:w="110" w:type="dxa"/>
            </w:tcMar>
          </w:tcPr>
          <w:p>
            <w:pPr>
              <w:spacing w:after="0"/>
            </w:pPr>
            <w:r>
              <w:rPr>
                <w:rFonts w:ascii="Calibri" w:hAnsi="Calibri"/>
                <w:b/>
                <w:color w:val="FFFFFF"/>
                <w:sz w:val="19"/>
              </w:rPr>
              <w:t>Produto</w:t>
            </w:r>
          </w:p>
        </w:tc>
        <w:tc>
          <w:tcPr>
            <w:tcW w:type="dxa" w:w="2268"/>
            <w:shd w:val="clear" w:color="auto" w:fill="0F3D5C"/>
            <w:tcMar>
              <w:top w:w="50" w:type="dxa"/>
              <w:left w:w="110" w:type="dxa"/>
              <w:bottom w:w="50" w:type="dxa"/>
              <w:right w:w="110" w:type="dxa"/>
            </w:tcMar>
          </w:tcPr>
          <w:p>
            <w:pPr>
              <w:spacing w:after="0"/>
            </w:pPr>
            <w:r>
              <w:rPr>
                <w:rFonts w:ascii="Calibri" w:hAnsi="Calibri"/>
                <w:b/>
                <w:color w:val="FFFFFF"/>
                <w:sz w:val="19"/>
              </w:rPr>
              <w:t>Média recente (90 dias)</w:t>
            </w:r>
          </w:p>
        </w:tc>
        <w:tc>
          <w:tcPr>
            <w:tcW w:type="dxa" w:w="1814"/>
            <w:shd w:val="clear" w:color="auto" w:fill="0F3D5C"/>
            <w:tcMar>
              <w:top w:w="50" w:type="dxa"/>
              <w:left w:w="110" w:type="dxa"/>
              <w:bottom w:w="50" w:type="dxa"/>
              <w:right w:w="110" w:type="dxa"/>
            </w:tcMar>
          </w:tcPr>
          <w:p>
            <w:pPr>
              <w:spacing w:after="0"/>
            </w:pPr>
            <w:r>
              <w:rPr>
                <w:rFonts w:ascii="Calibri" w:hAnsi="Calibri"/>
                <w:b/>
                <w:color w:val="FFFFFF"/>
                <w:sz w:val="19"/>
              </w:rPr>
              <w:t>Média anterior</w:t>
            </w:r>
          </w:p>
        </w:tc>
        <w:tc>
          <w:tcPr>
            <w:tcW w:type="dxa" w:w="1134"/>
            <w:shd w:val="clear" w:color="auto" w:fill="0F3D5C"/>
            <w:tcMar>
              <w:top w:w="50" w:type="dxa"/>
              <w:left w:w="110" w:type="dxa"/>
              <w:bottom w:w="50" w:type="dxa"/>
              <w:right w:w="110" w:type="dxa"/>
            </w:tcMar>
          </w:tcPr>
          <w:p>
            <w:pPr>
              <w:spacing w:after="0"/>
            </w:pPr>
            <w:r>
              <w:rPr>
                <w:rFonts w:ascii="Calibri" w:hAnsi="Calibri"/>
                <w:b/>
                <w:color w:val="FFFFFF"/>
                <w:sz w:val="19"/>
              </w:rPr>
              <w:t>Razão</w:t>
            </w:r>
          </w:p>
        </w:tc>
        <w:tc>
          <w:tcPr>
            <w:tcW w:type="dxa" w:w="2381"/>
            <w:shd w:val="clear" w:color="auto" w:fill="0F3D5C"/>
            <w:tcMar>
              <w:top w:w="50" w:type="dxa"/>
              <w:left w:w="110" w:type="dxa"/>
              <w:bottom w:w="50" w:type="dxa"/>
              <w:right w:w="110" w:type="dxa"/>
            </w:tcMar>
          </w:tcPr>
          <w:p>
            <w:pPr>
              <w:spacing w:after="0"/>
            </w:pPr>
            <w:r>
              <w:rPr>
                <w:rFonts w:ascii="Calibri" w:hAnsi="Calibri"/>
                <w:b/>
                <w:color w:val="FFFFFF"/>
                <w:sz w:val="19"/>
              </w:rPr>
              <w:t>Leitura</w:t>
            </w:r>
          </w:p>
        </w:tc>
      </w:tr>
      <w:tr>
        <w:tc>
          <w:tcPr>
            <w:tcW w:type="dxa" w:w="1361"/>
            <w:tcMar>
              <w:top w:w="45" w:type="dxa"/>
              <w:left w:w="110" w:type="dxa"/>
              <w:bottom w:w="45" w:type="dxa"/>
              <w:right w:w="110" w:type="dxa"/>
            </w:tcMar>
          </w:tcPr>
          <w:p>
            <w:pPr>
              <w:spacing w:after="0"/>
            </w:pPr>
            <w:r>
              <w:rPr>
                <w:rFonts w:ascii="Calibri" w:hAnsi="Calibri"/>
                <w:b w:val="0"/>
                <w:sz w:val="19"/>
              </w:rPr>
              <w:t>P0438</w:t>
            </w:r>
          </w:p>
        </w:tc>
        <w:tc>
          <w:tcPr>
            <w:tcW w:type="dxa" w:w="2268"/>
            <w:tcMar>
              <w:top w:w="45" w:type="dxa"/>
              <w:left w:w="110" w:type="dxa"/>
              <w:bottom w:w="45" w:type="dxa"/>
              <w:right w:w="110" w:type="dxa"/>
            </w:tcMar>
          </w:tcPr>
          <w:p>
            <w:pPr>
              <w:spacing w:after="0"/>
            </w:pPr>
            <w:r>
              <w:rPr>
                <w:rFonts w:ascii="Calibri" w:hAnsi="Calibri"/>
                <w:b w:val="0"/>
                <w:sz w:val="19"/>
              </w:rPr>
              <w:t>0,05 un</w:t>
            </w:r>
          </w:p>
        </w:tc>
        <w:tc>
          <w:tcPr>
            <w:tcW w:type="dxa" w:w="1814"/>
            <w:tcMar>
              <w:top w:w="45" w:type="dxa"/>
              <w:left w:w="110" w:type="dxa"/>
              <w:bottom w:w="45" w:type="dxa"/>
              <w:right w:w="110" w:type="dxa"/>
            </w:tcMar>
          </w:tcPr>
          <w:p>
            <w:pPr>
              <w:spacing w:after="0"/>
            </w:pPr>
            <w:r>
              <w:rPr>
                <w:rFonts w:ascii="Calibri" w:hAnsi="Calibri"/>
                <w:b w:val="0"/>
                <w:sz w:val="19"/>
              </w:rPr>
              <w:t>274,49 un</w:t>
            </w:r>
          </w:p>
        </w:tc>
        <w:tc>
          <w:tcPr>
            <w:tcW w:type="dxa" w:w="1134"/>
            <w:tcMar>
              <w:top w:w="45" w:type="dxa"/>
              <w:left w:w="110" w:type="dxa"/>
              <w:bottom w:w="45" w:type="dxa"/>
              <w:right w:w="110" w:type="dxa"/>
            </w:tcMar>
          </w:tcPr>
          <w:p>
            <w:pPr>
              <w:spacing w:after="0"/>
            </w:pPr>
            <w:r>
              <w:rPr>
                <w:rFonts w:ascii="Calibri" w:hAnsi="Calibri"/>
                <w:b w:val="0"/>
                <w:sz w:val="19"/>
              </w:rPr>
              <w:t>0,0002</w:t>
            </w:r>
          </w:p>
        </w:tc>
        <w:tc>
          <w:tcPr>
            <w:tcW w:type="dxa" w:w="2381"/>
            <w:tcMar>
              <w:top w:w="45" w:type="dxa"/>
              <w:left w:w="110" w:type="dxa"/>
              <w:bottom w:w="45" w:type="dxa"/>
              <w:right w:w="110" w:type="dxa"/>
            </w:tcMar>
          </w:tcPr>
          <w:p>
            <w:pPr>
              <w:spacing w:after="0"/>
            </w:pPr>
            <w:r>
              <w:rPr>
                <w:rFonts w:ascii="Calibri" w:hAnsi="Calibri"/>
                <w:b w:val="0"/>
                <w:sz w:val="19"/>
              </w:rPr>
              <w:t>Praticamente sem venda — item morto.</w:t>
            </w:r>
          </w:p>
        </w:tc>
      </w:tr>
      <w:tr>
        <w:tc>
          <w:tcPr>
            <w:tcW w:type="dxa" w:w="1361"/>
            <w:tcMar>
              <w:top w:w="45" w:type="dxa"/>
              <w:left w:w="110" w:type="dxa"/>
              <w:bottom w:w="45" w:type="dxa"/>
              <w:right w:w="110" w:type="dxa"/>
            </w:tcMar>
            <w:shd w:val="clear" w:color="auto" w:fill="F2F6F9"/>
          </w:tcPr>
          <w:p>
            <w:pPr>
              <w:spacing w:after="0"/>
            </w:pPr>
            <w:r>
              <w:rPr>
                <w:rFonts w:ascii="Calibri" w:hAnsi="Calibri"/>
                <w:b w:val="0"/>
                <w:sz w:val="19"/>
              </w:rPr>
              <w:t>P0051</w:t>
            </w:r>
          </w:p>
        </w:tc>
        <w:tc>
          <w:tcPr>
            <w:tcW w:type="dxa" w:w="2268"/>
            <w:tcMar>
              <w:top w:w="45" w:type="dxa"/>
              <w:left w:w="110" w:type="dxa"/>
              <w:bottom w:w="45" w:type="dxa"/>
              <w:right w:w="110" w:type="dxa"/>
            </w:tcMar>
            <w:shd w:val="clear" w:color="auto" w:fill="F2F6F9"/>
          </w:tcPr>
          <w:p>
            <w:pPr>
              <w:spacing w:after="0"/>
            </w:pPr>
            <w:r>
              <w:rPr>
                <w:rFonts w:ascii="Calibri" w:hAnsi="Calibri"/>
                <w:b w:val="0"/>
                <w:sz w:val="19"/>
              </w:rPr>
              <w:t>28,37 un</w:t>
            </w:r>
          </w:p>
        </w:tc>
        <w:tc>
          <w:tcPr>
            <w:tcW w:type="dxa" w:w="1814"/>
            <w:tcMar>
              <w:top w:w="45" w:type="dxa"/>
              <w:left w:w="110" w:type="dxa"/>
              <w:bottom w:w="45" w:type="dxa"/>
              <w:right w:w="110" w:type="dxa"/>
            </w:tcMar>
            <w:shd w:val="clear" w:color="auto" w:fill="F2F6F9"/>
          </w:tcPr>
          <w:p>
            <w:pPr>
              <w:spacing w:after="0"/>
            </w:pPr>
            <w:r>
              <w:rPr>
                <w:rFonts w:ascii="Calibri" w:hAnsi="Calibri"/>
                <w:b w:val="0"/>
                <w:sz w:val="19"/>
              </w:rPr>
              <w:t>263,31 un</w:t>
            </w:r>
          </w:p>
        </w:tc>
        <w:tc>
          <w:tcPr>
            <w:tcW w:type="dxa" w:w="1134"/>
            <w:tcMar>
              <w:top w:w="45" w:type="dxa"/>
              <w:left w:w="110" w:type="dxa"/>
              <w:bottom w:w="45" w:type="dxa"/>
              <w:right w:w="110" w:type="dxa"/>
            </w:tcMar>
            <w:shd w:val="clear" w:color="auto" w:fill="F2F6F9"/>
          </w:tcPr>
          <w:p>
            <w:pPr>
              <w:spacing w:after="0"/>
            </w:pPr>
            <w:r>
              <w:rPr>
                <w:rFonts w:ascii="Calibri" w:hAnsi="Calibri"/>
                <w:b w:val="0"/>
                <w:sz w:val="19"/>
              </w:rPr>
              <w:t>0,11</w:t>
            </w:r>
          </w:p>
        </w:tc>
        <w:tc>
          <w:tcPr>
            <w:tcW w:type="dxa" w:w="2381"/>
            <w:tcMar>
              <w:top w:w="45" w:type="dxa"/>
              <w:left w:w="110" w:type="dxa"/>
              <w:bottom w:w="45" w:type="dxa"/>
              <w:right w:w="110" w:type="dxa"/>
            </w:tcMar>
            <w:shd w:val="clear" w:color="auto" w:fill="F2F6F9"/>
          </w:tcPr>
          <w:p>
            <w:pPr>
              <w:spacing w:after="0"/>
            </w:pPr>
            <w:r>
              <w:rPr>
                <w:rFonts w:ascii="Calibri" w:hAnsi="Calibri"/>
                <w:b w:val="0"/>
                <w:sz w:val="19"/>
              </w:rPr>
              <w:t>Queda muito forte de volume.</w:t>
            </w:r>
          </w:p>
        </w:tc>
      </w:tr>
      <w:tr>
        <w:tc>
          <w:tcPr>
            <w:tcW w:type="dxa" w:w="1361"/>
            <w:tcMar>
              <w:top w:w="45" w:type="dxa"/>
              <w:left w:w="110" w:type="dxa"/>
              <w:bottom w:w="45" w:type="dxa"/>
              <w:right w:w="110" w:type="dxa"/>
            </w:tcMar>
          </w:tcPr>
          <w:p>
            <w:pPr>
              <w:spacing w:after="0"/>
            </w:pPr>
            <w:r>
              <w:rPr>
                <w:rFonts w:ascii="Calibri" w:hAnsi="Calibri"/>
                <w:b w:val="0"/>
                <w:sz w:val="19"/>
              </w:rPr>
              <w:t>P0079</w:t>
            </w:r>
          </w:p>
        </w:tc>
        <w:tc>
          <w:tcPr>
            <w:tcW w:type="dxa" w:w="2268"/>
            <w:tcMar>
              <w:top w:w="45" w:type="dxa"/>
              <w:left w:w="110" w:type="dxa"/>
              <w:bottom w:w="45" w:type="dxa"/>
              <w:right w:w="110" w:type="dxa"/>
            </w:tcMar>
          </w:tcPr>
          <w:p>
            <w:pPr>
              <w:spacing w:after="0"/>
            </w:pPr>
            <w:r>
              <w:rPr>
                <w:rFonts w:ascii="Calibri" w:hAnsi="Calibri"/>
                <w:b w:val="0"/>
                <w:sz w:val="19"/>
              </w:rPr>
              <w:t>4,32 un</w:t>
            </w:r>
          </w:p>
        </w:tc>
        <w:tc>
          <w:tcPr>
            <w:tcW w:type="dxa" w:w="1814"/>
            <w:tcMar>
              <w:top w:w="45" w:type="dxa"/>
              <w:left w:w="110" w:type="dxa"/>
              <w:bottom w:w="45" w:type="dxa"/>
              <w:right w:w="110" w:type="dxa"/>
            </w:tcMar>
          </w:tcPr>
          <w:p>
            <w:pPr>
              <w:spacing w:after="0"/>
            </w:pPr>
            <w:r>
              <w:rPr>
                <w:rFonts w:ascii="Calibri" w:hAnsi="Calibri"/>
                <w:b w:val="0"/>
                <w:sz w:val="19"/>
              </w:rPr>
              <w:t>31,45 un</w:t>
            </w:r>
          </w:p>
        </w:tc>
        <w:tc>
          <w:tcPr>
            <w:tcW w:type="dxa" w:w="1134"/>
            <w:tcMar>
              <w:top w:w="45" w:type="dxa"/>
              <w:left w:w="110" w:type="dxa"/>
              <w:bottom w:w="45" w:type="dxa"/>
              <w:right w:w="110" w:type="dxa"/>
            </w:tcMar>
          </w:tcPr>
          <w:p>
            <w:pPr>
              <w:spacing w:after="0"/>
            </w:pPr>
            <w:r>
              <w:rPr>
                <w:rFonts w:ascii="Calibri" w:hAnsi="Calibri"/>
                <w:b w:val="0"/>
                <w:sz w:val="19"/>
              </w:rPr>
              <w:t>0,14</w:t>
            </w:r>
          </w:p>
        </w:tc>
        <w:tc>
          <w:tcPr>
            <w:tcW w:type="dxa" w:w="2381"/>
            <w:tcMar>
              <w:top w:w="45" w:type="dxa"/>
              <w:left w:w="110" w:type="dxa"/>
              <w:bottom w:w="45" w:type="dxa"/>
              <w:right w:w="110" w:type="dxa"/>
            </w:tcMar>
          </w:tcPr>
          <w:p>
            <w:pPr>
              <w:spacing w:after="0"/>
            </w:pPr>
            <w:r>
              <w:rPr>
                <w:rFonts w:ascii="Calibri" w:hAnsi="Calibri"/>
                <w:b w:val="0"/>
                <w:sz w:val="19"/>
              </w:rPr>
              <w:t>Queda muito forte de volume.</w:t>
            </w:r>
          </w:p>
        </w:tc>
      </w:tr>
    </w:tbl>
    <w:p>
      <w:pPr>
        <w:spacing w:after="40"/>
      </w:pPr>
    </w:p>
    <w:p>
      <w:pPr>
        <w:spacing w:after="120" w:before="0" w:line="276" w:lineRule="auto"/>
      </w:pPr>
      <w:r>
        <w:rPr>
          <w:rFonts w:ascii="Calibri" w:hAnsi="Calibri"/>
          <w:b w:val="0"/>
          <w:sz w:val="21"/>
        </w:rPr>
        <w:t xml:space="preserve">Esses três produtos </w:t>
      </w:r>
      <w:r>
        <w:rPr>
          <w:rFonts w:ascii="Calibri" w:hAnsi="Calibri"/>
          <w:b/>
          <w:sz w:val="21"/>
        </w:rPr>
        <w:t>saem do escopo</w:t>
      </w:r>
      <w:r>
        <w:rPr>
          <w:rFonts w:ascii="Calibri" w:hAnsi="Calibri"/>
          <w:b w:val="0"/>
          <w:sz w:val="21"/>
        </w:rPr>
        <w:t>. Manter no painel um item que saiu de linha significaria produzir previsão e pedido para um produto que já não existe na prateleira — esforço e risco sem retorno.</w:t>
      </w:r>
    </w:p>
    <w:p>
      <w:pPr>
        <w:spacing w:before="320" w:after="100"/>
        <w:pBdr>
          <w:bottom w:val="single" w:sz="10" w:space="3" w:color="0E808C"/>
        </w:pBdr>
      </w:pPr>
      <w:r>
        <w:rPr>
          <w:rFonts w:ascii="Calibri" w:hAnsi="Calibri"/>
          <w:b/>
          <w:color w:val="0E808C"/>
          <w:sz w:val="30"/>
        </w:rPr>
        <w:t xml:space="preserve">3.  </w:t>
      </w:r>
      <w:r>
        <w:rPr>
          <w:rFonts w:ascii="Calibri" w:hAnsi="Calibri"/>
          <w:b/>
          <w:color w:val="0F3D5C"/>
          <w:sz w:val="30"/>
        </w:rPr>
        <w:t>Modelagem e validação</w:t>
      </w:r>
    </w:p>
    <w:p>
      <w:pPr>
        <w:spacing w:after="160" w:line="264" w:lineRule="auto"/>
      </w:pPr>
      <w:r>
        <w:rPr>
          <w:rFonts w:ascii="Calibri" w:hAnsi="Calibri"/>
          <w:i/>
          <w:color w:val="505A66"/>
          <w:sz w:val="19"/>
        </w:rPr>
        <w:t>Estabeleça o baseline contra o qual todo modelo será comparado e explique por que ele vem antes de qualquer sofisticação; defina a regra que separa treino de teste e o critério que decide se uma variável pode entrar em um modelo que enxerga 28 dias à frente — aplique-o ao calendário promocional e à venda do dia anterior; por fim, avalie os modelos de modo que o número prometido ao comitê se sustente ao longo de um ano, e não apenas em uma janela escolhida por acaso.</w:t>
      </w:r>
    </w:p>
    <w:tbl>
      <w:tblPr>
        <w:tblW w:type="auto" w:w="0"/>
        <w:tblLayout w:type="autofit"/>
        <w:tblLook w:firstColumn="1" w:firstRow="1" w:lastColumn="0" w:lastRow="0" w:noHBand="0" w:noVBand="1" w:val="04A0"/>
        <w:tblBorders>
          <w:top w:val="single" w:sz="8" w:space="0" w:color="0E808C"/>
          <w:left w:val="single" w:sz="8" w:space="0" w:color="0E808C"/>
          <w:bottom w:val="single" w:sz="8" w:space="0" w:color="0E808C"/>
          <w:right w:val="single" w:sz="8" w:space="0" w:color="0E808C"/>
          <w:insideH w:val="single" w:sz="8" w:space="0" w:color="0E808C"/>
          <w:insideV w:val="single" w:sz="8" w:space="0" w:color="0E808C"/>
        </w:tblBorders>
      </w:tblPr>
      <w:tblGrid>
        <w:gridCol w:w="9746"/>
      </w:tblGrid>
      <w:tr>
        <w:tc>
          <w:tcPr>
            <w:tcW w:type="dxa" w:w="9746"/>
            <w:shd w:val="clear" w:color="auto" w:fill="E8F3F5"/>
            <w:tcMar>
              <w:top w:w="90" w:type="dxa"/>
              <w:left w:w="140" w:type="dxa"/>
              <w:bottom w:w="90" w:type="dxa"/>
              <w:right w:w="140" w:type="dxa"/>
            </w:tcMar>
          </w:tcPr>
          <w:p>
            <w:pPr>
              <w:spacing w:after="0"/>
            </w:pPr>
            <w:r>
              <w:rPr>
                <w:rFonts w:ascii="Calibri" w:hAnsi="Calibri"/>
                <w:b/>
                <w:color w:val="0E808C"/>
                <w:sz w:val="20"/>
              </w:rPr>
              <w:t xml:space="preserve">Em uma frase:  </w:t>
            </w:r>
            <w:r>
              <w:rPr>
                <w:rFonts w:ascii="Calibri" w:hAnsi="Calibri"/>
                <w:b w:val="0"/>
                <w:sz w:val="20"/>
              </w:rPr>
              <w:t xml:space="preserve">O baseline é a </w:t>
            </w:r>
            <w:r>
              <w:rPr>
                <w:rFonts w:ascii="Calibri" w:hAnsi="Calibri"/>
                <w:b/>
                <w:sz w:val="20"/>
              </w:rPr>
              <w:t>média das últimas 4 semanas</w:t>
            </w:r>
            <w:r>
              <w:rPr>
                <w:rFonts w:ascii="Calibri" w:hAnsi="Calibri"/>
                <w:b w:val="0"/>
                <w:sz w:val="20"/>
              </w:rPr>
              <w:t xml:space="preserve"> — o processo atual. Treino e teste são separados </w:t>
            </w:r>
            <w:r>
              <w:rPr>
                <w:rFonts w:ascii="Calibri" w:hAnsi="Calibri"/>
                <w:b/>
                <w:sz w:val="20"/>
              </w:rPr>
              <w:t>no tempo</w:t>
            </w:r>
            <w:r>
              <w:rPr>
                <w:rFonts w:ascii="Calibri" w:hAnsi="Calibri"/>
                <w:b w:val="0"/>
                <w:sz w:val="20"/>
              </w:rPr>
              <w:t xml:space="preserve">, sem embaralhar. Só entra variável </w:t>
            </w:r>
            <w:r>
              <w:rPr>
                <w:rFonts w:ascii="Calibri" w:hAnsi="Calibri"/>
                <w:b/>
                <w:sz w:val="20"/>
              </w:rPr>
              <w:t>conhecida</w:t>
            </w:r>
            <w:r>
              <w:rPr>
                <w:rFonts w:ascii="Calibri" w:hAnsi="Calibri"/>
                <w:b w:val="0"/>
                <w:sz w:val="20"/>
              </w:rPr>
              <w:t xml:space="preserve"> para os 28 dias à frente. E a validação usa </w:t>
            </w:r>
            <w:r>
              <w:rPr>
                <w:rFonts w:ascii="Calibri" w:hAnsi="Calibri"/>
                <w:b/>
                <w:sz w:val="20"/>
              </w:rPr>
              <w:t>12 janelas ao longo do ano</w:t>
            </w:r>
            <w:r>
              <w:rPr>
                <w:rFonts w:ascii="Calibri" w:hAnsi="Calibri"/>
                <w:b w:val="0"/>
                <w:sz w:val="20"/>
              </w:rPr>
              <w:t>, não uma só.</w:t>
            </w:r>
          </w:p>
        </w:tc>
      </w:tr>
    </w:tbl>
    <w:p>
      <w:pPr>
        <w:spacing w:after="80"/>
      </w:pPr>
    </w:p>
    <w:p>
      <w:pPr>
        <w:spacing w:before="200" w:after="80"/>
      </w:pPr>
      <w:r>
        <w:rPr>
          <w:rFonts w:ascii="Calibri" w:hAnsi="Calibri"/>
          <w:b/>
          <w:color w:val="0F3D5C"/>
          <w:sz w:val="23"/>
        </w:rPr>
        <w:t>3.1 — O baseline vem antes de qualquer sofisticação</w:t>
      </w:r>
    </w:p>
    <w:p>
      <w:pPr>
        <w:spacing w:after="120" w:before="0" w:line="276" w:lineRule="auto"/>
      </w:pPr>
      <w:r>
        <w:rPr>
          <w:rFonts w:ascii="Calibri" w:hAnsi="Calibri"/>
          <w:b w:val="0"/>
          <w:sz w:val="21"/>
        </w:rPr>
        <w:t xml:space="preserve">O baseline é a </w:t>
      </w:r>
      <w:r>
        <w:rPr>
          <w:rFonts w:ascii="Calibri" w:hAnsi="Calibri"/>
          <w:b/>
          <w:sz w:val="21"/>
        </w:rPr>
        <w:t>média das últimas 4 semanas</w:t>
      </w:r>
      <w:r>
        <w:rPr>
          <w:rFonts w:ascii="Calibri" w:hAnsi="Calibri"/>
          <w:b w:val="0"/>
          <w:sz w:val="21"/>
        </w:rPr>
        <w:t xml:space="preserve"> de venda — exatamente o processo que já existe hoje na empresa (a planilha do comprador). Ele vem primeiro por quatro razões:</w:t>
      </w:r>
    </w:p>
    <w:p>
      <w:pPr>
        <w:spacing w:after="80" w:line="269" w:lineRule="auto"/>
        <w:ind w:left="397" w:hanging="198"/>
      </w:pPr>
      <w:r>
        <w:rPr>
          <w:rFonts w:ascii="Calibri" w:hAnsi="Calibri"/>
          <w:color w:val="0E808C"/>
          <w:sz w:val="21"/>
        </w:rPr>
        <w:t xml:space="preserve">▪  </w:t>
      </w:r>
      <w:r>
        <w:rPr>
          <w:rFonts w:ascii="Calibri" w:hAnsi="Calibri"/>
          <w:b w:val="0"/>
          <w:sz w:val="21"/>
        </w:rPr>
        <w:t xml:space="preserve">é o </w:t>
      </w:r>
      <w:r>
        <w:rPr>
          <w:rFonts w:ascii="Calibri" w:hAnsi="Calibri"/>
          <w:b/>
          <w:sz w:val="21"/>
        </w:rPr>
        <w:t>incumbente</w:t>
      </w:r>
      <w:r>
        <w:rPr>
          <w:rFonts w:ascii="Calibri" w:hAnsi="Calibri"/>
          <w:b w:val="0"/>
          <w:sz w:val="21"/>
        </w:rPr>
        <w:t>: qualquer modelo novo só se justifica se fizer melhor do que o que já roda;</w:t>
      </w:r>
    </w:p>
    <w:p>
      <w:pPr>
        <w:spacing w:after="80" w:line="269" w:lineRule="auto"/>
        <w:ind w:left="397" w:hanging="198"/>
      </w:pPr>
      <w:r>
        <w:rPr>
          <w:rFonts w:ascii="Calibri" w:hAnsi="Calibri"/>
          <w:color w:val="0E808C"/>
          <w:sz w:val="21"/>
        </w:rPr>
        <w:t xml:space="preserve">▪  </w:t>
      </w:r>
      <w:r>
        <w:rPr>
          <w:rFonts w:ascii="Calibri" w:hAnsi="Calibri"/>
          <w:b/>
          <w:sz w:val="21"/>
        </w:rPr>
        <w:t>ancora o ganho</w:t>
      </w:r>
      <w:r>
        <w:rPr>
          <w:rFonts w:ascii="Calibri" w:hAnsi="Calibri"/>
          <w:b w:val="0"/>
          <w:sz w:val="21"/>
        </w:rPr>
        <w:t>: sem ele, não há como afirmar quanto se ganhou;</w:t>
      </w:r>
    </w:p>
    <w:p>
      <w:pPr>
        <w:spacing w:after="80" w:line="269" w:lineRule="auto"/>
        <w:ind w:left="397" w:hanging="198"/>
      </w:pPr>
      <w:r>
        <w:rPr>
          <w:rFonts w:ascii="Calibri" w:hAnsi="Calibri"/>
          <w:color w:val="0E808C"/>
          <w:sz w:val="21"/>
        </w:rPr>
        <w:t xml:space="preserve">▪  </w:t>
      </w:r>
      <w:r>
        <w:rPr>
          <w:rFonts w:ascii="Calibri" w:hAnsi="Calibri"/>
          <w:b w:val="0"/>
          <w:sz w:val="21"/>
        </w:rPr>
        <w:t xml:space="preserve">é uma régua </w:t>
      </w:r>
      <w:r>
        <w:rPr>
          <w:rFonts w:ascii="Calibri" w:hAnsi="Calibri"/>
          <w:b/>
          <w:sz w:val="21"/>
        </w:rPr>
        <w:t>honesta</w:t>
      </w:r>
      <w:r>
        <w:rPr>
          <w:rFonts w:ascii="Calibri" w:hAnsi="Calibri"/>
          <w:b w:val="0"/>
          <w:sz w:val="21"/>
        </w:rPr>
        <w:t xml:space="preserve"> — para demanda estável, a média das 4 semanas é difícil de bater;</w:t>
      </w:r>
    </w:p>
    <w:p>
      <w:pPr>
        <w:spacing w:after="80" w:line="269" w:lineRule="auto"/>
        <w:ind w:left="397" w:hanging="198"/>
      </w:pPr>
      <w:r>
        <w:rPr>
          <w:rFonts w:ascii="Calibri" w:hAnsi="Calibri"/>
          <w:color w:val="0E808C"/>
          <w:sz w:val="21"/>
        </w:rPr>
        <w:t xml:space="preserve">▪  </w:t>
      </w:r>
      <w:r>
        <w:rPr>
          <w:rFonts w:ascii="Calibri" w:hAnsi="Calibri"/>
          <w:b w:val="0"/>
          <w:sz w:val="21"/>
        </w:rPr>
        <w:t>define o número que o critério decisivo (custo total) precisa superar.</w:t>
      </w:r>
    </w:p>
    <w:p>
      <w:pPr>
        <w:spacing w:after="120" w:before="0" w:line="276" w:lineRule="auto"/>
      </w:pPr>
      <w:r>
        <w:rPr>
          <w:rFonts w:ascii="Calibri" w:hAnsi="Calibri"/>
          <w:b w:val="0"/>
          <w:sz w:val="21"/>
        </w:rPr>
        <w:t xml:space="preserve">No backtest, o baseline teve o </w:t>
      </w:r>
      <w:r>
        <w:rPr>
          <w:rFonts w:ascii="Calibri" w:hAnsi="Calibri"/>
          <w:b/>
          <w:sz w:val="21"/>
        </w:rPr>
        <w:t>pior</w:t>
      </w:r>
      <w:r>
        <w:rPr>
          <w:rFonts w:ascii="Calibri" w:hAnsi="Calibri"/>
          <w:b w:val="0"/>
          <w:sz w:val="21"/>
        </w:rPr>
        <w:t xml:space="preserve"> erro entre os modelos avaliados (WMAPE médio de </w:t>
      </w:r>
      <w:r>
        <w:rPr>
          <w:rFonts w:ascii="Calibri" w:hAnsi="Calibri"/>
          <w:b/>
          <w:sz w:val="21"/>
        </w:rPr>
        <w:t>22,05%</w:t>
      </w:r>
      <w:r>
        <w:rPr>
          <w:rFonts w:ascii="Calibri" w:hAnsi="Calibri"/>
          <w:b w:val="0"/>
          <w:sz w:val="21"/>
        </w:rPr>
        <w:t>). Há espaço de melhora — mas a régua é real, não um espantalho.</w:t>
      </w:r>
    </w:p>
    <w:p>
      <w:pPr>
        <w:spacing w:before="200" w:after="80"/>
      </w:pPr>
      <w:r>
        <w:rPr>
          <w:rFonts w:ascii="Calibri" w:hAnsi="Calibri"/>
          <w:b/>
          <w:color w:val="0F3D5C"/>
          <w:sz w:val="23"/>
        </w:rPr>
        <w:t>3.2 — A regra que separa treino de teste</w:t>
      </w:r>
    </w:p>
    <w:p>
      <w:pPr>
        <w:spacing w:after="120" w:before="0" w:line="276" w:lineRule="auto"/>
      </w:pPr>
      <w:r>
        <w:rPr>
          <w:rFonts w:ascii="Calibri" w:hAnsi="Calibri"/>
          <w:b w:val="0"/>
          <w:sz w:val="21"/>
        </w:rPr>
        <w:t xml:space="preserve">A separação é </w:t>
      </w:r>
      <w:r>
        <w:rPr>
          <w:rFonts w:ascii="Calibri" w:hAnsi="Calibri"/>
          <w:b/>
          <w:sz w:val="21"/>
        </w:rPr>
        <w:t>temporal e estrita, sem embaralhar dados</w:t>
      </w:r>
      <w:r>
        <w:rPr>
          <w:rFonts w:ascii="Calibri" w:hAnsi="Calibri"/>
          <w:b w:val="0"/>
          <w:sz w:val="21"/>
        </w:rPr>
        <w:t>. O modelo é treinado apenas com o passado e avaliado apenas no futuro. Concretamente:</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1701"/>
            <w:shd w:val="clear" w:color="auto" w:fill="0F3D5C"/>
            <w:tcMar>
              <w:top w:w="50" w:type="dxa"/>
              <w:left w:w="110" w:type="dxa"/>
              <w:bottom w:w="50" w:type="dxa"/>
              <w:right w:w="110" w:type="dxa"/>
            </w:tcMar>
          </w:tcPr>
          <w:p>
            <w:pPr>
              <w:spacing w:after="0"/>
            </w:pPr>
            <w:r>
              <w:rPr>
                <w:rFonts w:ascii="Calibri" w:hAnsi="Calibri"/>
                <w:b/>
                <w:color w:val="FFFFFF"/>
                <w:sz w:val="19"/>
              </w:rPr>
              <w:t>Etapa</w:t>
            </w:r>
          </w:p>
        </w:tc>
        <w:tc>
          <w:tcPr>
            <w:tcW w:type="dxa" w:w="3175"/>
            <w:shd w:val="clear" w:color="auto" w:fill="0F3D5C"/>
            <w:tcMar>
              <w:top w:w="50" w:type="dxa"/>
              <w:left w:w="110" w:type="dxa"/>
              <w:bottom w:w="50" w:type="dxa"/>
              <w:right w:w="110" w:type="dxa"/>
            </w:tcMar>
          </w:tcPr>
          <w:p>
            <w:pPr>
              <w:spacing w:after="0"/>
            </w:pPr>
            <w:r>
              <w:rPr>
                <w:rFonts w:ascii="Calibri" w:hAnsi="Calibri"/>
                <w:b/>
                <w:color w:val="FFFFFF"/>
                <w:sz w:val="19"/>
              </w:rPr>
              <w:t>Período</w:t>
            </w:r>
          </w:p>
        </w:tc>
        <w:tc>
          <w:tcPr>
            <w:tcW w:type="dxa" w:w="4082"/>
            <w:shd w:val="clear" w:color="auto" w:fill="0F3D5C"/>
            <w:tcMar>
              <w:top w:w="50" w:type="dxa"/>
              <w:left w:w="110" w:type="dxa"/>
              <w:bottom w:w="50" w:type="dxa"/>
              <w:right w:w="110" w:type="dxa"/>
            </w:tcMar>
          </w:tcPr>
          <w:p>
            <w:pPr>
              <w:spacing w:after="0"/>
            </w:pPr>
            <w:r>
              <w:rPr>
                <w:rFonts w:ascii="Calibri" w:hAnsi="Calibri"/>
                <w:b/>
                <w:color w:val="FFFFFF"/>
                <w:sz w:val="19"/>
              </w:rPr>
              <w:t>Regra</w:t>
            </w:r>
          </w:p>
        </w:tc>
      </w:tr>
      <w:tr>
        <w:tc>
          <w:tcPr>
            <w:tcW w:type="dxa" w:w="1701"/>
            <w:tcMar>
              <w:top w:w="45" w:type="dxa"/>
              <w:left w:w="110" w:type="dxa"/>
              <w:bottom w:w="45" w:type="dxa"/>
              <w:right w:w="110" w:type="dxa"/>
            </w:tcMar>
          </w:tcPr>
          <w:p>
            <w:pPr>
              <w:spacing w:after="0"/>
            </w:pPr>
            <w:r>
              <w:rPr>
                <w:rFonts w:ascii="Calibri" w:hAnsi="Calibri"/>
                <w:b w:val="0"/>
                <w:sz w:val="19"/>
              </w:rPr>
              <w:t>Treino</w:t>
            </w:r>
          </w:p>
        </w:tc>
        <w:tc>
          <w:tcPr>
            <w:tcW w:type="dxa" w:w="3175"/>
            <w:tcMar>
              <w:top w:w="45" w:type="dxa"/>
              <w:left w:w="110" w:type="dxa"/>
              <w:bottom w:w="45" w:type="dxa"/>
              <w:right w:w="110" w:type="dxa"/>
            </w:tcMar>
          </w:tcPr>
          <w:p>
            <w:pPr>
              <w:spacing w:after="0"/>
            </w:pPr>
            <w:r>
              <w:rPr>
                <w:rFonts w:ascii="Calibri" w:hAnsi="Calibri"/>
                <w:b w:val="0"/>
                <w:sz w:val="19"/>
              </w:rPr>
              <w:t xml:space="preserve">até </w:t>
            </w:r>
            <w:r>
              <w:rPr>
                <w:rFonts w:ascii="Calibri" w:hAnsi="Calibri"/>
                <w:b/>
                <w:sz w:val="19"/>
              </w:rPr>
              <w:t>03/10/2019</w:t>
            </w:r>
          </w:p>
        </w:tc>
        <w:tc>
          <w:tcPr>
            <w:tcW w:type="dxa" w:w="4082"/>
            <w:tcMar>
              <w:top w:w="45" w:type="dxa"/>
              <w:left w:w="110" w:type="dxa"/>
              <w:bottom w:w="45" w:type="dxa"/>
              <w:right w:w="110" w:type="dxa"/>
            </w:tcMar>
          </w:tcPr>
          <w:p>
            <w:pPr>
              <w:spacing w:after="0"/>
            </w:pPr>
            <w:r>
              <w:rPr>
                <w:rFonts w:ascii="Calibri" w:hAnsi="Calibri"/>
                <w:b w:val="0"/>
                <w:sz w:val="19"/>
              </w:rPr>
              <w:t>o modelo só vê o que já aconteceu até essa data.</w:t>
            </w:r>
          </w:p>
        </w:tc>
      </w:tr>
      <w:tr>
        <w:tc>
          <w:tcPr>
            <w:tcW w:type="dxa" w:w="1701"/>
            <w:tcMar>
              <w:top w:w="45" w:type="dxa"/>
              <w:left w:w="110" w:type="dxa"/>
              <w:bottom w:w="45" w:type="dxa"/>
              <w:right w:w="110" w:type="dxa"/>
            </w:tcMar>
            <w:shd w:val="clear" w:color="auto" w:fill="F2F6F9"/>
          </w:tcPr>
          <w:p>
            <w:pPr>
              <w:spacing w:after="0"/>
            </w:pPr>
            <w:r>
              <w:rPr>
                <w:rFonts w:ascii="Calibri" w:hAnsi="Calibri"/>
                <w:b w:val="0"/>
                <w:sz w:val="19"/>
              </w:rPr>
              <w:t>Teste (holdout)</w:t>
            </w:r>
          </w:p>
        </w:tc>
        <w:tc>
          <w:tcPr>
            <w:tcW w:type="dxa" w:w="3175"/>
            <w:tcMar>
              <w:top w:w="45" w:type="dxa"/>
              <w:left w:w="110" w:type="dxa"/>
              <w:bottom w:w="45" w:type="dxa"/>
              <w:right w:w="110" w:type="dxa"/>
            </w:tcMar>
            <w:shd w:val="clear" w:color="auto" w:fill="F2F6F9"/>
          </w:tcPr>
          <w:p>
            <w:pPr>
              <w:spacing w:after="0"/>
            </w:pPr>
            <w:r>
              <w:rPr>
                <w:rFonts w:ascii="Calibri" w:hAnsi="Calibri"/>
                <w:b/>
                <w:sz w:val="19"/>
              </w:rPr>
              <w:t>04/10 a 31/10/2019</w:t>
            </w:r>
            <w:r>
              <w:rPr>
                <w:rFonts w:ascii="Calibri" w:hAnsi="Calibri"/>
                <w:b w:val="0"/>
                <w:sz w:val="19"/>
              </w:rPr>
              <w:t xml:space="preserve"> (28 dias)</w:t>
            </w:r>
          </w:p>
        </w:tc>
        <w:tc>
          <w:tcPr>
            <w:tcW w:type="dxa" w:w="4082"/>
            <w:tcMar>
              <w:top w:w="45" w:type="dxa"/>
              <w:left w:w="110" w:type="dxa"/>
              <w:bottom w:w="45" w:type="dxa"/>
              <w:right w:w="110" w:type="dxa"/>
            </w:tcMar>
            <w:shd w:val="clear" w:color="auto" w:fill="F2F6F9"/>
          </w:tcPr>
          <w:p>
            <w:pPr>
              <w:spacing w:after="0"/>
            </w:pPr>
            <w:r>
              <w:rPr>
                <w:rFonts w:ascii="Calibri" w:hAnsi="Calibri"/>
                <w:b w:val="0"/>
                <w:sz w:val="19"/>
              </w:rPr>
              <w:t>o modelo nunca vê esses dias durante o treino.</w:t>
            </w:r>
          </w:p>
        </w:tc>
      </w:tr>
    </w:tbl>
    <w:p>
      <w:pPr>
        <w:spacing w:after="40"/>
      </w:pPr>
    </w:p>
    <w:p>
      <w:pPr>
        <w:spacing w:after="120" w:before="0" w:line="276" w:lineRule="auto"/>
      </w:pPr>
      <w:r>
        <w:rPr>
          <w:rFonts w:ascii="Calibri" w:hAnsi="Calibri"/>
          <w:b w:val="0"/>
          <w:sz w:val="21"/>
        </w:rPr>
        <w:t xml:space="preserve">Em previsão de demanda, embaralhar os dados criaria </w:t>
      </w:r>
      <w:r>
        <w:rPr>
          <w:rFonts w:ascii="Calibri" w:hAnsi="Calibri"/>
          <w:b/>
          <w:sz w:val="21"/>
        </w:rPr>
        <w:t>vazamento</w:t>
      </w:r>
      <w:r>
        <w:rPr>
          <w:rFonts w:ascii="Calibri" w:hAnsi="Calibri"/>
          <w:b w:val="0"/>
          <w:sz w:val="21"/>
        </w:rPr>
        <w:t>: o modelo teria acesso a informações do futuro e o desempenho pareceria bom — mas falso. Em série temporal, o futuro nunca entra no treino, nem como vizinho.</w:t>
      </w:r>
    </w:p>
    <w:p>
      <w:pPr>
        <w:spacing w:before="200" w:after="80"/>
      </w:pPr>
      <w:r>
        <w:rPr>
          <w:rFonts w:ascii="Calibri" w:hAnsi="Calibri"/>
          <w:b/>
          <w:color w:val="0F3D5C"/>
          <w:sz w:val="23"/>
        </w:rPr>
        <w:t>3.3 — Que informação pode entrar em um modelo que enxerga 28 dias</w:t>
      </w:r>
    </w:p>
    <w:p>
      <w:pPr>
        <w:spacing w:after="120" w:before="0" w:line="276" w:lineRule="auto"/>
      </w:pPr>
      <w:r>
        <w:rPr>
          <w:rFonts w:ascii="Calibri" w:hAnsi="Calibri"/>
          <w:b w:val="0"/>
          <w:sz w:val="21"/>
        </w:rPr>
        <w:t xml:space="preserve">O critério é único e objetivo: </w:t>
      </w:r>
      <w:r>
        <w:rPr>
          <w:rFonts w:ascii="Calibri" w:hAnsi="Calibri"/>
          <w:b/>
          <w:sz w:val="21"/>
        </w:rPr>
        <w:t>a variável só entra se estiver disponível para todo o horizonte de 28 dias no momento em que a previsão é feita.</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2494"/>
            <w:shd w:val="clear" w:color="auto" w:fill="0F3D5C"/>
            <w:tcMar>
              <w:top w:w="50" w:type="dxa"/>
              <w:left w:w="110" w:type="dxa"/>
              <w:bottom w:w="50" w:type="dxa"/>
              <w:right w:w="110" w:type="dxa"/>
            </w:tcMar>
          </w:tcPr>
          <w:p>
            <w:pPr>
              <w:spacing w:after="0"/>
            </w:pPr>
            <w:r>
              <w:rPr>
                <w:rFonts w:ascii="Calibri" w:hAnsi="Calibri"/>
                <w:b/>
                <w:color w:val="FFFFFF"/>
                <w:sz w:val="19"/>
              </w:rPr>
              <w:t>Variável</w:t>
            </w:r>
          </w:p>
        </w:tc>
        <w:tc>
          <w:tcPr>
            <w:tcW w:type="dxa" w:w="3628"/>
            <w:shd w:val="clear" w:color="auto" w:fill="0F3D5C"/>
            <w:tcMar>
              <w:top w:w="50" w:type="dxa"/>
              <w:left w:w="110" w:type="dxa"/>
              <w:bottom w:w="50" w:type="dxa"/>
              <w:right w:w="110" w:type="dxa"/>
            </w:tcMar>
          </w:tcPr>
          <w:p>
            <w:pPr>
              <w:spacing w:after="0"/>
            </w:pPr>
            <w:r>
              <w:rPr>
                <w:rFonts w:ascii="Calibri" w:hAnsi="Calibri"/>
                <w:b/>
                <w:color w:val="FFFFFF"/>
                <w:sz w:val="19"/>
              </w:rPr>
              <w:t>Está disponível nos 28 dias futuros?</w:t>
            </w:r>
          </w:p>
        </w:tc>
        <w:tc>
          <w:tcPr>
            <w:tcW w:type="dxa" w:w="2835"/>
            <w:shd w:val="clear" w:color="auto" w:fill="0F3D5C"/>
            <w:tcMar>
              <w:top w:w="50" w:type="dxa"/>
              <w:left w:w="110" w:type="dxa"/>
              <w:bottom w:w="50" w:type="dxa"/>
              <w:right w:w="110" w:type="dxa"/>
            </w:tcMar>
          </w:tcPr>
          <w:p>
            <w:pPr>
              <w:spacing w:after="0"/>
            </w:pPr>
            <w:r>
              <w:rPr>
                <w:rFonts w:ascii="Calibri" w:hAnsi="Calibri"/>
                <w:b/>
                <w:color w:val="FFFFFF"/>
                <w:sz w:val="19"/>
              </w:rPr>
              <w:t>Entra no modelo?</w:t>
            </w:r>
          </w:p>
        </w:tc>
      </w:tr>
      <w:tr>
        <w:tc>
          <w:tcPr>
            <w:tcW w:type="dxa" w:w="2494"/>
            <w:tcMar>
              <w:top w:w="45" w:type="dxa"/>
              <w:left w:w="110" w:type="dxa"/>
              <w:bottom w:w="45" w:type="dxa"/>
              <w:right w:w="110" w:type="dxa"/>
            </w:tcMar>
          </w:tcPr>
          <w:p>
            <w:pPr>
              <w:spacing w:after="0"/>
            </w:pPr>
            <w:r>
              <w:rPr>
                <w:rFonts w:ascii="Calibri" w:hAnsi="Calibri"/>
                <w:b w:val="0"/>
                <w:sz w:val="19"/>
              </w:rPr>
              <w:t>Calendário promocional (pct_lojas_promo)</w:t>
            </w:r>
          </w:p>
        </w:tc>
        <w:tc>
          <w:tcPr>
            <w:tcW w:type="dxa" w:w="3628"/>
            <w:tcMar>
              <w:top w:w="45" w:type="dxa"/>
              <w:left w:w="110" w:type="dxa"/>
              <w:bottom w:w="45" w:type="dxa"/>
              <w:right w:w="110" w:type="dxa"/>
            </w:tcMar>
          </w:tcPr>
          <w:p>
            <w:pPr>
              <w:spacing w:after="0"/>
            </w:pPr>
            <w:r>
              <w:rPr>
                <w:rFonts w:ascii="Calibri" w:hAnsi="Calibri"/>
                <w:b/>
                <w:sz w:val="19"/>
              </w:rPr>
              <w:t>Sim</w:t>
            </w:r>
            <w:r>
              <w:rPr>
                <w:rFonts w:ascii="Calibri" w:hAnsi="Calibri"/>
                <w:b w:val="0"/>
                <w:sz w:val="19"/>
              </w:rPr>
              <w:t xml:space="preserve"> — o comercial fecha as ações de 6 a 8 semanas antes.</w:t>
            </w:r>
          </w:p>
        </w:tc>
        <w:tc>
          <w:tcPr>
            <w:tcW w:type="dxa" w:w="2835"/>
            <w:tcMar>
              <w:top w:w="45" w:type="dxa"/>
              <w:left w:w="110" w:type="dxa"/>
              <w:bottom w:w="45" w:type="dxa"/>
              <w:right w:w="110" w:type="dxa"/>
            </w:tcMar>
          </w:tcPr>
          <w:p>
            <w:pPr>
              <w:spacing w:after="0"/>
            </w:pPr>
            <w:r>
              <w:rPr>
                <w:rFonts w:ascii="Calibri" w:hAnsi="Calibri"/>
                <w:b/>
                <w:sz w:val="19"/>
              </w:rPr>
              <w:t>Entra</w:t>
            </w:r>
            <w:r>
              <w:rPr>
                <w:rFonts w:ascii="Calibri" w:hAnsi="Calibri"/>
                <w:b w:val="0"/>
                <w:sz w:val="19"/>
              </w:rPr>
              <w:t xml:space="preserve"> (variável exógena futura conhecida).</w:t>
            </w:r>
          </w:p>
        </w:tc>
      </w:tr>
      <w:tr>
        <w:tc>
          <w:tcPr>
            <w:tcW w:type="dxa" w:w="2494"/>
            <w:tcMar>
              <w:top w:w="45" w:type="dxa"/>
              <w:left w:w="110" w:type="dxa"/>
              <w:bottom w:w="45" w:type="dxa"/>
              <w:right w:w="110" w:type="dxa"/>
            </w:tcMar>
            <w:shd w:val="clear" w:color="auto" w:fill="F2F6F9"/>
          </w:tcPr>
          <w:p>
            <w:pPr>
              <w:spacing w:after="0"/>
            </w:pPr>
            <w:r>
              <w:rPr>
                <w:rFonts w:ascii="Calibri" w:hAnsi="Calibri"/>
                <w:b w:val="0"/>
                <w:sz w:val="19"/>
              </w:rPr>
              <w:t>Venda do dia anterior</w:t>
            </w:r>
          </w:p>
        </w:tc>
        <w:tc>
          <w:tcPr>
            <w:tcW w:type="dxa" w:w="3628"/>
            <w:tcMar>
              <w:top w:w="45" w:type="dxa"/>
              <w:left w:w="110" w:type="dxa"/>
              <w:bottom w:w="45" w:type="dxa"/>
              <w:right w:w="110" w:type="dxa"/>
            </w:tcMar>
            <w:shd w:val="clear" w:color="auto" w:fill="F2F6F9"/>
          </w:tcPr>
          <w:p>
            <w:pPr>
              <w:spacing w:after="0"/>
            </w:pPr>
            <w:r>
              <w:rPr>
                <w:rFonts w:ascii="Calibri" w:hAnsi="Calibri"/>
                <w:b/>
                <w:sz w:val="19"/>
              </w:rPr>
              <w:t>Não</w:t>
            </w:r>
            <w:r>
              <w:rPr>
                <w:rFonts w:ascii="Calibri" w:hAnsi="Calibri"/>
                <w:b w:val="0"/>
                <w:sz w:val="19"/>
              </w:rPr>
              <w:t xml:space="preserve"> — só é conhecida no dia, não para 28 dias à frente.</w:t>
            </w:r>
          </w:p>
        </w:tc>
        <w:tc>
          <w:tcPr>
            <w:tcW w:type="dxa" w:w="2835"/>
            <w:tcMar>
              <w:top w:w="45" w:type="dxa"/>
              <w:left w:w="110" w:type="dxa"/>
              <w:bottom w:w="45" w:type="dxa"/>
              <w:right w:w="110" w:type="dxa"/>
            </w:tcMar>
            <w:shd w:val="clear" w:color="auto" w:fill="F2F6F9"/>
          </w:tcPr>
          <w:p>
            <w:pPr>
              <w:spacing w:after="0"/>
            </w:pPr>
            <w:r>
              <w:rPr>
                <w:rFonts w:ascii="Calibri" w:hAnsi="Calibri"/>
                <w:b/>
                <w:sz w:val="19"/>
              </w:rPr>
              <w:t>Não entra</w:t>
            </w:r>
            <w:r>
              <w:rPr>
                <w:rFonts w:ascii="Calibri" w:hAnsi="Calibri"/>
                <w:b w:val="0"/>
                <w:sz w:val="19"/>
              </w:rPr>
              <w:t xml:space="preserve"> (seria vazamento de informação).</w:t>
            </w:r>
          </w:p>
        </w:tc>
      </w:tr>
      <w:tr>
        <w:tc>
          <w:tcPr>
            <w:tcW w:type="dxa" w:w="2494"/>
            <w:tcMar>
              <w:top w:w="45" w:type="dxa"/>
              <w:left w:w="110" w:type="dxa"/>
              <w:bottom w:w="45" w:type="dxa"/>
              <w:right w:w="110" w:type="dxa"/>
            </w:tcMar>
          </w:tcPr>
          <w:p>
            <w:pPr>
              <w:spacing w:after="0"/>
            </w:pPr>
            <w:r>
              <w:rPr>
                <w:rFonts w:ascii="Calibri" w:hAnsi="Calibri"/>
                <w:b w:val="0"/>
                <w:sz w:val="19"/>
              </w:rPr>
              <w:t>Regra de defasagem</w:t>
            </w:r>
          </w:p>
        </w:tc>
        <w:tc>
          <w:tcPr>
            <w:tcW w:type="dxa" w:w="3628"/>
            <w:tcMar>
              <w:top w:w="45" w:type="dxa"/>
              <w:left w:w="110" w:type="dxa"/>
              <w:bottom w:w="45" w:type="dxa"/>
              <w:right w:w="110" w:type="dxa"/>
            </w:tcMar>
          </w:tcPr>
          <w:p>
            <w:pPr>
              <w:spacing w:after="0"/>
            </w:pPr>
            <w:r>
              <w:rPr>
                <w:rFonts w:ascii="Calibri" w:hAnsi="Calibri"/>
                <w:b w:val="0"/>
                <w:sz w:val="19"/>
              </w:rPr>
              <w:t>—</w:t>
            </w:r>
          </w:p>
        </w:tc>
        <w:tc>
          <w:tcPr>
            <w:tcW w:type="dxa" w:w="2835"/>
            <w:tcMar>
              <w:top w:w="45" w:type="dxa"/>
              <w:left w:w="110" w:type="dxa"/>
              <w:bottom w:w="45" w:type="dxa"/>
              <w:right w:w="110" w:type="dxa"/>
            </w:tcMar>
          </w:tcPr>
          <w:p>
            <w:pPr>
              <w:spacing w:after="0"/>
            </w:pPr>
            <w:r>
              <w:rPr>
                <w:rFonts w:ascii="Calibri" w:hAnsi="Calibri"/>
                <w:b w:val="0"/>
                <w:sz w:val="19"/>
              </w:rPr>
              <w:t xml:space="preserve">Valores passados só a partir de </w:t>
            </w:r>
            <w:r>
              <w:rPr>
                <w:rFonts w:ascii="Calibri" w:hAnsi="Calibri"/>
                <w:b/>
                <w:sz w:val="19"/>
              </w:rPr>
              <w:t>28 dias</w:t>
            </w:r>
            <w:r>
              <w:rPr>
                <w:rFonts w:ascii="Calibri" w:hAnsi="Calibri"/>
                <w:b w:val="0"/>
                <w:sz w:val="19"/>
              </w:rPr>
              <w:t xml:space="preserve"> de distância.</w:t>
            </w:r>
          </w:p>
        </w:tc>
      </w:tr>
    </w:tbl>
    <w:p>
      <w:pPr>
        <w:spacing w:after="40"/>
      </w:pPr>
    </w:p>
    <w:p>
      <w:pPr>
        <w:spacing w:after="120" w:before="0" w:line="276" w:lineRule="auto"/>
      </w:pPr>
      <w:r>
        <w:rPr>
          <w:rFonts w:ascii="Calibri" w:hAnsi="Calibri"/>
          <w:b w:val="0"/>
          <w:sz w:val="21"/>
        </w:rPr>
        <w:t xml:space="preserve">A promoção merece entrar: ela multiplica a venda média do P0131 por aproximadamente </w:t>
      </w:r>
      <w:r>
        <w:rPr>
          <w:rFonts w:ascii="Calibri" w:hAnsi="Calibri"/>
          <w:b/>
          <w:sz w:val="21"/>
        </w:rPr>
        <w:t>1,48×</w:t>
      </w:r>
      <w:r>
        <w:rPr>
          <w:rFonts w:ascii="Calibri" w:hAnsi="Calibri"/>
          <w:b w:val="0"/>
          <w:sz w:val="21"/>
        </w:rPr>
        <w:t>, e é conhecida com antecedência — previsível, portanto. Já a venda de ontem é uma armadilha: parece útil, mas não existe para os 28 dias à frente.</w:t>
      </w:r>
    </w:p>
    <w:p>
      <w:pPr>
        <w:spacing w:before="200" w:after="80"/>
      </w:pPr>
      <w:r>
        <w:rPr>
          <w:rFonts w:ascii="Calibri" w:hAnsi="Calibri"/>
          <w:b/>
          <w:color w:val="0F3D5C"/>
          <w:sz w:val="23"/>
        </w:rPr>
        <w:t>3.4 — Validação: um número que se sustenta ao longo do ano</w:t>
      </w:r>
    </w:p>
    <w:p>
      <w:pPr>
        <w:spacing w:after="120" w:before="0" w:line="276" w:lineRule="auto"/>
      </w:pPr>
      <w:r>
        <w:rPr>
          <w:rFonts w:ascii="Calibri" w:hAnsi="Calibri"/>
          <w:b w:val="0"/>
          <w:sz w:val="21"/>
        </w:rPr>
        <w:t xml:space="preserve">Uma única janela de teste pode ter tido sorte. Para que o número prometido ao comitê seja confiável, avaliamos os modelos em </w:t>
      </w:r>
      <w:r>
        <w:rPr>
          <w:rFonts w:ascii="Calibri" w:hAnsi="Calibri"/>
          <w:b/>
          <w:sz w:val="21"/>
        </w:rPr>
        <w:t>12 origens móveis</w:t>
      </w:r>
      <w:r>
        <w:rPr>
          <w:rFonts w:ascii="Calibri" w:hAnsi="Calibri"/>
          <w:b w:val="0"/>
          <w:sz w:val="21"/>
        </w:rPr>
        <w:t>, espaçadas de 14 em 14 dias (a mesma cadência do ciclo de reposição), terminando em 03/10/2019. Em cada origem, o modelo vê só o passado e prevê os 28 dias seguintes.</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3969"/>
            <w:shd w:val="clear" w:color="auto" w:fill="0F3D5C"/>
            <w:tcMar>
              <w:top w:w="50" w:type="dxa"/>
              <w:left w:w="110" w:type="dxa"/>
              <w:bottom w:w="50" w:type="dxa"/>
              <w:right w:w="110" w:type="dxa"/>
            </w:tcMar>
          </w:tcPr>
          <w:p>
            <w:pPr>
              <w:spacing w:after="0"/>
            </w:pPr>
            <w:r>
              <w:rPr>
                <w:rFonts w:ascii="Calibri" w:hAnsi="Calibri"/>
                <w:b/>
                <w:color w:val="FFFFFF"/>
                <w:sz w:val="19"/>
              </w:rPr>
              <w:t>Modelo</w:t>
            </w:r>
          </w:p>
        </w:tc>
        <w:tc>
          <w:tcPr>
            <w:tcW w:type="dxa" w:w="2494"/>
            <w:shd w:val="clear" w:color="auto" w:fill="0F3D5C"/>
            <w:tcMar>
              <w:top w:w="50" w:type="dxa"/>
              <w:left w:w="110" w:type="dxa"/>
              <w:bottom w:w="50" w:type="dxa"/>
              <w:right w:w="110" w:type="dxa"/>
            </w:tcMar>
          </w:tcPr>
          <w:p>
            <w:pPr>
              <w:spacing w:after="0"/>
            </w:pPr>
            <w:r>
              <w:rPr>
                <w:rFonts w:ascii="Calibri" w:hAnsi="Calibri"/>
                <w:b/>
                <w:color w:val="FFFFFF"/>
                <w:sz w:val="19"/>
              </w:rPr>
              <w:t>WMAPE médio (erro)</w:t>
            </w:r>
          </w:p>
        </w:tc>
        <w:tc>
          <w:tcPr>
            <w:tcW w:type="dxa" w:w="2494"/>
            <w:shd w:val="clear" w:color="auto" w:fill="0F3D5C"/>
            <w:tcMar>
              <w:top w:w="50" w:type="dxa"/>
              <w:left w:w="110" w:type="dxa"/>
              <w:bottom w:w="50" w:type="dxa"/>
              <w:right w:w="110" w:type="dxa"/>
            </w:tcMar>
          </w:tcPr>
          <w:p>
            <w:pPr>
              <w:spacing w:after="0"/>
            </w:pPr>
            <w:r>
              <w:rPr>
                <w:rFonts w:ascii="Calibri" w:hAnsi="Calibri"/>
                <w:b/>
                <w:color w:val="FFFFFF"/>
                <w:sz w:val="19"/>
              </w:rPr>
              <w:t>Viés global</w:t>
            </w:r>
          </w:p>
        </w:tc>
      </w:tr>
      <w:tr>
        <w:tc>
          <w:tcPr>
            <w:tcW w:type="dxa" w:w="3969"/>
            <w:tcMar>
              <w:top w:w="45" w:type="dxa"/>
              <w:left w:w="110" w:type="dxa"/>
              <w:bottom w:w="45" w:type="dxa"/>
              <w:right w:w="110" w:type="dxa"/>
            </w:tcMar>
          </w:tcPr>
          <w:p>
            <w:pPr>
              <w:spacing w:after="0"/>
            </w:pPr>
            <w:r>
              <w:rPr>
                <w:rFonts w:ascii="Calibri" w:hAnsi="Calibri"/>
                <w:b w:val="0"/>
                <w:sz w:val="19"/>
              </w:rPr>
              <w:t>Holt-Winters</w:t>
            </w:r>
          </w:p>
        </w:tc>
        <w:tc>
          <w:tcPr>
            <w:tcW w:type="dxa" w:w="2494"/>
            <w:tcMar>
              <w:top w:w="45" w:type="dxa"/>
              <w:left w:w="110" w:type="dxa"/>
              <w:bottom w:w="45" w:type="dxa"/>
              <w:right w:w="110" w:type="dxa"/>
            </w:tcMar>
          </w:tcPr>
          <w:p>
            <w:pPr>
              <w:spacing w:after="0"/>
            </w:pPr>
            <w:r>
              <w:rPr>
                <w:rFonts w:ascii="Calibri" w:hAnsi="Calibri"/>
                <w:b/>
                <w:sz w:val="19"/>
              </w:rPr>
              <w:t>15,36%</w:t>
            </w:r>
          </w:p>
        </w:tc>
        <w:tc>
          <w:tcPr>
            <w:tcW w:type="dxa" w:w="2494"/>
            <w:tcMar>
              <w:top w:w="45" w:type="dxa"/>
              <w:left w:w="110" w:type="dxa"/>
              <w:bottom w:w="45" w:type="dxa"/>
              <w:right w:w="110" w:type="dxa"/>
            </w:tcMar>
          </w:tcPr>
          <w:p>
            <w:pPr>
              <w:spacing w:after="0"/>
            </w:pPr>
            <w:r>
              <w:rPr>
                <w:rFonts w:ascii="Calibri" w:hAnsi="Calibri"/>
                <w:b w:val="0"/>
                <w:sz w:val="19"/>
              </w:rPr>
              <w:t>+1,85%</w:t>
            </w:r>
          </w:p>
        </w:tc>
      </w:tr>
      <w:tr>
        <w:tc>
          <w:tcPr>
            <w:tcW w:type="dxa" w:w="3969"/>
            <w:tcMar>
              <w:top w:w="45" w:type="dxa"/>
              <w:left w:w="110" w:type="dxa"/>
              <w:bottom w:w="45" w:type="dxa"/>
              <w:right w:w="110" w:type="dxa"/>
            </w:tcMar>
            <w:shd w:val="clear" w:color="auto" w:fill="F2F6F9"/>
          </w:tcPr>
          <w:p>
            <w:pPr>
              <w:spacing w:after="0"/>
            </w:pPr>
            <w:r>
              <w:rPr>
                <w:rFonts w:ascii="Calibri" w:hAnsi="Calibri"/>
                <w:b w:val="0"/>
                <w:sz w:val="19"/>
              </w:rPr>
              <w:t>SARIMAX com promoção</w:t>
            </w:r>
          </w:p>
        </w:tc>
        <w:tc>
          <w:tcPr>
            <w:tcW w:type="dxa" w:w="2494"/>
            <w:tcMar>
              <w:top w:w="45" w:type="dxa"/>
              <w:left w:w="110" w:type="dxa"/>
              <w:bottom w:w="45" w:type="dxa"/>
              <w:right w:w="110" w:type="dxa"/>
            </w:tcMar>
            <w:shd w:val="clear" w:color="auto" w:fill="F2F6F9"/>
          </w:tcPr>
          <w:p>
            <w:pPr>
              <w:spacing w:after="0"/>
            </w:pPr>
            <w:r>
              <w:rPr>
                <w:rFonts w:ascii="Calibri" w:hAnsi="Calibri"/>
                <w:b/>
                <w:sz w:val="19"/>
              </w:rPr>
              <w:t>15,39%</w:t>
            </w:r>
          </w:p>
        </w:tc>
        <w:tc>
          <w:tcPr>
            <w:tcW w:type="dxa" w:w="2494"/>
            <w:tcMar>
              <w:top w:w="45" w:type="dxa"/>
              <w:left w:w="110" w:type="dxa"/>
              <w:bottom w:w="45" w:type="dxa"/>
              <w:right w:w="110" w:type="dxa"/>
            </w:tcMar>
            <w:shd w:val="clear" w:color="auto" w:fill="F2F6F9"/>
          </w:tcPr>
          <w:p>
            <w:pPr>
              <w:spacing w:after="0"/>
            </w:pPr>
            <w:r>
              <w:rPr>
                <w:rFonts w:ascii="Calibri" w:hAnsi="Calibri"/>
                <w:b w:val="0"/>
                <w:sz w:val="19"/>
              </w:rPr>
              <w:t>+6,40%</w:t>
            </w:r>
          </w:p>
        </w:tc>
      </w:tr>
      <w:tr>
        <w:tc>
          <w:tcPr>
            <w:tcW w:type="dxa" w:w="3969"/>
            <w:tcMar>
              <w:top w:w="45" w:type="dxa"/>
              <w:left w:w="110" w:type="dxa"/>
              <w:bottom w:w="45" w:type="dxa"/>
              <w:right w:w="110" w:type="dxa"/>
            </w:tcMar>
          </w:tcPr>
          <w:p>
            <w:pPr>
              <w:spacing w:after="0"/>
            </w:pPr>
            <w:r>
              <w:rPr>
                <w:rFonts w:ascii="Calibri" w:hAnsi="Calibri"/>
                <w:b w:val="0"/>
                <w:sz w:val="19"/>
              </w:rPr>
              <w:t>Ingênuo sazonal (repete a última semana)</w:t>
            </w:r>
          </w:p>
        </w:tc>
        <w:tc>
          <w:tcPr>
            <w:tcW w:type="dxa" w:w="2494"/>
            <w:tcMar>
              <w:top w:w="45" w:type="dxa"/>
              <w:left w:w="110" w:type="dxa"/>
              <w:bottom w:w="45" w:type="dxa"/>
              <w:right w:w="110" w:type="dxa"/>
            </w:tcMar>
          </w:tcPr>
          <w:p>
            <w:pPr>
              <w:spacing w:after="0"/>
            </w:pPr>
            <w:r>
              <w:rPr>
                <w:rFonts w:ascii="Calibri" w:hAnsi="Calibri"/>
                <w:b w:val="0"/>
                <w:sz w:val="19"/>
              </w:rPr>
              <w:t>16,15%</w:t>
            </w:r>
          </w:p>
        </w:tc>
        <w:tc>
          <w:tcPr>
            <w:tcW w:type="dxa" w:w="2494"/>
            <w:tcMar>
              <w:top w:w="45" w:type="dxa"/>
              <w:left w:w="110" w:type="dxa"/>
              <w:bottom w:w="45" w:type="dxa"/>
              <w:right w:w="110" w:type="dxa"/>
            </w:tcMar>
          </w:tcPr>
          <w:p>
            <w:pPr>
              <w:spacing w:after="0"/>
            </w:pPr>
            <w:r>
              <w:rPr>
                <w:rFonts w:ascii="Calibri" w:hAnsi="Calibri"/>
                <w:b w:val="0"/>
                <w:sz w:val="19"/>
              </w:rPr>
              <w:t>+0,58%</w:t>
            </w:r>
          </w:p>
        </w:tc>
      </w:tr>
      <w:tr>
        <w:tc>
          <w:tcPr>
            <w:tcW w:type="dxa" w:w="3969"/>
            <w:tcMar>
              <w:top w:w="45" w:type="dxa"/>
              <w:left w:w="110" w:type="dxa"/>
              <w:bottom w:w="45" w:type="dxa"/>
              <w:right w:w="110" w:type="dxa"/>
            </w:tcMar>
            <w:shd w:val="clear" w:color="auto" w:fill="F2F6F9"/>
          </w:tcPr>
          <w:p>
            <w:pPr>
              <w:spacing w:after="0"/>
            </w:pPr>
            <w:r>
              <w:rPr>
                <w:rFonts w:ascii="Calibri" w:hAnsi="Calibri"/>
                <w:b w:val="0"/>
                <w:sz w:val="19"/>
              </w:rPr>
              <w:t>SARIMA sem promoção</w:t>
            </w:r>
          </w:p>
        </w:tc>
        <w:tc>
          <w:tcPr>
            <w:tcW w:type="dxa" w:w="2494"/>
            <w:tcMar>
              <w:top w:w="45" w:type="dxa"/>
              <w:left w:w="110" w:type="dxa"/>
              <w:bottom w:w="45" w:type="dxa"/>
              <w:right w:w="110" w:type="dxa"/>
            </w:tcMar>
            <w:shd w:val="clear" w:color="auto" w:fill="F2F6F9"/>
          </w:tcPr>
          <w:p>
            <w:pPr>
              <w:spacing w:after="0"/>
            </w:pPr>
            <w:r>
              <w:rPr>
                <w:rFonts w:ascii="Calibri" w:hAnsi="Calibri"/>
                <w:b w:val="0"/>
                <w:sz w:val="19"/>
              </w:rPr>
              <w:t>18,18%</w:t>
            </w:r>
          </w:p>
        </w:tc>
        <w:tc>
          <w:tcPr>
            <w:tcW w:type="dxa" w:w="2494"/>
            <w:tcMar>
              <w:top w:w="45" w:type="dxa"/>
              <w:left w:w="110" w:type="dxa"/>
              <w:bottom w:w="45" w:type="dxa"/>
              <w:right w:w="110" w:type="dxa"/>
            </w:tcMar>
            <w:shd w:val="clear" w:color="auto" w:fill="F2F6F9"/>
          </w:tcPr>
          <w:p>
            <w:pPr>
              <w:spacing w:after="0"/>
            </w:pPr>
            <w:r>
              <w:rPr>
                <w:rFonts w:ascii="Calibri" w:hAnsi="Calibri"/>
                <w:b w:val="0"/>
                <w:sz w:val="19"/>
              </w:rPr>
              <w:t>+7,44%</w:t>
            </w:r>
          </w:p>
        </w:tc>
      </w:tr>
      <w:tr>
        <w:tc>
          <w:tcPr>
            <w:tcW w:type="dxa" w:w="3969"/>
            <w:tcMar>
              <w:top w:w="45" w:type="dxa"/>
              <w:left w:w="110" w:type="dxa"/>
              <w:bottom w:w="45" w:type="dxa"/>
              <w:right w:w="110" w:type="dxa"/>
            </w:tcMar>
          </w:tcPr>
          <w:p>
            <w:pPr>
              <w:spacing w:after="0"/>
            </w:pPr>
            <w:r>
              <w:rPr>
                <w:rFonts w:ascii="Calibri" w:hAnsi="Calibri"/>
                <w:b/>
                <w:sz w:val="19"/>
              </w:rPr>
              <w:t>Média das 4 semanas (processo atual)</w:t>
            </w:r>
          </w:p>
        </w:tc>
        <w:tc>
          <w:tcPr>
            <w:tcW w:type="dxa" w:w="2494"/>
            <w:tcMar>
              <w:top w:w="45" w:type="dxa"/>
              <w:left w:w="110" w:type="dxa"/>
              <w:bottom w:w="45" w:type="dxa"/>
              <w:right w:w="110" w:type="dxa"/>
            </w:tcMar>
          </w:tcPr>
          <w:p>
            <w:pPr>
              <w:spacing w:after="0"/>
            </w:pPr>
            <w:r>
              <w:rPr>
                <w:rFonts w:ascii="Calibri" w:hAnsi="Calibri"/>
                <w:b/>
                <w:sz w:val="19"/>
              </w:rPr>
              <w:t>22,05%</w:t>
            </w:r>
          </w:p>
        </w:tc>
        <w:tc>
          <w:tcPr>
            <w:tcW w:type="dxa" w:w="2494"/>
            <w:tcMar>
              <w:top w:w="45" w:type="dxa"/>
              <w:left w:w="110" w:type="dxa"/>
              <w:bottom w:w="45" w:type="dxa"/>
              <w:right w:w="110" w:type="dxa"/>
            </w:tcMar>
          </w:tcPr>
          <w:p>
            <w:pPr>
              <w:spacing w:after="0"/>
            </w:pPr>
            <w:r>
              <w:rPr>
                <w:rFonts w:ascii="Calibri" w:hAnsi="Calibri"/>
                <w:b w:val="0"/>
                <w:sz w:val="19"/>
              </w:rPr>
              <w:t>+6,12%</w:t>
            </w:r>
          </w:p>
        </w:tc>
      </w:tr>
    </w:tbl>
    <w:p>
      <w:pPr>
        <w:spacing w:after="40"/>
      </w:pPr>
    </w:p>
    <w:p>
      <w:pPr>
        <w:spacing w:after="120" w:before="0" w:line="276" w:lineRule="auto"/>
      </w:pPr>
      <w:r>
        <w:rPr>
          <w:rFonts w:ascii="Calibri" w:hAnsi="Calibri"/>
          <w:b w:val="0"/>
          <w:sz w:val="21"/>
        </w:rPr>
        <w:t xml:space="preserve">Leitura: os dois melhores (Holt-Winters e SARIMAX com promoção) praticamente empatam e </w:t>
      </w:r>
      <w:r>
        <w:rPr>
          <w:rFonts w:ascii="Calibri" w:hAnsi="Calibri"/>
          <w:b/>
          <w:sz w:val="21"/>
        </w:rPr>
        <w:t>batem o processo atual</w:t>
      </w:r>
      <w:r>
        <w:rPr>
          <w:rFonts w:ascii="Calibri" w:hAnsi="Calibri"/>
          <w:b w:val="0"/>
          <w:sz w:val="21"/>
        </w:rPr>
        <w:t xml:space="preserve"> em erro. E, como o teste foi repetido ao longo de vários meses, o ganho não depende de um único mês escolhido a dedo — ele se sustenta.</w:t>
      </w:r>
    </w:p>
    <w:p>
      <w:pPr>
        <w:jc w:val="center"/>
      </w:pPr>
      <w:r>
        <w:drawing>
          <wp:inline xmlns:a="http://schemas.openxmlformats.org/drawingml/2006/main" xmlns:pic="http://schemas.openxmlformats.org/drawingml/2006/picture">
            <wp:extent cx="5616000" cy="2808000"/>
            <wp:docPr id="2" name="Picture 2"/>
            <wp:cNvGraphicFramePr>
              <a:graphicFrameLocks noChangeAspect="1"/>
            </wp:cNvGraphicFramePr>
            <a:graphic>
              <a:graphicData uri="http://schemas.openxmlformats.org/drawingml/2006/picture">
                <pic:pic>
                  <pic:nvPicPr>
                    <pic:cNvPr id="0" name="fase5_backtest_WMAPE_por_origem_P0131.png"/>
                    <pic:cNvPicPr/>
                  </pic:nvPicPr>
                  <pic:blipFill>
                    <a:blip r:embed="rId10"/>
                    <a:stretch>
                      <a:fillRect/>
                    </a:stretch>
                  </pic:blipFill>
                  <pic:spPr>
                    <a:xfrm>
                      <a:off x="0" y="0"/>
                      <a:ext cx="5616000" cy="2808000"/>
                    </a:xfrm>
                    <a:prstGeom prst="rect"/>
                  </pic:spPr>
                </pic:pic>
              </a:graphicData>
            </a:graphic>
          </wp:inline>
        </w:drawing>
      </w:r>
    </w:p>
    <w:p>
      <w:pPr>
        <w:spacing w:before="40" w:after="160"/>
        <w:jc w:val="center"/>
      </w:pPr>
      <w:r>
        <w:rPr>
          <w:rFonts w:ascii="Calibri" w:hAnsi="Calibri"/>
          <w:i/>
          <w:color w:val="505A66"/>
          <w:sz w:val="17"/>
        </w:rPr>
        <w:t>Erro (WMAPE) de cada modelo nas 12 janelas de teste ao longo do ano. As curvas estáveis na parte de baixa do gráfico indicam desempenho consistente, não sorte de uma janela.</w:t>
      </w:r>
    </w:p>
    <w:p>
      <w:pPr>
        <w:spacing w:before="320" w:after="100"/>
        <w:pBdr>
          <w:bottom w:val="single" w:sz="10" w:space="3" w:color="0E808C"/>
        </w:pBdr>
      </w:pPr>
      <w:r>
        <w:rPr>
          <w:rFonts w:ascii="Calibri" w:hAnsi="Calibri"/>
          <w:b/>
          <w:color w:val="0E808C"/>
          <w:sz w:val="30"/>
        </w:rPr>
        <w:t xml:space="preserve">4.  </w:t>
      </w:r>
      <w:r>
        <w:rPr>
          <w:rFonts w:ascii="Calibri" w:hAnsi="Calibri"/>
          <w:b/>
          <w:color w:val="0F3D5C"/>
          <w:sz w:val="30"/>
        </w:rPr>
        <w:t>Da previsão à decisão de compra</w:t>
      </w:r>
    </w:p>
    <w:p>
      <w:pPr>
        <w:spacing w:after="160" w:line="264" w:lineRule="auto"/>
      </w:pPr>
      <w:r>
        <w:rPr>
          <w:rFonts w:ascii="Calibri" w:hAnsi="Calibri"/>
          <w:i/>
          <w:color w:val="505A66"/>
          <w:sz w:val="19"/>
        </w:rPr>
        <w:t>Uma previsão sem viés acerta a média e, por construção, deixa a gôndola vazia em metade dos períodos. Com os custos do Exhibit 1: determine o nível de serviço que minimiza o custo esperado; explique por que a resposta não é 100%; calcule a folga de estoque que ele exige; compare em reais a política proposta com o processo atual, lembrando que um modelo pior precisa de mais folga para o mesmo nível de serviço, e responda aos três critérios de Larissa.</w:t>
      </w:r>
    </w:p>
    <w:tbl>
      <w:tblPr>
        <w:tblW w:type="auto" w:w="0"/>
        <w:tblLayout w:type="autofit"/>
        <w:tblLook w:firstColumn="1" w:firstRow="1" w:lastColumn="0" w:lastRow="0" w:noHBand="0" w:noVBand="1" w:val="04A0"/>
        <w:tblBorders>
          <w:top w:val="single" w:sz="8" w:space="0" w:color="4CA66A"/>
          <w:left w:val="single" w:sz="8" w:space="0" w:color="4CA66A"/>
          <w:bottom w:val="single" w:sz="8" w:space="0" w:color="4CA66A"/>
          <w:right w:val="single" w:sz="8" w:space="0" w:color="4CA66A"/>
          <w:insideH w:val="single" w:sz="8" w:space="0" w:color="4CA66A"/>
          <w:insideV w:val="single" w:sz="8" w:space="0" w:color="4CA66A"/>
        </w:tblBorders>
      </w:tblPr>
      <w:tblGrid>
        <w:gridCol w:w="9746"/>
      </w:tblGrid>
      <w:tr>
        <w:tc>
          <w:tcPr>
            <w:tcW w:type="dxa" w:w="9746"/>
            <w:shd w:val="clear" w:color="auto" w:fill="E7F4EA"/>
            <w:tcMar>
              <w:top w:w="90" w:type="dxa"/>
              <w:left w:w="140" w:type="dxa"/>
              <w:bottom w:w="90" w:type="dxa"/>
              <w:right w:w="140" w:type="dxa"/>
            </w:tcMar>
          </w:tcPr>
          <w:p>
            <w:pPr>
              <w:spacing w:after="0"/>
            </w:pPr>
            <w:r>
              <w:rPr>
                <w:rFonts w:ascii="Calibri" w:hAnsi="Calibri"/>
                <w:b/>
                <w:color w:val="1B6E3A"/>
                <w:sz w:val="20"/>
              </w:rPr>
              <w:t xml:space="preserve">Em uma frase:  </w:t>
            </w:r>
            <w:r>
              <w:rPr>
                <w:rFonts w:ascii="Calibri" w:hAnsi="Calibri"/>
                <w:b w:val="0"/>
                <w:sz w:val="20"/>
              </w:rPr>
              <w:t xml:space="preserve">O nível de serviço ótimo é </w:t>
            </w:r>
            <w:r>
              <w:rPr>
                <w:rFonts w:ascii="Calibri" w:hAnsi="Calibri"/>
                <w:b/>
                <w:sz w:val="20"/>
              </w:rPr>
              <w:t>93,75%</w:t>
            </w:r>
            <w:r>
              <w:rPr>
                <w:rFonts w:ascii="Calibri" w:hAnsi="Calibri"/>
                <w:b w:val="0"/>
                <w:sz w:val="20"/>
              </w:rPr>
              <w:t xml:space="preserve">. Não é 100% porque proteger a última fração custa mais do que a falta que evita. Com o modelo proposto, a folga de estoque cai para cerca de </w:t>
            </w:r>
            <w:r>
              <w:rPr>
                <w:rFonts w:ascii="Calibri" w:hAnsi="Calibri"/>
                <w:b/>
                <w:sz w:val="20"/>
              </w:rPr>
              <w:t>784 unidades</w:t>
            </w:r>
            <w:r>
              <w:rPr>
                <w:rFonts w:ascii="Calibri" w:hAnsi="Calibri"/>
                <w:b w:val="0"/>
                <w:sz w:val="20"/>
              </w:rPr>
              <w:t xml:space="preserve"> e o custo total recua </w:t>
            </w:r>
            <w:r>
              <w:rPr>
                <w:rFonts w:ascii="Calibri" w:hAnsi="Calibri"/>
                <w:b/>
                <w:sz w:val="20"/>
              </w:rPr>
              <w:t>27%</w:t>
            </w:r>
            <w:r>
              <w:rPr>
                <w:rFonts w:ascii="Calibri" w:hAnsi="Calibri"/>
                <w:b w:val="0"/>
                <w:sz w:val="20"/>
              </w:rPr>
              <w:t xml:space="preserve"> contra o processo atual.</w:t>
            </w:r>
          </w:p>
        </w:tc>
      </w:tr>
    </w:tbl>
    <w:p>
      <w:pPr>
        <w:spacing w:after="80"/>
      </w:pPr>
    </w:p>
    <w:p>
      <w:pPr>
        <w:spacing w:before="200" w:after="80"/>
      </w:pPr>
      <w:r>
        <w:rPr>
          <w:rFonts w:ascii="Calibri" w:hAnsi="Calibri"/>
          <w:b/>
          <w:color w:val="0F3D5C"/>
          <w:sz w:val="23"/>
        </w:rPr>
        <w:t>4.1 — O nível de serviço que minimiza o custo</w:t>
      </w:r>
    </w:p>
    <w:p>
      <w:pPr>
        <w:spacing w:after="120" w:before="0" w:line="276" w:lineRule="auto"/>
      </w:pPr>
      <w:r>
        <w:rPr>
          <w:rFonts w:ascii="Calibri" w:hAnsi="Calibri"/>
          <w:b w:val="0"/>
          <w:sz w:val="21"/>
        </w:rPr>
        <w:t>Faltar é muito mais caro do que sobrar: faltar custa 30% do preço (margem que evapora) e sobrar custa 2% (capital e armazenagem). Para o P0131, com preço médio de R$ 2,5870:</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3402"/>
            <w:shd w:val="clear" w:color="auto" w:fill="0F3D5C"/>
            <w:tcMar>
              <w:top w:w="50" w:type="dxa"/>
              <w:left w:w="110" w:type="dxa"/>
              <w:bottom w:w="50" w:type="dxa"/>
              <w:right w:w="110" w:type="dxa"/>
            </w:tcMar>
          </w:tcPr>
          <w:p>
            <w:pPr>
              <w:spacing w:after="0"/>
            </w:pPr>
            <w:r>
              <w:rPr>
                <w:rFonts w:ascii="Calibri" w:hAnsi="Calibri"/>
                <w:b/>
                <w:color w:val="FFFFFF"/>
                <w:sz w:val="19"/>
              </w:rPr>
              <w:t>Componente</w:t>
            </w:r>
          </w:p>
        </w:tc>
        <w:tc>
          <w:tcPr>
            <w:tcW w:type="dxa" w:w="1928"/>
            <w:shd w:val="clear" w:color="auto" w:fill="0F3D5C"/>
            <w:tcMar>
              <w:top w:w="50" w:type="dxa"/>
              <w:left w:w="110" w:type="dxa"/>
              <w:bottom w:w="50" w:type="dxa"/>
              <w:right w:w="110" w:type="dxa"/>
            </w:tcMar>
          </w:tcPr>
          <w:p>
            <w:pPr>
              <w:spacing w:after="0"/>
            </w:pPr>
            <w:r>
              <w:rPr>
                <w:rFonts w:ascii="Calibri" w:hAnsi="Calibri"/>
                <w:b/>
                <w:color w:val="FFFFFF"/>
                <w:sz w:val="19"/>
              </w:rPr>
              <w:t>Valor</w:t>
            </w:r>
          </w:p>
        </w:tc>
        <w:tc>
          <w:tcPr>
            <w:tcW w:type="dxa" w:w="3628"/>
            <w:shd w:val="clear" w:color="auto" w:fill="0F3D5C"/>
            <w:tcMar>
              <w:top w:w="50" w:type="dxa"/>
              <w:left w:w="110" w:type="dxa"/>
              <w:bottom w:w="50" w:type="dxa"/>
              <w:right w:w="110" w:type="dxa"/>
            </w:tcMar>
          </w:tcPr>
          <w:p>
            <w:pPr>
              <w:spacing w:after="0"/>
            </w:pPr>
            <w:r>
              <w:rPr>
                <w:rFonts w:ascii="Calibri" w:hAnsi="Calibri"/>
                <w:b/>
                <w:color w:val="FFFFFF"/>
                <w:sz w:val="19"/>
              </w:rPr>
              <w:t>Como se chega nele</w:t>
            </w:r>
          </w:p>
        </w:tc>
      </w:tr>
      <w:tr>
        <w:tc>
          <w:tcPr>
            <w:tcW w:type="dxa" w:w="3402"/>
            <w:tcMar>
              <w:top w:w="45" w:type="dxa"/>
              <w:left w:w="110" w:type="dxa"/>
              <w:bottom w:w="45" w:type="dxa"/>
              <w:right w:w="110" w:type="dxa"/>
            </w:tcMar>
          </w:tcPr>
          <w:p>
            <w:pPr>
              <w:spacing w:after="0"/>
            </w:pPr>
            <w:r>
              <w:rPr>
                <w:rFonts w:ascii="Calibri" w:hAnsi="Calibri"/>
                <w:b w:val="0"/>
                <w:sz w:val="19"/>
              </w:rPr>
              <w:t>Custo de faltar 1 unidade (Cu)</w:t>
            </w:r>
          </w:p>
        </w:tc>
        <w:tc>
          <w:tcPr>
            <w:tcW w:type="dxa" w:w="1928"/>
            <w:tcMar>
              <w:top w:w="45" w:type="dxa"/>
              <w:left w:w="110" w:type="dxa"/>
              <w:bottom w:w="45" w:type="dxa"/>
              <w:right w:w="110" w:type="dxa"/>
            </w:tcMar>
          </w:tcPr>
          <w:p>
            <w:pPr>
              <w:spacing w:after="0"/>
            </w:pPr>
            <w:r>
              <w:rPr>
                <w:rFonts w:ascii="Calibri" w:hAnsi="Calibri"/>
                <w:b w:val="0"/>
                <w:sz w:val="19"/>
              </w:rPr>
              <w:t>R$ 0,7761</w:t>
            </w:r>
          </w:p>
        </w:tc>
        <w:tc>
          <w:tcPr>
            <w:tcW w:type="dxa" w:w="3628"/>
            <w:tcMar>
              <w:top w:w="45" w:type="dxa"/>
              <w:left w:w="110" w:type="dxa"/>
              <w:bottom w:w="45" w:type="dxa"/>
              <w:right w:w="110" w:type="dxa"/>
            </w:tcMar>
          </w:tcPr>
          <w:p>
            <w:pPr>
              <w:spacing w:after="0"/>
            </w:pPr>
            <w:r>
              <w:rPr>
                <w:rFonts w:ascii="Calibri" w:hAnsi="Calibri"/>
                <w:b w:val="0"/>
                <w:sz w:val="19"/>
              </w:rPr>
              <w:t>30% do preço médio</w:t>
            </w:r>
          </w:p>
        </w:tc>
      </w:tr>
      <w:tr>
        <w:tc>
          <w:tcPr>
            <w:tcW w:type="dxa" w:w="3402"/>
            <w:tcMar>
              <w:top w:w="45" w:type="dxa"/>
              <w:left w:w="110" w:type="dxa"/>
              <w:bottom w:w="45" w:type="dxa"/>
              <w:right w:w="110" w:type="dxa"/>
            </w:tcMar>
            <w:shd w:val="clear" w:color="auto" w:fill="F2F6F9"/>
          </w:tcPr>
          <w:p>
            <w:pPr>
              <w:spacing w:after="0"/>
            </w:pPr>
            <w:r>
              <w:rPr>
                <w:rFonts w:ascii="Calibri" w:hAnsi="Calibri"/>
                <w:b w:val="0"/>
                <w:sz w:val="19"/>
              </w:rPr>
              <w:t>Custo de sobrar 1 unidade (Co)</w:t>
            </w:r>
          </w:p>
        </w:tc>
        <w:tc>
          <w:tcPr>
            <w:tcW w:type="dxa" w:w="1928"/>
            <w:tcMar>
              <w:top w:w="45" w:type="dxa"/>
              <w:left w:w="110" w:type="dxa"/>
              <w:bottom w:w="45" w:type="dxa"/>
              <w:right w:w="110" w:type="dxa"/>
            </w:tcMar>
            <w:shd w:val="clear" w:color="auto" w:fill="F2F6F9"/>
          </w:tcPr>
          <w:p>
            <w:pPr>
              <w:spacing w:after="0"/>
            </w:pPr>
            <w:r>
              <w:rPr>
                <w:rFonts w:ascii="Calibri" w:hAnsi="Calibri"/>
                <w:b w:val="0"/>
                <w:sz w:val="19"/>
              </w:rPr>
              <w:t>R$ 0,0517</w:t>
            </w:r>
          </w:p>
        </w:tc>
        <w:tc>
          <w:tcPr>
            <w:tcW w:type="dxa" w:w="3628"/>
            <w:tcMar>
              <w:top w:w="45" w:type="dxa"/>
              <w:left w:w="110" w:type="dxa"/>
              <w:bottom w:w="45" w:type="dxa"/>
              <w:right w:w="110" w:type="dxa"/>
            </w:tcMar>
            <w:shd w:val="clear" w:color="auto" w:fill="F2F6F9"/>
          </w:tcPr>
          <w:p>
            <w:pPr>
              <w:spacing w:after="0"/>
            </w:pPr>
            <w:r>
              <w:rPr>
                <w:rFonts w:ascii="Calibri" w:hAnsi="Calibri"/>
                <w:b w:val="0"/>
                <w:sz w:val="19"/>
              </w:rPr>
              <w:t>2% do preço médio</w:t>
            </w:r>
          </w:p>
        </w:tc>
      </w:tr>
      <w:tr>
        <w:tc>
          <w:tcPr>
            <w:tcW w:type="dxa" w:w="3402"/>
            <w:tcMar>
              <w:top w:w="45" w:type="dxa"/>
              <w:left w:w="110" w:type="dxa"/>
              <w:bottom w:w="45" w:type="dxa"/>
              <w:right w:w="110" w:type="dxa"/>
            </w:tcMar>
          </w:tcPr>
          <w:p>
            <w:pPr>
              <w:spacing w:after="0"/>
            </w:pPr>
            <w:r>
              <w:rPr>
                <w:rFonts w:ascii="Calibri" w:hAnsi="Calibri"/>
                <w:b w:val="0"/>
                <w:sz w:val="19"/>
              </w:rPr>
              <w:t>Razão entre os dois custos</w:t>
            </w:r>
          </w:p>
        </w:tc>
        <w:tc>
          <w:tcPr>
            <w:tcW w:type="dxa" w:w="1928"/>
            <w:tcMar>
              <w:top w:w="45" w:type="dxa"/>
              <w:left w:w="110" w:type="dxa"/>
              <w:bottom w:w="45" w:type="dxa"/>
              <w:right w:w="110" w:type="dxa"/>
            </w:tcMar>
          </w:tcPr>
          <w:p>
            <w:pPr>
              <w:spacing w:after="0"/>
            </w:pPr>
            <w:r>
              <w:rPr>
                <w:rFonts w:ascii="Calibri" w:hAnsi="Calibri"/>
                <w:b w:val="0"/>
                <w:sz w:val="19"/>
              </w:rPr>
              <w:t>15 : 1</w:t>
            </w:r>
          </w:p>
        </w:tc>
        <w:tc>
          <w:tcPr>
            <w:tcW w:type="dxa" w:w="3628"/>
            <w:tcMar>
              <w:top w:w="45" w:type="dxa"/>
              <w:left w:w="110" w:type="dxa"/>
              <w:bottom w:w="45" w:type="dxa"/>
              <w:right w:w="110" w:type="dxa"/>
            </w:tcMar>
          </w:tcPr>
          <w:p>
            <w:pPr>
              <w:spacing w:after="0"/>
            </w:pPr>
            <w:r>
              <w:rPr>
                <w:rFonts w:ascii="Calibri" w:hAnsi="Calibri"/>
                <w:b w:val="0"/>
                <w:sz w:val="19"/>
              </w:rPr>
              <w:t>faltar custa 15 vezes mais que sobrar</w:t>
            </w:r>
          </w:p>
        </w:tc>
      </w:tr>
      <w:tr>
        <w:tc>
          <w:tcPr>
            <w:tcW w:type="dxa" w:w="3402"/>
            <w:tcMar>
              <w:top w:w="45" w:type="dxa"/>
              <w:left w:w="110" w:type="dxa"/>
              <w:bottom w:w="45" w:type="dxa"/>
              <w:right w:w="110" w:type="dxa"/>
            </w:tcMar>
            <w:shd w:val="clear" w:color="auto" w:fill="F2F6F9"/>
          </w:tcPr>
          <w:p>
            <w:pPr>
              <w:spacing w:after="0"/>
            </w:pPr>
            <w:r>
              <w:rPr>
                <w:rFonts w:ascii="Calibri" w:hAnsi="Calibri"/>
                <w:b/>
                <w:sz w:val="19"/>
              </w:rPr>
              <w:t>Nível de serviço ótimo</w:t>
            </w:r>
          </w:p>
        </w:tc>
        <w:tc>
          <w:tcPr>
            <w:tcW w:type="dxa" w:w="1928"/>
            <w:tcMar>
              <w:top w:w="45" w:type="dxa"/>
              <w:left w:w="110" w:type="dxa"/>
              <w:bottom w:w="45" w:type="dxa"/>
              <w:right w:w="110" w:type="dxa"/>
            </w:tcMar>
            <w:shd w:val="clear" w:color="auto" w:fill="F2F6F9"/>
          </w:tcPr>
          <w:p>
            <w:pPr>
              <w:spacing w:after="0"/>
            </w:pPr>
            <w:r>
              <w:rPr>
                <w:rFonts w:ascii="Calibri" w:hAnsi="Calibri"/>
                <w:b/>
                <w:sz w:val="19"/>
              </w:rPr>
              <w:t>93,75%</w:t>
            </w:r>
          </w:p>
        </w:tc>
        <w:tc>
          <w:tcPr>
            <w:tcW w:type="dxa" w:w="3628"/>
            <w:tcMar>
              <w:top w:w="45" w:type="dxa"/>
              <w:left w:w="110" w:type="dxa"/>
              <w:bottom w:w="45" w:type="dxa"/>
              <w:right w:w="110" w:type="dxa"/>
            </w:tcMar>
            <w:shd w:val="clear" w:color="auto" w:fill="F2F6F9"/>
          </w:tcPr>
          <w:p>
            <w:pPr>
              <w:spacing w:after="0"/>
            </w:pPr>
            <w:r>
              <w:rPr>
                <w:rFonts w:ascii="Calibri" w:hAnsi="Calibri"/>
                <w:b w:val="0"/>
                <w:sz w:val="19"/>
              </w:rPr>
              <w:t>Cu ÷ (Cu + Co) = 0,30 ÷ 0,32</w:t>
            </w:r>
          </w:p>
        </w:tc>
      </w:tr>
    </w:tbl>
    <w:p>
      <w:pPr>
        <w:spacing w:after="40"/>
      </w:pPr>
    </w:p>
    <w:p>
      <w:pPr>
        <w:spacing w:after="120" w:before="0" w:line="276" w:lineRule="auto"/>
      </w:pPr>
      <w:r>
        <w:rPr>
          <w:rFonts w:ascii="Calibri" w:hAnsi="Calibri"/>
          <w:b w:val="0"/>
          <w:sz w:val="21"/>
        </w:rPr>
        <w:t xml:space="preserve">Em palavras: o nível de serviço ótimo é a fração das situações que vale a pena cobrir com estoque. Aqui, </w:t>
      </w:r>
      <w:r>
        <w:rPr>
          <w:rFonts w:ascii="Calibri" w:hAnsi="Calibri"/>
          <w:b/>
          <w:sz w:val="21"/>
        </w:rPr>
        <w:t>93,75%</w:t>
      </w:r>
      <w:r>
        <w:rPr>
          <w:rFonts w:ascii="Calibri" w:hAnsi="Calibri"/>
          <w:b w:val="0"/>
          <w:sz w:val="21"/>
        </w:rPr>
        <w:t xml:space="preserve"> — equivalente a aceitar cerca de </w:t>
      </w:r>
      <w:r>
        <w:rPr>
          <w:rFonts w:ascii="Calibri" w:hAnsi="Calibri"/>
          <w:b/>
          <w:sz w:val="21"/>
        </w:rPr>
        <w:t>6,25%</w:t>
      </w:r>
      <w:r>
        <w:rPr>
          <w:rFonts w:ascii="Calibri" w:hAnsi="Calibri"/>
          <w:b w:val="0"/>
          <w:sz w:val="21"/>
        </w:rPr>
        <w:t xml:space="preserve"> de chance de ruptura por período.</w:t>
      </w:r>
    </w:p>
    <w:p>
      <w:pPr>
        <w:spacing w:before="200" w:after="80"/>
      </w:pPr>
      <w:r>
        <w:rPr>
          <w:rFonts w:ascii="Calibri" w:hAnsi="Calibri"/>
          <w:b/>
          <w:color w:val="0F3D5C"/>
          <w:sz w:val="23"/>
        </w:rPr>
        <w:t>4.2 — Por que a resposta não é 100%</w:t>
      </w:r>
    </w:p>
    <w:p>
      <w:pPr>
        <w:spacing w:after="120" w:before="0" w:line="276" w:lineRule="auto"/>
      </w:pPr>
      <w:r>
        <w:rPr>
          <w:rFonts w:ascii="Calibri" w:hAnsi="Calibri"/>
          <w:b w:val="0"/>
          <w:sz w:val="21"/>
        </w:rPr>
        <w:t xml:space="preserve">Cobrir 100% das situações exigiria estoque suficiente para o </w:t>
      </w:r>
      <w:r>
        <w:rPr>
          <w:rFonts w:ascii="Calibri" w:hAnsi="Calibri"/>
          <w:b/>
          <w:sz w:val="21"/>
        </w:rPr>
        <w:t>pior erro imaginável</w:t>
      </w:r>
      <w:r>
        <w:rPr>
          <w:rFonts w:ascii="Calibri" w:hAnsi="Calibri"/>
          <w:b w:val="0"/>
          <w:sz w:val="21"/>
        </w:rPr>
        <w:t xml:space="preserve"> — e manter esse estoque é caro. Como sobrar também custa (2% do preço), cada unidade extra de proteção só compensa até o ponto em que o custo de </w:t>
      </w:r>
      <w:r>
        <w:rPr>
          <w:rFonts w:ascii="Calibri" w:hAnsi="Calibri"/>
          <w:b/>
          <w:sz w:val="21"/>
        </w:rPr>
        <w:t>proteger</w:t>
      </w:r>
      <w:r>
        <w:rPr>
          <w:rFonts w:ascii="Calibri" w:hAnsi="Calibri"/>
          <w:b w:val="0"/>
          <w:sz w:val="21"/>
        </w:rPr>
        <w:t xml:space="preserve"> uma unidade a mais se iguala ao custo de </w:t>
      </w:r>
      <w:r>
        <w:rPr>
          <w:rFonts w:ascii="Calibri" w:hAnsi="Calibri"/>
          <w:b/>
          <w:sz w:val="21"/>
        </w:rPr>
        <w:t>faltar</w:t>
      </w:r>
      <w:r>
        <w:rPr>
          <w:rFonts w:ascii="Calibri" w:hAnsi="Calibri"/>
          <w:b w:val="0"/>
          <w:sz w:val="21"/>
        </w:rPr>
        <w:t xml:space="preserve"> uma unidade a mais. Além desse ponto, a proteção adicional custa mais do que a falta que evita.</w:t>
      </w:r>
    </w:p>
    <w:p>
      <w:pPr>
        <w:spacing w:after="120" w:before="0" w:line="276" w:lineRule="auto"/>
      </w:pPr>
      <w:r>
        <w:rPr>
          <w:rFonts w:ascii="Calibri" w:hAnsi="Calibri"/>
          <w:b w:val="0"/>
          <w:sz w:val="21"/>
        </w:rPr>
        <w:t xml:space="preserve">Por isso o ótimo econômico fica </w:t>
      </w:r>
      <w:r>
        <w:rPr>
          <w:rFonts w:ascii="Calibri" w:hAnsi="Calibri"/>
          <w:b/>
          <w:sz w:val="21"/>
        </w:rPr>
        <w:t>abaixo de 100%</w:t>
      </w:r>
      <w:r>
        <w:rPr>
          <w:rFonts w:ascii="Calibri" w:hAnsi="Calibri"/>
          <w:b w:val="0"/>
          <w:sz w:val="21"/>
        </w:rPr>
        <w:t xml:space="preserve">. E note o papel da assimetria: como faltar é 15 vezes mais caro que sobrar, esse nível é </w:t>
      </w:r>
      <w:r>
        <w:rPr>
          <w:rFonts w:ascii="Calibri" w:hAnsi="Calibri"/>
          <w:b/>
          <w:sz w:val="21"/>
        </w:rPr>
        <w:t>empurrado para cima</w:t>
      </w:r>
      <w:r>
        <w:rPr>
          <w:rFonts w:ascii="Calibri" w:hAnsi="Calibri"/>
          <w:b w:val="0"/>
          <w:sz w:val="21"/>
        </w:rPr>
        <w:t xml:space="preserve"> (93,75%, bem acima dos 50% de quem só acerta a média) — mas nunca até 100%.</w:t>
      </w:r>
    </w:p>
    <w:p>
      <w:pPr>
        <w:spacing w:before="200" w:after="80"/>
      </w:pPr>
      <w:r>
        <w:rPr>
          <w:rFonts w:ascii="Calibri" w:hAnsi="Calibri"/>
          <w:b/>
          <w:color w:val="0F3D5C"/>
          <w:sz w:val="23"/>
        </w:rPr>
        <w:t>4.3 — A folga de estoque que ele exige</w:t>
      </w:r>
    </w:p>
    <w:p>
      <w:pPr>
        <w:spacing w:after="120" w:before="0" w:line="276" w:lineRule="auto"/>
      </w:pPr>
      <w:r>
        <w:rPr>
          <w:rFonts w:ascii="Calibri" w:hAnsi="Calibri"/>
          <w:b w:val="0"/>
          <w:sz w:val="21"/>
        </w:rPr>
        <w:t xml:space="preserve">A folga (estoque de segurança) é o colchão que o modelo precisa para atingir o nível de serviço. Em vez de supor uma fórmula teórica, medimos o quantil de 93,75% diretamente sobre os </w:t>
      </w:r>
      <w:r>
        <w:rPr>
          <w:rFonts w:ascii="Calibri" w:hAnsi="Calibri"/>
          <w:b/>
          <w:sz w:val="21"/>
        </w:rPr>
        <w:t>erros reais</w:t>
      </w:r>
      <w:r>
        <w:rPr>
          <w:rFonts w:ascii="Calibri" w:hAnsi="Calibri"/>
          <w:b w:val="0"/>
          <w:sz w:val="21"/>
        </w:rPr>
        <w:t xml:space="preserve"> observados nos testes — a distribuição empírica. Quanto menos o modelo erra, </w:t>
      </w:r>
      <w:r>
        <w:rPr>
          <w:rFonts w:ascii="Calibri" w:hAnsi="Calibri"/>
          <w:b/>
          <w:sz w:val="21"/>
        </w:rPr>
        <w:t>menos</w:t>
      </w:r>
      <w:r>
        <w:rPr>
          <w:rFonts w:ascii="Calibri" w:hAnsi="Calibri"/>
          <w:b w:val="0"/>
          <w:sz w:val="21"/>
        </w:rPr>
        <w:t xml:space="preserve"> folga ele exige para o mesmo nível de serviço:</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3249"/>
        <w:gridCol w:w="3249"/>
        <w:gridCol w:w="3249"/>
      </w:tblGrid>
      <w:tr>
        <w:tc>
          <w:tcPr>
            <w:tcW w:type="dxa" w:w="3628"/>
            <w:shd w:val="clear" w:color="auto" w:fill="0F3D5C"/>
            <w:tcMar>
              <w:top w:w="50" w:type="dxa"/>
              <w:left w:w="110" w:type="dxa"/>
              <w:bottom w:w="50" w:type="dxa"/>
              <w:right w:w="110" w:type="dxa"/>
            </w:tcMar>
          </w:tcPr>
          <w:p>
            <w:pPr>
              <w:spacing w:after="0"/>
            </w:pPr>
            <w:r>
              <w:rPr>
                <w:rFonts w:ascii="Calibri" w:hAnsi="Calibri"/>
                <w:b/>
                <w:color w:val="FFFFFF"/>
                <w:sz w:val="19"/>
              </w:rPr>
              <w:t>Modelo</w:t>
            </w:r>
          </w:p>
        </w:tc>
        <w:tc>
          <w:tcPr>
            <w:tcW w:type="dxa" w:w="1928"/>
            <w:shd w:val="clear" w:color="auto" w:fill="0F3D5C"/>
            <w:tcMar>
              <w:top w:w="50" w:type="dxa"/>
              <w:left w:w="110" w:type="dxa"/>
              <w:bottom w:w="50" w:type="dxa"/>
              <w:right w:w="110" w:type="dxa"/>
            </w:tcMar>
          </w:tcPr>
          <w:p>
            <w:pPr>
              <w:spacing w:after="0"/>
            </w:pPr>
            <w:r>
              <w:rPr>
                <w:rFonts w:ascii="Calibri" w:hAnsi="Calibri"/>
                <w:b/>
                <w:color w:val="FFFFFF"/>
                <w:sz w:val="19"/>
              </w:rPr>
              <w:t>Folga exigida</w:t>
            </w:r>
          </w:p>
        </w:tc>
        <w:tc>
          <w:tcPr>
            <w:tcW w:type="dxa" w:w="3402"/>
            <w:shd w:val="clear" w:color="auto" w:fill="0F3D5C"/>
            <w:tcMar>
              <w:top w:w="50" w:type="dxa"/>
              <w:left w:w="110" w:type="dxa"/>
              <w:bottom w:w="50" w:type="dxa"/>
              <w:right w:w="110" w:type="dxa"/>
            </w:tcMar>
          </w:tcPr>
          <w:p>
            <w:pPr>
              <w:spacing w:after="0"/>
            </w:pPr>
            <w:r>
              <w:rPr>
                <w:rFonts w:ascii="Calibri" w:hAnsi="Calibri"/>
                <w:b/>
                <w:color w:val="FFFFFF"/>
                <w:sz w:val="19"/>
              </w:rPr>
              <w:t>Por quê</w:t>
            </w:r>
          </w:p>
        </w:tc>
      </w:tr>
      <w:tr>
        <w:tc>
          <w:tcPr>
            <w:tcW w:type="dxa" w:w="3628"/>
            <w:tcMar>
              <w:top w:w="45" w:type="dxa"/>
              <w:left w:w="110" w:type="dxa"/>
              <w:bottom w:w="45" w:type="dxa"/>
              <w:right w:w="110" w:type="dxa"/>
            </w:tcMar>
          </w:tcPr>
          <w:p>
            <w:pPr>
              <w:spacing w:after="0"/>
            </w:pPr>
            <w:r>
              <w:rPr>
                <w:rFonts w:ascii="Calibri" w:hAnsi="Calibri"/>
                <w:b w:val="0"/>
                <w:sz w:val="19"/>
              </w:rPr>
              <w:t>SARIMAX com promoção</w:t>
            </w:r>
          </w:p>
        </w:tc>
        <w:tc>
          <w:tcPr>
            <w:tcW w:type="dxa" w:w="1928"/>
            <w:tcMar>
              <w:top w:w="45" w:type="dxa"/>
              <w:left w:w="110" w:type="dxa"/>
              <w:bottom w:w="45" w:type="dxa"/>
              <w:right w:w="110" w:type="dxa"/>
            </w:tcMar>
          </w:tcPr>
          <w:p>
            <w:pPr>
              <w:spacing w:after="0"/>
            </w:pPr>
            <w:r>
              <w:rPr>
                <w:rFonts w:ascii="Calibri" w:hAnsi="Calibri"/>
                <w:b/>
                <w:sz w:val="19"/>
              </w:rPr>
              <w:t>783,6 un</w:t>
            </w:r>
          </w:p>
        </w:tc>
        <w:tc>
          <w:tcPr>
            <w:tcW w:type="dxa" w:w="3402"/>
            <w:tcMar>
              <w:top w:w="45" w:type="dxa"/>
              <w:left w:w="110" w:type="dxa"/>
              <w:bottom w:w="45" w:type="dxa"/>
              <w:right w:w="110" w:type="dxa"/>
            </w:tcMar>
          </w:tcPr>
          <w:p>
            <w:pPr>
              <w:spacing w:after="0"/>
            </w:pPr>
            <w:r>
              <w:rPr>
                <w:rFonts w:ascii="Calibri" w:hAnsi="Calibri"/>
                <w:b w:val="0"/>
                <w:sz w:val="19"/>
              </w:rPr>
              <w:t>erra menos → precisa de menos colchão.</w:t>
            </w:r>
          </w:p>
        </w:tc>
      </w:tr>
      <w:tr>
        <w:tc>
          <w:tcPr>
            <w:tcW w:type="dxa" w:w="3628"/>
            <w:tcMar>
              <w:top w:w="45" w:type="dxa"/>
              <w:left w:w="110" w:type="dxa"/>
              <w:bottom w:w="45" w:type="dxa"/>
              <w:right w:w="110" w:type="dxa"/>
            </w:tcMar>
            <w:shd w:val="clear" w:color="auto" w:fill="F2F6F9"/>
          </w:tcPr>
          <w:p>
            <w:pPr>
              <w:spacing w:after="0"/>
            </w:pPr>
            <w:r>
              <w:rPr>
                <w:rFonts w:ascii="Calibri" w:hAnsi="Calibri"/>
                <w:b w:val="0"/>
                <w:sz w:val="19"/>
              </w:rPr>
              <w:t>Holt-Winters</w:t>
            </w:r>
          </w:p>
        </w:tc>
        <w:tc>
          <w:tcPr>
            <w:tcW w:type="dxa" w:w="1928"/>
            <w:tcMar>
              <w:top w:w="45" w:type="dxa"/>
              <w:left w:w="110" w:type="dxa"/>
              <w:bottom w:w="45" w:type="dxa"/>
              <w:right w:w="110" w:type="dxa"/>
            </w:tcMar>
            <w:shd w:val="clear" w:color="auto" w:fill="F2F6F9"/>
          </w:tcPr>
          <w:p>
            <w:pPr>
              <w:spacing w:after="0"/>
            </w:pPr>
            <w:r>
              <w:rPr>
                <w:rFonts w:ascii="Calibri" w:hAnsi="Calibri"/>
                <w:b w:val="0"/>
                <w:sz w:val="19"/>
              </w:rPr>
              <w:t>1.484,2 un</w:t>
            </w:r>
          </w:p>
        </w:tc>
        <w:tc>
          <w:tcPr>
            <w:tcW w:type="dxa" w:w="3402"/>
            <w:tcMar>
              <w:top w:w="45" w:type="dxa"/>
              <w:left w:w="110" w:type="dxa"/>
              <w:bottom w:w="45" w:type="dxa"/>
              <w:right w:w="110" w:type="dxa"/>
            </w:tcMar>
            <w:shd w:val="clear" w:color="auto" w:fill="F2F6F9"/>
          </w:tcPr>
          <w:p>
            <w:pPr>
              <w:spacing w:after="0"/>
            </w:pPr>
            <w:r>
              <w:rPr>
                <w:rFonts w:ascii="Calibri" w:hAnsi="Calibri"/>
                <w:b w:val="0"/>
                <w:sz w:val="19"/>
              </w:rPr>
              <w:t>erra um pouco mais → colchão maior.</w:t>
            </w:r>
          </w:p>
        </w:tc>
      </w:tr>
      <w:tr>
        <w:tc>
          <w:tcPr>
            <w:tcW w:type="dxa" w:w="3628"/>
            <w:tcMar>
              <w:top w:w="45" w:type="dxa"/>
              <w:left w:w="110" w:type="dxa"/>
              <w:bottom w:w="45" w:type="dxa"/>
              <w:right w:w="110" w:type="dxa"/>
            </w:tcMar>
          </w:tcPr>
          <w:p>
            <w:pPr>
              <w:spacing w:after="0"/>
            </w:pPr>
            <w:r>
              <w:rPr>
                <w:rFonts w:ascii="Calibri" w:hAnsi="Calibri"/>
                <w:b/>
                <w:sz w:val="19"/>
              </w:rPr>
              <w:t>Média das 4 semanas (atual)</w:t>
            </w:r>
          </w:p>
        </w:tc>
        <w:tc>
          <w:tcPr>
            <w:tcW w:type="dxa" w:w="1928"/>
            <w:tcMar>
              <w:top w:w="45" w:type="dxa"/>
              <w:left w:w="110" w:type="dxa"/>
              <w:bottom w:w="45" w:type="dxa"/>
              <w:right w:w="110" w:type="dxa"/>
            </w:tcMar>
          </w:tcPr>
          <w:p>
            <w:pPr>
              <w:spacing w:after="0"/>
            </w:pPr>
            <w:r>
              <w:rPr>
                <w:rFonts w:ascii="Calibri" w:hAnsi="Calibri"/>
                <w:b/>
                <w:sz w:val="19"/>
              </w:rPr>
              <w:t>2.111,9 un</w:t>
            </w:r>
          </w:p>
        </w:tc>
        <w:tc>
          <w:tcPr>
            <w:tcW w:type="dxa" w:w="3402"/>
            <w:tcMar>
              <w:top w:w="45" w:type="dxa"/>
              <w:left w:w="110" w:type="dxa"/>
              <w:bottom w:w="45" w:type="dxa"/>
              <w:right w:w="110" w:type="dxa"/>
            </w:tcMar>
          </w:tcPr>
          <w:p>
            <w:pPr>
              <w:spacing w:after="0"/>
            </w:pPr>
            <w:r>
              <w:rPr>
                <w:rFonts w:ascii="Calibri" w:hAnsi="Calibri"/>
                <w:b w:val="0"/>
                <w:sz w:val="19"/>
              </w:rPr>
              <w:t>erra mais → precisa do maior colchão.</w:t>
            </w:r>
          </w:p>
        </w:tc>
      </w:tr>
    </w:tbl>
    <w:p>
      <w:pPr>
        <w:spacing w:after="40"/>
      </w:pPr>
    </w:p>
    <w:tbl>
      <w:tblPr>
        <w:tblW w:type="auto" w:w="0"/>
        <w:tblLayout w:type="autofit"/>
        <w:tblLook w:firstColumn="1" w:firstRow="1" w:lastColumn="0" w:lastRow="0" w:noHBand="0" w:noVBand="1" w:val="04A0"/>
        <w:tblBorders>
          <w:top w:val="single" w:sz="8" w:space="0" w:color="0E808C"/>
          <w:left w:val="single" w:sz="8" w:space="0" w:color="0E808C"/>
          <w:bottom w:val="single" w:sz="8" w:space="0" w:color="0E808C"/>
          <w:right w:val="single" w:sz="8" w:space="0" w:color="0E808C"/>
          <w:insideH w:val="single" w:sz="8" w:space="0" w:color="0E808C"/>
          <w:insideV w:val="single" w:sz="8" w:space="0" w:color="0E808C"/>
        </w:tblBorders>
      </w:tblPr>
      <w:tblGrid>
        <w:gridCol w:w="9746"/>
      </w:tblGrid>
      <w:tr>
        <w:tc>
          <w:tcPr>
            <w:tcW w:type="dxa" w:w="9746"/>
            <w:shd w:val="clear" w:color="auto" w:fill="E8F3F5"/>
            <w:tcMar>
              <w:top w:w="90" w:type="dxa"/>
              <w:left w:w="140" w:type="dxa"/>
              <w:bottom w:w="90" w:type="dxa"/>
              <w:right w:w="140" w:type="dxa"/>
            </w:tcMar>
          </w:tcPr>
          <w:p>
            <w:pPr>
              <w:spacing w:after="0"/>
            </w:pPr>
            <w:r>
              <w:rPr>
                <w:rFonts w:ascii="Calibri" w:hAnsi="Calibri"/>
                <w:b/>
                <w:color w:val="0E808C"/>
                <w:sz w:val="20"/>
              </w:rPr>
              <w:t xml:space="preserve">O ponto-chave da pergunta:  </w:t>
            </w:r>
            <w:r>
              <w:rPr>
                <w:rFonts w:ascii="Calibri" w:hAnsi="Calibri"/>
                <w:b w:val="0"/>
                <w:sz w:val="20"/>
              </w:rPr>
              <w:t xml:space="preserve">um modelo </w:t>
            </w:r>
            <w:r>
              <w:rPr>
                <w:rFonts w:ascii="Calibri" w:hAnsi="Calibri"/>
                <w:b/>
                <w:sz w:val="20"/>
              </w:rPr>
              <w:t>pior</w:t>
            </w:r>
            <w:r>
              <w:rPr>
                <w:rFonts w:ascii="Calibri" w:hAnsi="Calibri"/>
                <w:b w:val="0"/>
                <w:sz w:val="20"/>
              </w:rPr>
              <w:t xml:space="preserve"> não apenas erra mais — ele obriga a carregar </w:t>
            </w:r>
            <w:r>
              <w:rPr>
                <w:rFonts w:ascii="Calibri" w:hAnsi="Calibri"/>
                <w:b/>
                <w:sz w:val="20"/>
              </w:rPr>
              <w:t>mais estoque</w:t>
            </w:r>
            <w:r>
              <w:rPr>
                <w:rFonts w:ascii="Calibri" w:hAnsi="Calibri"/>
                <w:b w:val="0"/>
                <w:sz w:val="20"/>
              </w:rPr>
              <w:t xml:space="preserve"> para entregar o mesmo nível de serviço. Melhor previsão significa </w:t>
            </w:r>
            <w:r>
              <w:rPr>
                <w:rFonts w:ascii="Calibri" w:hAnsi="Calibri"/>
                <w:b/>
                <w:sz w:val="20"/>
              </w:rPr>
              <w:t>menos capital parado</w:t>
            </w:r>
            <w:r>
              <w:rPr>
                <w:rFonts w:ascii="Calibri" w:hAnsi="Calibri"/>
                <w:b w:val="0"/>
                <w:sz w:val="20"/>
              </w:rPr>
              <w:t>.</w:t>
            </w:r>
          </w:p>
        </w:tc>
      </w:tr>
    </w:tbl>
    <w:p>
      <w:pPr>
        <w:spacing w:after="80"/>
      </w:pPr>
    </w:p>
    <w:p>
      <w:pPr>
        <w:spacing w:before="200" w:after="80"/>
      </w:pPr>
      <w:r>
        <w:rPr>
          <w:rFonts w:ascii="Calibri" w:hAnsi="Calibri"/>
          <w:b/>
          <w:color w:val="0F3D5C"/>
          <w:sz w:val="23"/>
        </w:rPr>
        <w:t>4.4 — Comparação em reais e os três critérios de Larissa</w:t>
      </w:r>
    </w:p>
    <w:p>
      <w:pPr>
        <w:spacing w:after="120" w:before="0" w:line="276" w:lineRule="auto"/>
      </w:pPr>
      <w:r>
        <w:rPr>
          <w:rFonts w:ascii="Calibri" w:hAnsi="Calibri"/>
          <w:b w:val="0"/>
          <w:sz w:val="21"/>
        </w:rPr>
        <w:t>Convertendo tudo para reais, por período de 28 dias:</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2436"/>
        <w:gridCol w:w="2436"/>
        <w:gridCol w:w="2436"/>
        <w:gridCol w:w="2436"/>
      </w:tblGrid>
      <w:tr>
        <w:tc>
          <w:tcPr>
            <w:tcW w:type="dxa" w:w="3288"/>
            <w:shd w:val="clear" w:color="auto" w:fill="0F3D5C"/>
            <w:tcMar>
              <w:top w:w="50" w:type="dxa"/>
              <w:left w:w="110" w:type="dxa"/>
              <w:bottom w:w="50" w:type="dxa"/>
              <w:right w:w="110" w:type="dxa"/>
            </w:tcMar>
          </w:tcPr>
          <w:p>
            <w:pPr>
              <w:spacing w:after="0"/>
            </w:pPr>
            <w:r>
              <w:rPr>
                <w:rFonts w:ascii="Calibri" w:hAnsi="Calibri"/>
                <w:b/>
                <w:color w:val="FFFFFF"/>
                <w:sz w:val="19"/>
              </w:rPr>
              <w:t>Modelo</w:t>
            </w:r>
          </w:p>
        </w:tc>
        <w:tc>
          <w:tcPr>
            <w:tcW w:type="dxa" w:w="1587"/>
            <w:shd w:val="clear" w:color="auto" w:fill="0F3D5C"/>
            <w:tcMar>
              <w:top w:w="50" w:type="dxa"/>
              <w:left w:w="110" w:type="dxa"/>
              <w:bottom w:w="50" w:type="dxa"/>
              <w:right w:w="110" w:type="dxa"/>
            </w:tcMar>
          </w:tcPr>
          <w:p>
            <w:pPr>
              <w:spacing w:after="0"/>
            </w:pPr>
            <w:r>
              <w:rPr>
                <w:rFonts w:ascii="Calibri" w:hAnsi="Calibri"/>
                <w:b/>
                <w:color w:val="FFFFFF"/>
                <w:sz w:val="19"/>
              </w:rPr>
              <w:t>Folga (un)</w:t>
            </w:r>
          </w:p>
        </w:tc>
        <w:tc>
          <w:tcPr>
            <w:tcW w:type="dxa" w:w="2041"/>
            <w:shd w:val="clear" w:color="auto" w:fill="0F3D5C"/>
            <w:tcMar>
              <w:top w:w="50" w:type="dxa"/>
              <w:left w:w="110" w:type="dxa"/>
              <w:bottom w:w="50" w:type="dxa"/>
              <w:right w:w="110" w:type="dxa"/>
            </w:tcMar>
          </w:tcPr>
          <w:p>
            <w:pPr>
              <w:spacing w:after="0"/>
            </w:pPr>
            <w:r>
              <w:rPr>
                <w:rFonts w:ascii="Calibri" w:hAnsi="Calibri"/>
                <w:b/>
                <w:color w:val="FFFFFF"/>
                <w:sz w:val="19"/>
              </w:rPr>
              <w:t>Custo por período</w:t>
            </w:r>
          </w:p>
        </w:tc>
        <w:tc>
          <w:tcPr>
            <w:tcW w:type="dxa" w:w="2041"/>
            <w:shd w:val="clear" w:color="auto" w:fill="0F3D5C"/>
            <w:tcMar>
              <w:top w:w="50" w:type="dxa"/>
              <w:left w:w="110" w:type="dxa"/>
              <w:bottom w:w="50" w:type="dxa"/>
              <w:right w:w="110" w:type="dxa"/>
            </w:tcMar>
          </w:tcPr>
          <w:p>
            <w:pPr>
              <w:spacing w:after="0"/>
            </w:pPr>
            <w:r>
              <w:rPr>
                <w:rFonts w:ascii="Calibri" w:hAnsi="Calibri"/>
                <w:b/>
                <w:color w:val="FFFFFF"/>
                <w:sz w:val="19"/>
              </w:rPr>
              <w:t>Comparação</w:t>
            </w:r>
          </w:p>
        </w:tc>
      </w:tr>
      <w:tr>
        <w:tc>
          <w:tcPr>
            <w:tcW w:type="dxa" w:w="3288"/>
            <w:tcMar>
              <w:top w:w="45" w:type="dxa"/>
              <w:left w:w="110" w:type="dxa"/>
              <w:bottom w:w="45" w:type="dxa"/>
              <w:right w:w="110" w:type="dxa"/>
            </w:tcMar>
          </w:tcPr>
          <w:p>
            <w:pPr>
              <w:spacing w:after="0"/>
            </w:pPr>
            <w:r>
              <w:rPr>
                <w:rFonts w:ascii="Calibri" w:hAnsi="Calibri"/>
                <w:b/>
                <w:sz w:val="19"/>
              </w:rPr>
              <w:t>SARIMAX com promoção</w:t>
            </w:r>
          </w:p>
        </w:tc>
        <w:tc>
          <w:tcPr>
            <w:tcW w:type="dxa" w:w="1587"/>
            <w:tcMar>
              <w:top w:w="45" w:type="dxa"/>
              <w:left w:w="110" w:type="dxa"/>
              <w:bottom w:w="45" w:type="dxa"/>
              <w:right w:w="110" w:type="dxa"/>
            </w:tcMar>
          </w:tcPr>
          <w:p>
            <w:pPr>
              <w:spacing w:after="0"/>
            </w:pPr>
            <w:r>
              <w:rPr>
                <w:rFonts w:ascii="Calibri" w:hAnsi="Calibri"/>
                <w:b w:val="0"/>
                <w:sz w:val="19"/>
              </w:rPr>
              <w:t>783,6</w:t>
            </w:r>
          </w:p>
        </w:tc>
        <w:tc>
          <w:tcPr>
            <w:tcW w:type="dxa" w:w="2041"/>
            <w:tcMar>
              <w:top w:w="45" w:type="dxa"/>
              <w:left w:w="110" w:type="dxa"/>
              <w:bottom w:w="45" w:type="dxa"/>
              <w:right w:w="110" w:type="dxa"/>
            </w:tcMar>
          </w:tcPr>
          <w:p>
            <w:pPr>
              <w:spacing w:after="0"/>
            </w:pPr>
            <w:r>
              <w:rPr>
                <w:rFonts w:ascii="Calibri" w:hAnsi="Calibri"/>
                <w:b/>
                <w:sz w:val="19"/>
              </w:rPr>
              <w:t>R$ 107,04</w:t>
            </w:r>
          </w:p>
        </w:tc>
        <w:tc>
          <w:tcPr>
            <w:tcW w:type="dxa" w:w="2041"/>
            <w:tcMar>
              <w:top w:w="45" w:type="dxa"/>
              <w:left w:w="110" w:type="dxa"/>
              <w:bottom w:w="45" w:type="dxa"/>
              <w:right w:w="110" w:type="dxa"/>
            </w:tcMar>
          </w:tcPr>
          <w:p>
            <w:pPr>
              <w:spacing w:after="0"/>
            </w:pPr>
            <w:r>
              <w:rPr>
                <w:rFonts w:ascii="Calibri" w:hAnsi="Calibri"/>
                <w:b/>
                <w:sz w:val="19"/>
              </w:rPr>
              <w:t>−27,2% (melhor)</w:t>
            </w:r>
          </w:p>
        </w:tc>
      </w:tr>
      <w:tr>
        <w:tc>
          <w:tcPr>
            <w:tcW w:type="dxa" w:w="3288"/>
            <w:tcMar>
              <w:top w:w="45" w:type="dxa"/>
              <w:left w:w="110" w:type="dxa"/>
              <w:bottom w:w="45" w:type="dxa"/>
              <w:right w:w="110" w:type="dxa"/>
            </w:tcMar>
            <w:shd w:val="clear" w:color="auto" w:fill="F2F6F9"/>
          </w:tcPr>
          <w:p>
            <w:pPr>
              <w:spacing w:after="0"/>
            </w:pPr>
            <w:r>
              <w:rPr>
                <w:rFonts w:ascii="Calibri" w:hAnsi="Calibri"/>
                <w:b w:val="0"/>
                <w:sz w:val="19"/>
              </w:rPr>
              <w:t>Média das 4 semanas (atual)</w:t>
            </w:r>
          </w:p>
        </w:tc>
        <w:tc>
          <w:tcPr>
            <w:tcW w:type="dxa" w:w="1587"/>
            <w:tcMar>
              <w:top w:w="45" w:type="dxa"/>
              <w:left w:w="110" w:type="dxa"/>
              <w:bottom w:w="45" w:type="dxa"/>
              <w:right w:w="110" w:type="dxa"/>
            </w:tcMar>
            <w:shd w:val="clear" w:color="auto" w:fill="F2F6F9"/>
          </w:tcPr>
          <w:p>
            <w:pPr>
              <w:spacing w:after="0"/>
            </w:pPr>
            <w:r>
              <w:rPr>
                <w:rFonts w:ascii="Calibri" w:hAnsi="Calibri"/>
                <w:b w:val="0"/>
                <w:sz w:val="19"/>
              </w:rPr>
              <w:t>2.111,9</w:t>
            </w:r>
          </w:p>
        </w:tc>
        <w:tc>
          <w:tcPr>
            <w:tcW w:type="dxa" w:w="2041"/>
            <w:tcMar>
              <w:top w:w="45" w:type="dxa"/>
              <w:left w:w="110" w:type="dxa"/>
              <w:bottom w:w="45" w:type="dxa"/>
              <w:right w:w="110" w:type="dxa"/>
            </w:tcMar>
            <w:shd w:val="clear" w:color="auto" w:fill="F2F6F9"/>
          </w:tcPr>
          <w:p>
            <w:pPr>
              <w:spacing w:after="0"/>
            </w:pPr>
            <w:r>
              <w:rPr>
                <w:rFonts w:ascii="Calibri" w:hAnsi="Calibri"/>
                <w:b w:val="0"/>
                <w:sz w:val="19"/>
              </w:rPr>
              <w:t>R$ 147,11</w:t>
            </w:r>
          </w:p>
        </w:tc>
        <w:tc>
          <w:tcPr>
            <w:tcW w:type="dxa" w:w="2041"/>
            <w:tcMar>
              <w:top w:w="45" w:type="dxa"/>
              <w:left w:w="110" w:type="dxa"/>
              <w:bottom w:w="45" w:type="dxa"/>
              <w:right w:w="110" w:type="dxa"/>
            </w:tcMar>
            <w:shd w:val="clear" w:color="auto" w:fill="F2F6F9"/>
          </w:tcPr>
          <w:p>
            <w:pPr>
              <w:spacing w:after="0"/>
            </w:pPr>
            <w:r>
              <w:rPr>
                <w:rFonts w:ascii="Calibri" w:hAnsi="Calibri"/>
                <w:b w:val="0"/>
                <w:sz w:val="19"/>
              </w:rPr>
              <w:t>referência</w:t>
            </w:r>
          </w:p>
        </w:tc>
      </w:tr>
      <w:tr>
        <w:tc>
          <w:tcPr>
            <w:tcW w:type="dxa" w:w="3288"/>
            <w:tcMar>
              <w:top w:w="45" w:type="dxa"/>
              <w:left w:w="110" w:type="dxa"/>
              <w:bottom w:w="45" w:type="dxa"/>
              <w:right w:w="110" w:type="dxa"/>
            </w:tcMar>
          </w:tcPr>
          <w:p>
            <w:pPr>
              <w:spacing w:after="0"/>
            </w:pPr>
            <w:r>
              <w:rPr>
                <w:rFonts w:ascii="Calibri" w:hAnsi="Calibri"/>
                <w:b w:val="0"/>
                <w:sz w:val="19"/>
              </w:rPr>
              <w:t>Holt-Winters</w:t>
            </w:r>
          </w:p>
        </w:tc>
        <w:tc>
          <w:tcPr>
            <w:tcW w:type="dxa" w:w="1587"/>
            <w:tcMar>
              <w:top w:w="45" w:type="dxa"/>
              <w:left w:w="110" w:type="dxa"/>
              <w:bottom w:w="45" w:type="dxa"/>
              <w:right w:w="110" w:type="dxa"/>
            </w:tcMar>
          </w:tcPr>
          <w:p>
            <w:pPr>
              <w:spacing w:after="0"/>
            </w:pPr>
            <w:r>
              <w:rPr>
                <w:rFonts w:ascii="Calibri" w:hAnsi="Calibri"/>
                <w:b w:val="0"/>
                <w:sz w:val="19"/>
              </w:rPr>
              <w:t>1.484,2</w:t>
            </w:r>
          </w:p>
        </w:tc>
        <w:tc>
          <w:tcPr>
            <w:tcW w:type="dxa" w:w="2041"/>
            <w:tcMar>
              <w:top w:w="45" w:type="dxa"/>
              <w:left w:w="110" w:type="dxa"/>
              <w:bottom w:w="45" w:type="dxa"/>
              <w:right w:w="110" w:type="dxa"/>
            </w:tcMar>
          </w:tcPr>
          <w:p>
            <w:pPr>
              <w:spacing w:after="0"/>
            </w:pPr>
            <w:r>
              <w:rPr>
                <w:rFonts w:ascii="Calibri" w:hAnsi="Calibri"/>
                <w:b w:val="0"/>
                <w:sz w:val="19"/>
              </w:rPr>
              <w:t>R$ 160,13</w:t>
            </w:r>
          </w:p>
        </w:tc>
        <w:tc>
          <w:tcPr>
            <w:tcW w:type="dxa" w:w="2041"/>
            <w:tcMar>
              <w:top w:w="45" w:type="dxa"/>
              <w:left w:w="110" w:type="dxa"/>
              <w:bottom w:w="45" w:type="dxa"/>
              <w:right w:w="110" w:type="dxa"/>
            </w:tcMar>
          </w:tcPr>
          <w:p>
            <w:pPr>
              <w:spacing w:after="0"/>
            </w:pPr>
            <w:r>
              <w:rPr>
                <w:rFonts w:ascii="Calibri" w:hAnsi="Calibri"/>
                <w:b w:val="0"/>
                <w:sz w:val="19"/>
              </w:rPr>
              <w:t>+8,9% (pior que o atual)</w:t>
            </w:r>
          </w:p>
        </w:tc>
      </w:tr>
    </w:tbl>
    <w:p>
      <w:pPr>
        <w:spacing w:after="40"/>
      </w:pPr>
    </w:p>
    <w:p>
      <w:pPr>
        <w:spacing w:after="120" w:before="0" w:line="276" w:lineRule="auto"/>
      </w:pPr>
      <w:r>
        <w:rPr>
          <w:rFonts w:ascii="Calibri" w:hAnsi="Calibri"/>
          <w:b w:val="0"/>
          <w:sz w:val="21"/>
        </w:rPr>
        <w:t xml:space="preserve">A economia do modelo proposto é de R$ 40,06 por período de 28 dias. Como o ano tem 13 períodos desse tipo, isso equivale a aproximadamente </w:t>
      </w:r>
      <w:r>
        <w:rPr>
          <w:rFonts w:ascii="Calibri" w:hAnsi="Calibri"/>
          <w:b/>
          <w:sz w:val="21"/>
        </w:rPr>
        <w:t>R$ 520,84 por ano — em um único produto</w:t>
      </w:r>
      <w:r>
        <w:rPr>
          <w:rFonts w:ascii="Calibri" w:hAnsi="Calibri"/>
          <w:b w:val="0"/>
          <w:sz w:val="21"/>
        </w:rPr>
        <w:t>.</w:t>
      </w:r>
    </w:p>
    <w:p>
      <w:pPr>
        <w:jc w:val="center"/>
      </w:pPr>
      <w:r>
        <w:drawing>
          <wp:inline xmlns:a="http://schemas.openxmlformats.org/drawingml/2006/main" xmlns:pic="http://schemas.openxmlformats.org/drawingml/2006/picture">
            <wp:extent cx="5616000" cy="2246400"/>
            <wp:docPr id="3" name="Picture 3"/>
            <wp:cNvGraphicFramePr>
              <a:graphicFrameLocks noChangeAspect="1"/>
            </wp:cNvGraphicFramePr>
            <a:graphic>
              <a:graphicData uri="http://schemas.openxmlformats.org/drawingml/2006/picture">
                <pic:pic>
                  <pic:nvPicPr>
                    <pic:cNvPr id="0" name="fase5_custo_estoque_seguranca_por_modelo.png"/>
                    <pic:cNvPicPr/>
                  </pic:nvPicPr>
                  <pic:blipFill>
                    <a:blip r:embed="rId11"/>
                    <a:stretch>
                      <a:fillRect/>
                    </a:stretch>
                  </pic:blipFill>
                  <pic:spPr>
                    <a:xfrm>
                      <a:off x="0" y="0"/>
                      <a:ext cx="5616000" cy="2246400"/>
                    </a:xfrm>
                    <a:prstGeom prst="rect"/>
                  </pic:spPr>
                </pic:pic>
              </a:graphicData>
            </a:graphic>
          </wp:inline>
        </w:drawing>
      </w:r>
    </w:p>
    <w:p>
      <w:pPr>
        <w:spacing w:before="40" w:after="160"/>
        <w:jc w:val="center"/>
      </w:pPr>
      <w:r>
        <w:rPr>
          <w:rFonts w:ascii="Calibri" w:hAnsi="Calibri"/>
          <w:i/>
          <w:color w:val="505A66"/>
          <w:sz w:val="17"/>
        </w:rPr>
        <w:t>À esquerda, o custo total por período (menor é melhor): o SARIMAX com promoção é o mais barato. À direita, a folga de estoque exigida (menor é melhor): o modelo que erra menos precisa de menos colchão.</w:t>
      </w:r>
    </w:p>
    <w:p>
      <w:pPr>
        <w:spacing w:after="80" w:before="0" w:line="276" w:lineRule="auto"/>
      </w:pPr>
      <w:r>
        <w:rPr>
          <w:rFonts w:ascii="Calibri" w:hAnsi="Calibri"/>
          <w:b w:val="0"/>
          <w:sz w:val="21"/>
        </w:rPr>
        <w:t>Agora, os três critérios que a diretoria fixou para o comitê de dezembro:</w:t>
      </w:r>
    </w:p>
    <w:tbl>
      <w:tblPr>
        <w:tblW w:type="auto" w:w="0"/>
        <w:tblLayout w:type="autofit"/>
        <w:tblLook w:firstColumn="1" w:firstRow="1" w:lastColumn="0" w:lastRow="0" w:noHBand="0" w:noVBand="1" w:val="04A0"/>
        <w:tblBorders>
          <w:top w:val="single" w:sz="8" w:space="0" w:color="4CA66A"/>
          <w:left w:val="single" w:sz="8" w:space="0" w:color="4CA66A"/>
          <w:bottom w:val="single" w:sz="8" w:space="0" w:color="4CA66A"/>
          <w:right w:val="single" w:sz="8" w:space="0" w:color="4CA66A"/>
          <w:insideH w:val="single" w:sz="8" w:space="0" w:color="4CA66A"/>
          <w:insideV w:val="single" w:sz="8" w:space="0" w:color="4CA66A"/>
        </w:tblBorders>
      </w:tblPr>
      <w:tblGrid>
        <w:gridCol w:w="9746"/>
      </w:tblGrid>
      <w:tr>
        <w:tc>
          <w:tcPr>
            <w:tcW w:type="dxa" w:w="9746"/>
            <w:shd w:val="clear" w:color="auto" w:fill="E7F4EA"/>
            <w:tcMar>
              <w:top w:w="90" w:type="dxa"/>
              <w:left w:w="140" w:type="dxa"/>
              <w:bottom w:w="90" w:type="dxa"/>
              <w:right w:w="140" w:type="dxa"/>
            </w:tcMar>
          </w:tcPr>
          <w:p>
            <w:pPr>
              <w:spacing w:after="0"/>
            </w:pPr>
            <w:r>
              <w:rPr>
                <w:rFonts w:ascii="Calibri" w:hAnsi="Calibri"/>
                <w:b/>
                <w:color w:val="1B6E3A"/>
                <w:sz w:val="20"/>
              </w:rPr>
              <w:t xml:space="preserve">Critério 1 — Superar o processo atual em erro:  </w:t>
            </w:r>
            <w:r>
              <w:rPr>
                <w:rFonts w:ascii="Calibri" w:hAnsi="Calibri"/>
                <w:b/>
                <w:sz w:val="20"/>
              </w:rPr>
              <w:t>Atendido.</w:t>
            </w:r>
            <w:r>
              <w:rPr>
                <w:rFonts w:ascii="Calibri" w:hAnsi="Calibri"/>
                <w:b w:val="0"/>
                <w:sz w:val="20"/>
              </w:rPr>
              <w:t xml:space="preserve"> O erro médio cai de 22,05% (média das 4 semanas) para 15,39% (SARIMAX com promoção).</w:t>
            </w:r>
          </w:p>
        </w:tc>
      </w:tr>
    </w:tbl>
    <w:p>
      <w:pPr>
        <w:spacing w:after="80"/>
      </w:pPr>
    </w:p>
    <w:tbl>
      <w:tblPr>
        <w:tblW w:type="auto" w:w="0"/>
        <w:tblLayout w:type="autofit"/>
        <w:tblLook w:firstColumn="1" w:firstRow="1" w:lastColumn="0" w:lastRow="0" w:noHBand="0" w:noVBand="1" w:val="04A0"/>
        <w:tblBorders>
          <w:top w:val="single" w:sz="8" w:space="0" w:color="D9A441"/>
          <w:left w:val="single" w:sz="8" w:space="0" w:color="D9A441"/>
          <w:bottom w:val="single" w:sz="8" w:space="0" w:color="D9A441"/>
          <w:right w:val="single" w:sz="8" w:space="0" w:color="D9A441"/>
          <w:insideH w:val="single" w:sz="8" w:space="0" w:color="D9A441"/>
          <w:insideV w:val="single" w:sz="8" w:space="0" w:color="D9A441"/>
        </w:tblBorders>
      </w:tblPr>
      <w:tblGrid>
        <w:gridCol w:w="9746"/>
      </w:tblGrid>
      <w:tr>
        <w:tc>
          <w:tcPr>
            <w:tcW w:type="dxa" w:w="9746"/>
            <w:shd w:val="clear" w:color="auto" w:fill="FBF1DF"/>
            <w:tcMar>
              <w:top w:w="90" w:type="dxa"/>
              <w:left w:w="140" w:type="dxa"/>
              <w:bottom w:w="90" w:type="dxa"/>
              <w:right w:w="140" w:type="dxa"/>
            </w:tcMar>
          </w:tcPr>
          <w:p>
            <w:pPr>
              <w:spacing w:after="0"/>
            </w:pPr>
            <w:r>
              <w:rPr>
                <w:rFonts w:ascii="Calibri" w:hAnsi="Calibri"/>
                <w:b/>
                <w:color w:val="A96400"/>
                <w:sz w:val="20"/>
              </w:rPr>
              <w:t xml:space="preserve">Critério 2 — Viés próximo de zero:  </w:t>
            </w:r>
            <w:r>
              <w:rPr>
                <w:rFonts w:ascii="Calibri" w:hAnsi="Calibri"/>
                <w:b/>
                <w:sz w:val="20"/>
              </w:rPr>
              <w:t>Atendido com ressalva.</w:t>
            </w:r>
            <w:r>
              <w:rPr>
                <w:rFonts w:ascii="Calibri" w:hAnsi="Calibri"/>
                <w:b w:val="0"/>
                <w:sz w:val="20"/>
              </w:rPr>
              <w:t xml:space="preserve"> O SARIMAX tem viés de +6,40% — ele tende a pedir um pouco a mais, o que erra para o lado </w:t>
            </w:r>
            <w:r>
              <w:rPr>
                <w:rFonts w:ascii="Calibri" w:hAnsi="Calibri"/>
                <w:b/>
                <w:sz w:val="20"/>
              </w:rPr>
              <w:t>barato</w:t>
            </w:r>
            <w:r>
              <w:rPr>
                <w:rFonts w:ascii="Calibri" w:hAnsi="Calibri"/>
                <w:b w:val="0"/>
                <w:sz w:val="20"/>
              </w:rPr>
              <w:t xml:space="preserve"> (sobrar). O Holt-Winters é mais neutro (+1,85%), porém mais caro. É o critério mais frágil dos três, e vale declarar isso com transparência.</w:t>
            </w:r>
          </w:p>
        </w:tc>
      </w:tr>
    </w:tbl>
    <w:p>
      <w:pPr>
        <w:spacing w:after="80"/>
      </w:pPr>
    </w:p>
    <w:tbl>
      <w:tblPr>
        <w:tblW w:type="auto" w:w="0"/>
        <w:tblLayout w:type="autofit"/>
        <w:tblLook w:firstColumn="1" w:firstRow="1" w:lastColumn="0" w:lastRow="0" w:noHBand="0" w:noVBand="1" w:val="04A0"/>
        <w:tblBorders>
          <w:top w:val="single" w:sz="8" w:space="0" w:color="4CA66A"/>
          <w:left w:val="single" w:sz="8" w:space="0" w:color="4CA66A"/>
          <w:bottom w:val="single" w:sz="8" w:space="0" w:color="4CA66A"/>
          <w:right w:val="single" w:sz="8" w:space="0" w:color="4CA66A"/>
          <w:insideH w:val="single" w:sz="8" w:space="0" w:color="4CA66A"/>
          <w:insideV w:val="single" w:sz="8" w:space="0" w:color="4CA66A"/>
        </w:tblBorders>
      </w:tblPr>
      <w:tblGrid>
        <w:gridCol w:w="9746"/>
      </w:tblGrid>
      <w:tr>
        <w:tc>
          <w:tcPr>
            <w:tcW w:type="dxa" w:w="9746"/>
            <w:shd w:val="clear" w:color="auto" w:fill="E7F4EA"/>
            <w:tcMar>
              <w:top w:w="90" w:type="dxa"/>
              <w:left w:w="140" w:type="dxa"/>
              <w:bottom w:w="90" w:type="dxa"/>
              <w:right w:w="140" w:type="dxa"/>
            </w:tcMar>
          </w:tcPr>
          <w:p>
            <w:pPr>
              <w:spacing w:after="0"/>
            </w:pPr>
            <w:r>
              <w:rPr>
                <w:rFonts w:ascii="Calibri" w:hAnsi="Calibri"/>
                <w:b/>
                <w:color w:val="1B6E3A"/>
                <w:sz w:val="20"/>
              </w:rPr>
              <w:t xml:space="preserve">Critério 3 — Reduzir o custo total em reais (o decisivo):  </w:t>
            </w:r>
            <w:r>
              <w:rPr>
                <w:rFonts w:ascii="Calibri" w:hAnsi="Calibri"/>
                <w:b/>
                <w:sz w:val="20"/>
              </w:rPr>
              <w:t>Atendido.</w:t>
            </w:r>
            <w:r>
              <w:rPr>
                <w:rFonts w:ascii="Calibri" w:hAnsi="Calibri"/>
                <w:b w:val="0"/>
                <w:sz w:val="20"/>
              </w:rPr>
              <w:t xml:space="preserve"> Queda de </w:t>
            </w:r>
            <w:r>
              <w:rPr>
                <w:rFonts w:ascii="Calibri" w:hAnsi="Calibri"/>
                <w:b/>
                <w:sz w:val="20"/>
              </w:rPr>
              <w:t>27,2%</w:t>
            </w:r>
            <w:r>
              <w:rPr>
                <w:rFonts w:ascii="Calibri" w:hAnsi="Calibri"/>
                <w:b w:val="0"/>
                <w:sz w:val="20"/>
              </w:rPr>
              <w:t xml:space="preserve"> no custo por período. É o critério que manda — e ele é cumprido com folga pelo modelo proposto.</w:t>
            </w:r>
          </w:p>
        </w:tc>
      </w:tr>
    </w:tbl>
    <w:p>
      <w:pPr>
        <w:spacing w:after="80"/>
      </w:pPr>
    </w:p>
    <w:p>
      <w:pPr>
        <w:spacing w:after="120" w:before="0" w:line="276" w:lineRule="auto"/>
      </w:pPr>
      <w:r>
        <w:rPr>
          <w:rFonts w:ascii="Calibri" w:hAnsi="Calibri"/>
          <w:b w:val="0"/>
          <w:sz w:val="21"/>
        </w:rPr>
        <w:t xml:space="preserve">Vale registrar a conclusão mais importante do case: o </w:t>
      </w:r>
      <w:r>
        <w:rPr>
          <w:rFonts w:ascii="Calibri" w:hAnsi="Calibri"/>
          <w:b/>
          <w:sz w:val="21"/>
        </w:rPr>
        <w:t>Holt-Winters</w:t>
      </w:r>
      <w:r>
        <w:rPr>
          <w:rFonts w:ascii="Calibri" w:hAnsi="Calibri"/>
          <w:b w:val="0"/>
          <w:sz w:val="21"/>
        </w:rPr>
        <w:t xml:space="preserve"> tem bom erro de previsão (15,36%), mas custa </w:t>
      </w:r>
      <w:r>
        <w:rPr>
          <w:rFonts w:ascii="Calibri" w:hAnsi="Calibri"/>
          <w:b/>
          <w:sz w:val="21"/>
        </w:rPr>
        <w:t>mais caro</w:t>
      </w:r>
      <w:r>
        <w:rPr>
          <w:rFonts w:ascii="Calibri" w:hAnsi="Calibri"/>
          <w:b w:val="0"/>
          <w:sz w:val="21"/>
        </w:rPr>
        <w:t xml:space="preserve"> do que o processo atual (R$ 160,13 contra R$ 147,11). Ou seja, </w:t>
      </w:r>
      <w:r>
        <w:rPr>
          <w:rFonts w:ascii="Calibri" w:hAnsi="Calibri"/>
          <w:b/>
          <w:sz w:val="21"/>
        </w:rPr>
        <w:t>acertar a previsão não garante economizar</w:t>
      </w:r>
      <w:r>
        <w:rPr>
          <w:rFonts w:ascii="Calibri" w:hAnsi="Calibri"/>
          <w:b w:val="0"/>
          <w:sz w:val="21"/>
        </w:rPr>
        <w:t xml:space="preserve"> — o que decide é o custo total. Por isso a escolha recai sobre o </w:t>
      </w:r>
      <w:r>
        <w:rPr>
          <w:rFonts w:ascii="Calibri" w:hAnsi="Calibri"/>
          <w:b/>
          <w:sz w:val="21"/>
        </w:rPr>
        <w:t>SARIMAX com promoção</w:t>
      </w:r>
      <w:r>
        <w:rPr>
          <w:rFonts w:ascii="Calibri" w:hAnsi="Calibri"/>
          <w:b w:val="0"/>
          <w:sz w:val="21"/>
        </w:rPr>
        <w:t>.</w:t>
      </w:r>
    </w:p>
    <w:p>
      <w:pPr>
        <w:spacing w:before="200" w:after="80"/>
      </w:pPr>
      <w:r>
        <w:rPr>
          <w:rFonts w:ascii="Calibri" w:hAnsi="Calibri"/>
          <w:b/>
          <w:color w:val="0F3D5C"/>
          <w:sz w:val="23"/>
        </w:rPr>
        <w:t>4.5 — E o que aparece na tela do comprador?</w:t>
      </w:r>
    </w:p>
    <w:p>
      <w:pPr>
        <w:spacing w:after="120" w:before="0" w:line="276" w:lineRule="auto"/>
      </w:pPr>
      <w:r>
        <w:rPr>
          <w:rFonts w:ascii="Calibri" w:hAnsi="Calibri"/>
          <w:b w:val="0"/>
          <w:sz w:val="21"/>
        </w:rPr>
        <w:t>Para o P0131, no cenário de teste, com estoque de 3.000 unidades disponíveis no CD, a conta que o comprador vê aberta é:</w:t>
      </w:r>
    </w:p>
    <w:tbl>
      <w:tblPr>
        <w:tblW w:type="auto" w:w="0"/>
        <w:tblLayout w:type="fixed"/>
        <w:tblLook w:firstColumn="1" w:firstRow="1" w:lastColumn="0" w:lastRow="0" w:noHBand="0" w:noVBand="1" w:val="04A0"/>
        <w:tblBorders>
          <w:top w:val="single" w:sz="4" w:space="0" w:color="CBD6E0"/>
          <w:left w:val="single" w:sz="4" w:space="0" w:color="CBD6E0"/>
          <w:bottom w:val="single" w:sz="4" w:space="0" w:color="CBD6E0"/>
          <w:right w:val="single" w:sz="4" w:space="0" w:color="CBD6E0"/>
          <w:insideH w:val="single" w:sz="4" w:space="0" w:color="CBD6E0"/>
          <w:insideV w:val="single" w:sz="4" w:space="0" w:color="CBD6E0"/>
        </w:tblBorders>
      </w:tblPr>
      <w:tblGrid>
        <w:gridCol w:w="4873"/>
        <w:gridCol w:w="4873"/>
      </w:tblGrid>
      <w:tr>
        <w:tc>
          <w:tcPr>
            <w:tcW w:type="dxa" w:w="5669"/>
            <w:shd w:val="clear" w:color="auto" w:fill="0F3D5C"/>
            <w:tcMar>
              <w:top w:w="50" w:type="dxa"/>
              <w:left w:w="110" w:type="dxa"/>
              <w:bottom w:w="50" w:type="dxa"/>
              <w:right w:w="110" w:type="dxa"/>
            </w:tcMar>
          </w:tcPr>
          <w:p>
            <w:pPr>
              <w:spacing w:after="0"/>
            </w:pPr>
            <w:r>
              <w:rPr>
                <w:rFonts w:ascii="Calibri" w:hAnsi="Calibri"/>
                <w:b/>
                <w:color w:val="FFFFFF"/>
                <w:sz w:val="19"/>
              </w:rPr>
              <w:t>Componente</w:t>
            </w:r>
          </w:p>
        </w:tc>
        <w:tc>
          <w:tcPr>
            <w:tcW w:type="dxa" w:w="2835"/>
            <w:shd w:val="clear" w:color="auto" w:fill="0F3D5C"/>
            <w:tcMar>
              <w:top w:w="50" w:type="dxa"/>
              <w:left w:w="110" w:type="dxa"/>
              <w:bottom w:w="50" w:type="dxa"/>
              <w:right w:w="110" w:type="dxa"/>
            </w:tcMar>
          </w:tcPr>
          <w:p>
            <w:pPr>
              <w:spacing w:after="0"/>
            </w:pPr>
            <w:r>
              <w:rPr>
                <w:rFonts w:ascii="Calibri" w:hAnsi="Calibri"/>
                <w:b/>
                <w:color w:val="FFFFFF"/>
                <w:sz w:val="19"/>
              </w:rPr>
              <w:t>Valor</w:t>
            </w:r>
          </w:p>
        </w:tc>
      </w:tr>
      <w:tr>
        <w:tc>
          <w:tcPr>
            <w:tcW w:type="dxa" w:w="5669"/>
            <w:tcMar>
              <w:top w:w="45" w:type="dxa"/>
              <w:left w:w="110" w:type="dxa"/>
              <w:bottom w:w="45" w:type="dxa"/>
              <w:right w:w="110" w:type="dxa"/>
            </w:tcMar>
          </w:tcPr>
          <w:p>
            <w:pPr>
              <w:spacing w:after="0"/>
            </w:pPr>
            <w:r>
              <w:rPr>
                <w:rFonts w:ascii="Calibri" w:hAnsi="Calibri"/>
                <w:b w:val="0"/>
                <w:sz w:val="19"/>
              </w:rPr>
              <w:t>(+) Demanda prevista para 28 dias</w:t>
            </w:r>
          </w:p>
        </w:tc>
        <w:tc>
          <w:tcPr>
            <w:tcW w:type="dxa" w:w="2835"/>
            <w:tcMar>
              <w:top w:w="45" w:type="dxa"/>
              <w:left w:w="110" w:type="dxa"/>
              <w:bottom w:w="45" w:type="dxa"/>
              <w:right w:w="110" w:type="dxa"/>
            </w:tcMar>
          </w:tcPr>
          <w:p>
            <w:pPr>
              <w:spacing w:after="0"/>
            </w:pPr>
            <w:r>
              <w:rPr>
                <w:rFonts w:ascii="Calibri" w:hAnsi="Calibri"/>
                <w:b w:val="0"/>
                <w:sz w:val="19"/>
              </w:rPr>
              <w:t>8.198,5 un</w:t>
            </w:r>
          </w:p>
        </w:tc>
      </w:tr>
      <w:tr>
        <w:tc>
          <w:tcPr>
            <w:tcW w:type="dxa" w:w="5669"/>
            <w:tcMar>
              <w:top w:w="45" w:type="dxa"/>
              <w:left w:w="110" w:type="dxa"/>
              <w:bottom w:w="45" w:type="dxa"/>
              <w:right w:w="110" w:type="dxa"/>
            </w:tcMar>
            <w:shd w:val="clear" w:color="auto" w:fill="F2F6F9"/>
          </w:tcPr>
          <w:p>
            <w:pPr>
              <w:spacing w:after="0"/>
            </w:pPr>
            <w:r>
              <w:rPr>
                <w:rFonts w:ascii="Calibri" w:hAnsi="Calibri"/>
                <w:b w:val="0"/>
                <w:sz w:val="19"/>
              </w:rPr>
              <w:t>(+) Folga de estoque (estoque de segurança)</w:t>
            </w:r>
          </w:p>
        </w:tc>
        <w:tc>
          <w:tcPr>
            <w:tcW w:type="dxa" w:w="2835"/>
            <w:tcMar>
              <w:top w:w="45" w:type="dxa"/>
              <w:left w:w="110" w:type="dxa"/>
              <w:bottom w:w="45" w:type="dxa"/>
              <w:right w:w="110" w:type="dxa"/>
            </w:tcMar>
            <w:shd w:val="clear" w:color="auto" w:fill="F2F6F9"/>
          </w:tcPr>
          <w:p>
            <w:pPr>
              <w:spacing w:after="0"/>
            </w:pPr>
            <w:r>
              <w:rPr>
                <w:rFonts w:ascii="Calibri" w:hAnsi="Calibri"/>
                <w:b w:val="0"/>
                <w:sz w:val="19"/>
              </w:rPr>
              <w:t>783,6 un</w:t>
            </w:r>
          </w:p>
        </w:tc>
      </w:tr>
      <w:tr>
        <w:tc>
          <w:tcPr>
            <w:tcW w:type="dxa" w:w="5669"/>
            <w:tcMar>
              <w:top w:w="45" w:type="dxa"/>
              <w:left w:w="110" w:type="dxa"/>
              <w:bottom w:w="45" w:type="dxa"/>
              <w:right w:w="110" w:type="dxa"/>
            </w:tcMar>
          </w:tcPr>
          <w:p>
            <w:pPr>
              <w:spacing w:after="0"/>
            </w:pPr>
            <w:r>
              <w:rPr>
                <w:rFonts w:ascii="Calibri" w:hAnsi="Calibri"/>
                <w:b w:val="0"/>
                <w:sz w:val="19"/>
              </w:rPr>
              <w:t>(−) Estoque disponível no CD</w:t>
            </w:r>
          </w:p>
        </w:tc>
        <w:tc>
          <w:tcPr>
            <w:tcW w:type="dxa" w:w="2835"/>
            <w:tcMar>
              <w:top w:w="45" w:type="dxa"/>
              <w:left w:w="110" w:type="dxa"/>
              <w:bottom w:w="45" w:type="dxa"/>
              <w:right w:w="110" w:type="dxa"/>
            </w:tcMar>
          </w:tcPr>
          <w:p>
            <w:pPr>
              <w:spacing w:after="0"/>
            </w:pPr>
            <w:r>
              <w:rPr>
                <w:rFonts w:ascii="Calibri" w:hAnsi="Calibri"/>
                <w:b w:val="0"/>
                <w:sz w:val="19"/>
              </w:rPr>
              <w:t>3.000,0 un</w:t>
            </w:r>
          </w:p>
        </w:tc>
      </w:tr>
      <w:tr>
        <w:tc>
          <w:tcPr>
            <w:tcW w:type="dxa" w:w="5669"/>
            <w:tcMar>
              <w:top w:w="45" w:type="dxa"/>
              <w:left w:w="110" w:type="dxa"/>
              <w:bottom w:w="45" w:type="dxa"/>
              <w:right w:w="110" w:type="dxa"/>
            </w:tcMar>
            <w:shd w:val="clear" w:color="auto" w:fill="F2F6F9"/>
          </w:tcPr>
          <w:p>
            <w:pPr>
              <w:spacing w:after="0"/>
            </w:pPr>
            <w:r>
              <w:rPr>
                <w:rFonts w:ascii="Calibri" w:hAnsi="Calibri"/>
                <w:b/>
                <w:sz w:val="19"/>
              </w:rPr>
              <w:t>(=) Pedido sugerido</w:t>
            </w:r>
          </w:p>
        </w:tc>
        <w:tc>
          <w:tcPr>
            <w:tcW w:type="dxa" w:w="2835"/>
            <w:tcMar>
              <w:top w:w="45" w:type="dxa"/>
              <w:left w:w="110" w:type="dxa"/>
              <w:bottom w:w="45" w:type="dxa"/>
              <w:right w:w="110" w:type="dxa"/>
            </w:tcMar>
            <w:shd w:val="clear" w:color="auto" w:fill="F2F6F9"/>
          </w:tcPr>
          <w:p>
            <w:pPr>
              <w:spacing w:after="0"/>
            </w:pPr>
            <w:r>
              <w:rPr>
                <w:rFonts w:ascii="Calibri" w:hAnsi="Calibri"/>
                <w:b/>
                <w:sz w:val="19"/>
              </w:rPr>
              <w:t>5.982,1 un</w:t>
            </w:r>
          </w:p>
        </w:tc>
      </w:tr>
    </w:tbl>
    <w:p>
      <w:pPr>
        <w:spacing w:after="40"/>
      </w:pPr>
    </w:p>
    <w:p>
      <w:pPr>
        <w:spacing w:after="120" w:before="0" w:line="276" w:lineRule="auto"/>
      </w:pPr>
      <w:r>
        <w:rPr>
          <w:rFonts w:ascii="Calibri" w:hAnsi="Calibri"/>
          <w:b w:val="0"/>
          <w:sz w:val="21"/>
        </w:rPr>
        <w:t xml:space="preserve">Cada parcela fica visível. Isso atende à exigência do comprador — *"se o sistema me mandar pedir um número e não me disser de onde saiu, eu volto para a minha planilha"*. A cobertura montada equivale a cerca de </w:t>
      </w:r>
      <w:r>
        <w:rPr>
          <w:rFonts w:ascii="Calibri" w:hAnsi="Calibri"/>
          <w:b/>
          <w:sz w:val="21"/>
        </w:rPr>
        <w:t>30,8 dias</w:t>
      </w:r>
      <w:r>
        <w:rPr>
          <w:rFonts w:ascii="Calibri" w:hAnsi="Calibri"/>
          <w:b w:val="0"/>
          <w:sz w:val="21"/>
        </w:rPr>
        <w:t xml:space="preserve"> de venda média.</w:t>
      </w:r>
    </w:p>
    <w:tbl>
      <w:tblPr>
        <w:tblW w:type="auto" w:w="0"/>
        <w:tblLayout w:type="autofit"/>
        <w:tblLook w:firstColumn="1" w:firstRow="1" w:lastColumn="0" w:lastRow="0" w:noHBand="0" w:noVBand="1" w:val="04A0"/>
        <w:tblBorders>
          <w:top w:val="single" w:sz="8" w:space="0" w:color="0E808C"/>
          <w:left w:val="single" w:sz="8" w:space="0" w:color="0E808C"/>
          <w:bottom w:val="single" w:sz="8" w:space="0" w:color="0E808C"/>
          <w:right w:val="single" w:sz="8" w:space="0" w:color="0E808C"/>
          <w:insideH w:val="single" w:sz="8" w:space="0" w:color="0E808C"/>
          <w:insideV w:val="single" w:sz="8" w:space="0" w:color="0E808C"/>
        </w:tblBorders>
      </w:tblPr>
      <w:tblGrid>
        <w:gridCol w:w="9746"/>
      </w:tblGrid>
      <w:tr>
        <w:tc>
          <w:tcPr>
            <w:tcW w:type="dxa" w:w="9746"/>
            <w:shd w:val="clear" w:color="auto" w:fill="E8F3F5"/>
            <w:tcMar>
              <w:top w:w="90" w:type="dxa"/>
              <w:left w:w="140" w:type="dxa"/>
              <w:bottom w:w="90" w:type="dxa"/>
              <w:right w:w="140" w:type="dxa"/>
            </w:tcMar>
          </w:tcPr>
          <w:p>
            <w:pPr>
              <w:spacing w:after="0"/>
            </w:pPr>
            <w:r>
              <w:rPr>
                <w:rFonts w:ascii="Calibri" w:hAnsi="Calibri"/>
                <w:b/>
                <w:color w:val="0E808C"/>
                <w:sz w:val="20"/>
              </w:rPr>
              <w:t xml:space="preserve">Conclusão  </w:t>
            </w:r>
            <w:r>
              <w:rPr>
                <w:rFonts w:ascii="Calibri" w:hAnsi="Calibri"/>
                <w:b w:val="0"/>
                <w:sz w:val="20"/>
              </w:rPr>
              <w:t xml:space="preserve">O projeto supera o processo atual </w:t>
            </w:r>
            <w:r>
              <w:rPr>
                <w:rFonts w:ascii="Calibri" w:hAnsi="Calibri"/>
                <w:b/>
                <w:sz w:val="20"/>
              </w:rPr>
              <w:t>nos três critérios</w:t>
            </w:r>
            <w:r>
              <w:rPr>
                <w:rFonts w:ascii="Calibri" w:hAnsi="Calibri"/>
                <w:b w:val="0"/>
                <w:sz w:val="20"/>
              </w:rPr>
              <w:t xml:space="preserve">, e o critério decisivo — custo total — é cumprido com folga. O ganho vem menos de "prever melhor" e mais de </w:t>
            </w:r>
            <w:r>
              <w:rPr>
                <w:rFonts w:ascii="Calibri" w:hAnsi="Calibri"/>
                <w:b/>
                <w:sz w:val="20"/>
              </w:rPr>
              <w:t>decidir melhor</w:t>
            </w:r>
            <w:r>
              <w:rPr>
                <w:rFonts w:ascii="Calibri" w:hAnsi="Calibri"/>
                <w:b w:val="0"/>
                <w:sz w:val="20"/>
              </w:rPr>
              <w:t>: o mesmo nível de serviço exige muito menos estoque quando o modelo erra menos.</w:t>
            </w:r>
          </w:p>
        </w:tc>
      </w:tr>
    </w:tbl>
    <w:p>
      <w:pPr>
        <w:spacing w:after="80"/>
      </w:pPr>
    </w:p>
    <w:sectPr w:rsidR="00FC693F" w:rsidRPr="0006063C" w:rsidSect="00034616">
      <w:footerReference w:type="default" r:id="rId12"/>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05A66"/>
        <w:sz w:val="16"/>
      </w:rPr>
      <w:t xml:space="preserve">Rede Bandeirante · Supply Chain Forecasting · Perguntas para Discussão   |   Página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33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