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spacing w:after="60"/>
        <w:jc w:val="center"/>
      </w:pPr>
      <w:r>
        <w:rPr>
          <w:rFonts w:ascii="Aptos Display" w:hAnsi="Aptos Display"/>
          <w:b/>
          <w:color w:val="000000"/>
          <w:sz w:val="36"/>
        </w:rPr>
        <w:t>SRE 2218 Solicitud Interna</w:t>
      </w:r>
    </w:p>
    <w:p>
      <w:pPr>
        <w:spacing w:after="280"/>
        <w:jc w:val="center"/>
      </w:pPr>
      <w:r>
        <w:rPr>
          <w:rFonts w:ascii="Aptos" w:hAnsi="Aptos"/>
          <w:b/>
          <w:color w:val="404040"/>
          <w:sz w:val="23"/>
        </w:rPr>
        <w:t>Provisión devolución y descargo</w:t>
      </w:r>
    </w:p>
    <w:p>
      <w:pPr>
        <w:spacing w:before="0" w:after="200" w:line="259" w:lineRule="auto"/>
      </w:pPr>
      <w:r>
        <w:rPr>
          <w:rFonts w:ascii="Aptos" w:hAnsi="Aptos"/>
          <w:color w:val="000000"/>
          <w:sz w:val="21"/>
        </w:rPr>
        <w:t>Guía breve para estudiar qué es el SRE 2218, cuándo se utiliza y qué relación tiene con los formularios SRE 2404, SRE 2407 y SRE 104.</w:t>
      </w:r>
    </w:p>
    <w:p>
      <w:pPr>
        <w:pStyle w:val="Heading1"/>
      </w:pPr>
      <w:r>
        <w:t>1 Qué es el SRE 2218</w:t>
      </w:r>
    </w:p>
    <w:p>
      <w:pPr>
        <w:spacing w:before="0" w:after="120" w:line="259" w:lineRule="auto"/>
      </w:pPr>
      <w:r>
        <w:rPr>
          <w:rFonts w:ascii="Aptos" w:hAnsi="Aptos"/>
          <w:color w:val="000000"/>
          <w:sz w:val="21"/>
        </w:rPr>
        <w:t>El SRE 2218 es la Solicitud Interna de Provisión, Devolución o Descargo. Es el formulario que se utiliza dentro de la unidad usuaria o de apoyo logístico para solicitar efectos de cualquier tipo necesarios para actividades de instrucción, operaciones, tareas de mantenimiento u otras actividades del servicio.</w:t>
      </w:r>
    </w:p>
    <w:p>
      <w:pPr>
        <w:spacing w:before="0" w:after="120" w:line="259" w:lineRule="auto"/>
      </w:pPr>
      <w:r>
        <w:rPr>
          <w:rFonts w:ascii="Aptos" w:hAnsi="Aptos"/>
          <w:color w:val="000000"/>
          <w:sz w:val="21"/>
        </w:rPr>
        <w:t>La solicitud puede referirse a efectos que figuren pendientes en el SRE 2404 o a los que estén especificados en el SRE 2407, según el nivel que intervenga.</w:t>
      </w:r>
    </w:p>
    <w:p>
      <w:pPr>
        <w:pStyle w:val="Heading1"/>
      </w:pPr>
      <w:r>
        <w:t>2 Para qué sirve</w:t>
      </w:r>
    </w:p>
    <w:p>
      <w:pPr>
        <w:pStyle w:val="ListBullet"/>
        <w:spacing w:after="80"/>
      </w:pPr>
      <w:r>
        <w:rPr>
          <w:rFonts w:ascii="Aptos" w:hAnsi="Aptos"/>
          <w:color w:val="000000"/>
          <w:sz w:val="21"/>
        </w:rPr>
        <w:t>Solicitar internamente la provisión de materiales, repuestos u otros efectos necesarios.</w:t>
      </w:r>
    </w:p>
    <w:p>
      <w:pPr>
        <w:pStyle w:val="ListBullet"/>
        <w:spacing w:after="80"/>
      </w:pPr>
      <w:r>
        <w:rPr>
          <w:rFonts w:ascii="Aptos" w:hAnsi="Aptos"/>
          <w:color w:val="000000"/>
          <w:sz w:val="21"/>
        </w:rPr>
        <w:t>Documentar la devolución de efectos servidos o entregados al depósito.</w:t>
      </w:r>
    </w:p>
    <w:p>
      <w:pPr>
        <w:pStyle w:val="ListBullet"/>
        <w:spacing w:after="80"/>
      </w:pPr>
      <w:r>
        <w:rPr>
          <w:rFonts w:ascii="Aptos" w:hAnsi="Aptos"/>
          <w:color w:val="000000"/>
          <w:sz w:val="21"/>
        </w:rPr>
        <w:t>Documentar el descargo de efectos consumidos que no tienen devolución, como ciertos consumibles de mantenimiento o efectos de la clase que corresponda.</w:t>
      </w:r>
    </w:p>
    <w:p>
      <w:pPr>
        <w:pStyle w:val="ListBullet"/>
        <w:spacing w:after="80"/>
      </w:pPr>
      <w:r>
        <w:rPr>
          <w:rFonts w:ascii="Aptos" w:hAnsi="Aptos"/>
          <w:color w:val="000000"/>
          <w:sz w:val="21"/>
        </w:rPr>
        <w:t>Permitir que Abastecimiento entregue los materiales requeridos por Mantenimiento mediante una solicitud autorizada.</w:t>
      </w:r>
    </w:p>
    <w:p>
      <w:pPr>
        <w:pStyle w:val="ListBullet"/>
        <w:spacing w:after="80"/>
      </w:pPr>
      <w:r>
        <w:rPr>
          <w:rFonts w:ascii="Aptos" w:hAnsi="Aptos"/>
          <w:color w:val="000000"/>
          <w:sz w:val="21"/>
        </w:rPr>
        <w:t>Controlar las cantidades consumidas en reparaciones, los repuestos reemplazados, los costos y los datos estadísticos de producción.</w:t>
      </w:r>
    </w:p>
    <w:p>
      <w:pPr>
        <w:pStyle w:val="Heading1"/>
      </w:pPr>
      <w:r>
        <w:t>3 Aplicación según la doctrina</w:t>
      </w:r>
    </w:p>
    <w:p>
      <w:pPr>
        <w:spacing w:after="120" w:line="259" w:lineRule="auto"/>
      </w:pPr>
      <w:r>
        <w:rPr>
          <w:rFonts w:ascii="Aptos" w:hAnsi="Aptos"/>
          <w:b/>
          <w:color w:val="000000"/>
          <w:sz w:val="21"/>
        </w:rPr>
        <w:t xml:space="preserve">Provisión. </w:t>
      </w:r>
      <w:r>
        <w:rPr>
          <w:rFonts w:ascii="Aptos" w:hAnsi="Aptos"/>
          <w:color w:val="000000"/>
          <w:sz w:val="21"/>
        </w:rPr>
        <w:t>Mantenimiento confecciona la solicitud para retirar del depósito los materiales necesarios para una reparación u otra actividad autorizada. El depósito entrega los efectos cuando la solicitud está autorizada.</w:t>
      </w:r>
    </w:p>
    <w:p>
      <w:pPr>
        <w:spacing w:after="120" w:line="259" w:lineRule="auto"/>
      </w:pPr>
      <w:r>
        <w:rPr>
          <w:rFonts w:ascii="Aptos" w:hAnsi="Aptos"/>
          <w:b/>
          <w:color w:val="000000"/>
          <w:sz w:val="21"/>
        </w:rPr>
        <w:t xml:space="preserve">Devolución. </w:t>
      </w:r>
      <w:r>
        <w:rPr>
          <w:rFonts w:ascii="Aptos" w:hAnsi="Aptos"/>
          <w:color w:val="000000"/>
          <w:sz w:val="21"/>
        </w:rPr>
        <w:t>La subunidad que entrega efectos servidos confecciona el SRE 2218 por devolución. La Oficina de Control y Cargo utiliza esa constancia para continuar el trámite documentario correspondiente.</w:t>
      </w:r>
    </w:p>
    <w:p>
      <w:pPr>
        <w:spacing w:after="120" w:line="259" w:lineRule="auto"/>
      </w:pPr>
      <w:r>
        <w:rPr>
          <w:rFonts w:ascii="Aptos" w:hAnsi="Aptos"/>
          <w:b/>
          <w:color w:val="000000"/>
          <w:sz w:val="21"/>
        </w:rPr>
        <w:t xml:space="preserve">Descargo. </w:t>
      </w:r>
      <w:r>
        <w:rPr>
          <w:rFonts w:ascii="Aptos" w:hAnsi="Aptos"/>
          <w:color w:val="000000"/>
          <w:sz w:val="21"/>
        </w:rPr>
        <w:t>Cuando se consumen efectos sin devolución, la subunidad confecciona el SRE 2218 por descargo. La Oficina de Control y Cargo recibe la solicitud y emite la documentación interna que corresponda.</w:t>
      </w:r>
    </w:p>
    <w:p>
      <w:pPr>
        <w:pStyle w:val="Heading1"/>
      </w:pPr>
      <w:r>
        <w:t>4 Confección y disposición</w:t>
      </w:r>
    </w:p>
    <w:p>
      <w:pPr>
        <w:spacing w:before="0" w:after="120" w:line="259" w:lineRule="auto"/>
      </w:pPr>
      <w:r>
        <w:rPr>
          <w:rFonts w:ascii="Aptos" w:hAnsi="Aptos"/>
          <w:color w:val="000000"/>
          <w:sz w:val="21"/>
        </w:rPr>
        <w:t>Como norma, el SRE 2218 se confecciona por duplicado: una copia queda en poder de la subunidad, fracción o taller solicitante y el original se diligencia por el nivel de mando correspondiente o directamente por el grupo de abastecimiento, según el procedimiento operativo normal. El reglamento indica que debe conservarse en archivo durante cinco años.</w:t>
      </w:r>
    </w:p>
    <w:p>
      <w:pPr>
        <w:spacing w:before="0" w:after="120" w:line="259" w:lineRule="auto"/>
      </w:pPr>
      <w:r>
        <w:rPr>
          <w:rFonts w:ascii="Aptos" w:hAnsi="Aptos"/>
          <w:color w:val="000000"/>
          <w:sz w:val="21"/>
        </w:rPr>
        <w:t>En una unidad logística, la cantidad de ejemplares y su distribución puede determinarse por el PON. Como mínimo se prevén copias para el elemento de programación y control de la producción y para el archivo del elemento de abastecimiento.</w:t>
      </w:r>
    </w:p>
    <w:p>
      <w:pPr>
        <w:pStyle w:val="Heading1"/>
      </w:pPr>
      <w:r>
        <w:t>5 Relación con otros formularios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997"/>
        <w:gridCol w:w="4997"/>
      </w:tblGrid>
      <w:tr>
        <w:tc>
          <w:tcPr>
            <w:tcW w:type="dxa" w:w="4997"/>
            <w:shd w:fill="404040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vAlign w:val="center"/>
          </w:tcPr>
          <w:p>
            <w:r>
              <w:rPr>
                <w:rFonts w:ascii="Aptos" w:hAnsi="Aptos"/>
                <w:b/>
                <w:color w:val="FFFFFF"/>
                <w:sz w:val="20"/>
              </w:rPr>
              <w:t>Formulario</w:t>
            </w:r>
          </w:p>
        </w:tc>
        <w:tc>
          <w:tcPr>
            <w:tcW w:type="dxa" w:w="4997"/>
            <w:shd w:fill="404040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vAlign w:val="center"/>
          </w:tcPr>
          <w:p>
            <w:r>
              <w:rPr>
                <w:rFonts w:ascii="Aptos" w:hAnsi="Aptos"/>
                <w:b/>
                <w:color w:val="FFFFFF"/>
                <w:sz w:val="20"/>
              </w:rPr>
              <w:t>Relación con el SRE 2218</w:t>
            </w:r>
          </w:p>
        </w:tc>
      </w:tr>
      <w:tr>
        <w:tc>
          <w:tcPr>
            <w:tcW w:type="dxa" w:w="4997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vAlign w:val="center"/>
          </w:tcPr>
          <w:p>
            <w:pPr>
              <w:spacing w:after="40"/>
            </w:pPr>
            <w:r>
              <w:rPr>
                <w:rFonts w:ascii="Aptos" w:hAnsi="Aptos"/>
                <w:b/>
                <w:color w:val="000000"/>
                <w:sz w:val="19"/>
              </w:rPr>
              <w:t>SRE 2404</w:t>
            </w:r>
          </w:p>
        </w:tc>
        <w:tc>
          <w:tcPr>
            <w:tcW w:type="dxa" w:w="4997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vAlign w:val="center"/>
          </w:tcPr>
          <w:p>
            <w:pPr>
              <w:spacing w:after="40"/>
            </w:pPr>
            <w:r>
              <w:rPr>
                <w:rFonts w:ascii="Aptos" w:hAnsi="Aptos"/>
                <w:b w:val="0"/>
                <w:color w:val="000000"/>
                <w:sz w:val="19"/>
              </w:rPr>
              <w:t>Hoja de Trabajo para Inspección y Mantenimiento. Puede dejar asentada la necesidad que luego se solicita mediante el SRE 2218.</w:t>
            </w:r>
          </w:p>
        </w:tc>
      </w:tr>
      <w:tr>
        <w:tc>
          <w:tcPr>
            <w:tcW w:type="dxa" w:w="4997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vAlign w:val="center"/>
            <w:shd w:fill="F2F2F2"/>
          </w:tcPr>
          <w:p>
            <w:pPr>
              <w:spacing w:after="40"/>
            </w:pPr>
            <w:r>
              <w:rPr>
                <w:rFonts w:ascii="Aptos" w:hAnsi="Aptos"/>
                <w:b/>
                <w:color w:val="000000"/>
                <w:sz w:val="19"/>
              </w:rPr>
              <w:t>SRE 2407</w:t>
            </w:r>
          </w:p>
        </w:tc>
        <w:tc>
          <w:tcPr>
            <w:tcW w:type="dxa" w:w="4997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vAlign w:val="center"/>
            <w:shd w:fill="F2F2F2"/>
          </w:tcPr>
          <w:p>
            <w:pPr>
              <w:spacing w:after="40"/>
            </w:pPr>
            <w:r>
              <w:rPr>
                <w:rFonts w:ascii="Aptos" w:hAnsi="Aptos"/>
                <w:b w:val="0"/>
                <w:color w:val="000000"/>
                <w:sz w:val="19"/>
              </w:rPr>
              <w:t>Pedido de Mantenimiento. Puede especificar necesidades de reparación que generan una solicitud interna de efectos.</w:t>
            </w:r>
          </w:p>
        </w:tc>
      </w:tr>
      <w:tr>
        <w:tc>
          <w:tcPr>
            <w:tcW w:type="dxa" w:w="4997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vAlign w:val="center"/>
          </w:tcPr>
          <w:p>
            <w:pPr>
              <w:spacing w:after="40"/>
            </w:pPr>
            <w:r>
              <w:rPr>
                <w:rFonts w:ascii="Aptos" w:hAnsi="Aptos"/>
                <w:b/>
                <w:color w:val="000000"/>
                <w:sz w:val="19"/>
              </w:rPr>
              <w:t>SRE 104</w:t>
            </w:r>
          </w:p>
        </w:tc>
        <w:tc>
          <w:tcPr>
            <w:tcW w:type="dxa" w:w="4997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vAlign w:val="center"/>
          </w:tcPr>
          <w:p>
            <w:pPr>
              <w:spacing w:after="40"/>
            </w:pPr>
            <w:r>
              <w:rPr>
                <w:rFonts w:ascii="Aptos" w:hAnsi="Aptos"/>
                <w:b w:val="0"/>
                <w:color w:val="000000"/>
                <w:sz w:val="19"/>
              </w:rPr>
              <w:t>Nota Interna que se confecciona como parte del trámite de provisión, devolución o descargo, según el caso.</w:t>
            </w:r>
          </w:p>
        </w:tc>
      </w:tr>
      <w:tr>
        <w:tc>
          <w:tcPr>
            <w:tcW w:type="dxa" w:w="4997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vAlign w:val="center"/>
            <w:shd w:fill="F2F2F2"/>
          </w:tcPr>
          <w:p>
            <w:pPr>
              <w:spacing w:after="40"/>
            </w:pPr>
            <w:r>
              <w:rPr>
                <w:rFonts w:ascii="Aptos" w:hAnsi="Aptos"/>
                <w:b/>
                <w:color w:val="000000"/>
                <w:sz w:val="19"/>
              </w:rPr>
              <w:t>SRE 1546-2</w:t>
            </w:r>
          </w:p>
        </w:tc>
        <w:tc>
          <w:tcPr>
            <w:tcW w:type="dxa" w:w="4997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vAlign w:val="center"/>
            <w:shd w:fill="F2F2F2"/>
          </w:tcPr>
          <w:p>
            <w:pPr>
              <w:spacing w:after="40"/>
            </w:pPr>
            <w:r>
              <w:rPr>
                <w:rFonts w:ascii="Aptos" w:hAnsi="Aptos"/>
                <w:b w:val="0"/>
                <w:color w:val="000000"/>
                <w:sz w:val="19"/>
              </w:rPr>
              <w:t>Requerimiento de abastecimiento que puede continuar el trámite hacia otro escalón.</w:t>
            </w:r>
          </w:p>
        </w:tc>
      </w:tr>
      <w:tr>
        <w:tc>
          <w:tcPr>
            <w:tcW w:type="dxa" w:w="4997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vAlign w:val="center"/>
          </w:tcPr>
          <w:p>
            <w:pPr>
              <w:spacing w:after="40"/>
            </w:pPr>
            <w:r>
              <w:rPr>
                <w:rFonts w:ascii="Aptos" w:hAnsi="Aptos"/>
                <w:b/>
                <w:color w:val="000000"/>
                <w:sz w:val="19"/>
              </w:rPr>
              <w:t>SRE 2064</w:t>
            </w:r>
          </w:p>
        </w:tc>
        <w:tc>
          <w:tcPr>
            <w:tcW w:type="dxa" w:w="4997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vAlign w:val="center"/>
          </w:tcPr>
          <w:p>
            <w:pPr>
              <w:spacing w:after="40"/>
            </w:pPr>
            <w:r>
              <w:rPr>
                <w:rFonts w:ascii="Aptos" w:hAnsi="Aptos"/>
                <w:b w:val="0"/>
                <w:color w:val="000000"/>
                <w:sz w:val="19"/>
              </w:rPr>
              <w:t>Registro de las acciones de abastecimiento vinculadas con solicitudes internas, según el nivel.</w:t>
            </w:r>
          </w:p>
        </w:tc>
      </w:tr>
    </w:tbl>
    <w:p>
      <w:pPr>
        <w:pStyle w:val="Heading1"/>
      </w:pPr>
      <w:r>
        <w:t>6 Preguntas y respuestas para estudiar</w:t>
      </w:r>
    </w:p>
    <w:p>
      <w:pPr>
        <w:spacing w:after="120" w:line="259" w:lineRule="auto"/>
      </w:pPr>
      <w:r>
        <w:rPr>
          <w:rFonts w:ascii="Aptos" w:hAnsi="Aptos"/>
          <w:b/>
          <w:color w:val="000000"/>
          <w:sz w:val="21"/>
        </w:rPr>
        <w:t xml:space="preserve">¿Qué es el SRE 2218? </w:t>
      </w:r>
      <w:r>
        <w:rPr>
          <w:rFonts w:ascii="Aptos" w:hAnsi="Aptos"/>
          <w:color w:val="000000"/>
          <w:sz w:val="21"/>
        </w:rPr>
        <w:t>Es la Solicitud Interna de Provisión, Devolución o Descargo.</w:t>
      </w:r>
    </w:p>
    <w:p>
      <w:pPr>
        <w:spacing w:after="120" w:line="259" w:lineRule="auto"/>
      </w:pPr>
      <w:r>
        <w:rPr>
          <w:rFonts w:ascii="Aptos" w:hAnsi="Aptos"/>
          <w:b/>
          <w:color w:val="000000"/>
          <w:sz w:val="21"/>
        </w:rPr>
        <w:t xml:space="preserve">¿Para qué sirve? </w:t>
      </w:r>
      <w:r>
        <w:rPr>
          <w:rFonts w:ascii="Aptos" w:hAnsi="Aptos"/>
          <w:color w:val="000000"/>
          <w:sz w:val="21"/>
        </w:rPr>
        <w:t>Para solicitar internamente efectos, documentar devoluciones y realizar descargos de efectos consumidos, además de controlar el abastecimiento y los costos relacionados.</w:t>
      </w:r>
    </w:p>
    <w:p>
      <w:pPr>
        <w:spacing w:after="120" w:line="259" w:lineRule="auto"/>
      </w:pPr>
      <w:r>
        <w:rPr>
          <w:rFonts w:ascii="Aptos" w:hAnsi="Aptos"/>
          <w:b/>
          <w:color w:val="000000"/>
          <w:sz w:val="21"/>
        </w:rPr>
        <w:t xml:space="preserve">¿Quién puede iniciarlo? </w:t>
      </w:r>
      <w:r>
        <w:rPr>
          <w:rFonts w:ascii="Aptos" w:hAnsi="Aptos"/>
          <w:color w:val="000000"/>
          <w:sz w:val="21"/>
        </w:rPr>
        <w:t>La subunidad, fracción, taller o elemento que necesita solicitar, devolver o descargar efectos, de acuerdo con el procedimiento del nivel.</w:t>
      </w:r>
    </w:p>
    <w:p>
      <w:pPr>
        <w:spacing w:after="120" w:line="259" w:lineRule="auto"/>
      </w:pPr>
      <w:r>
        <w:rPr>
          <w:rFonts w:ascii="Aptos" w:hAnsi="Aptos"/>
          <w:b/>
          <w:color w:val="000000"/>
          <w:sz w:val="21"/>
        </w:rPr>
        <w:t xml:space="preserve">¿Cuántos ejemplares se confeccionan normalmente? </w:t>
      </w:r>
      <w:r>
        <w:rPr>
          <w:rFonts w:ascii="Aptos" w:hAnsi="Aptos"/>
          <w:color w:val="000000"/>
          <w:sz w:val="21"/>
        </w:rPr>
        <w:t>Normalmente por duplicado; la cantidad puede variar según el nivel y el PON de la unidad logística.</w:t>
      </w:r>
    </w:p>
    <w:p>
      <w:pPr>
        <w:spacing w:after="120" w:line="259" w:lineRule="auto"/>
      </w:pPr>
      <w:r>
        <w:rPr>
          <w:rFonts w:ascii="Aptos" w:hAnsi="Aptos"/>
          <w:b/>
          <w:color w:val="000000"/>
          <w:sz w:val="21"/>
        </w:rPr>
        <w:t xml:space="preserve">¿Qué formulario se relaciona con una necesidad detectada en una inspección? </w:t>
      </w:r>
      <w:r>
        <w:rPr>
          <w:rFonts w:ascii="Aptos" w:hAnsi="Aptos"/>
          <w:color w:val="000000"/>
          <w:sz w:val="21"/>
        </w:rPr>
        <w:t>El SRE 2404, Hoja de Trabajo para Inspección y Mantenimiento.</w:t>
      </w:r>
    </w:p>
    <w:p>
      <w:pPr>
        <w:spacing w:after="120" w:line="259" w:lineRule="auto"/>
      </w:pPr>
      <w:r>
        <w:rPr>
          <w:rFonts w:ascii="Aptos" w:hAnsi="Aptos"/>
          <w:b/>
          <w:color w:val="000000"/>
          <w:sz w:val="21"/>
        </w:rPr>
        <w:t xml:space="preserve">¿Qué formulario se utiliza para solicitar una reparación al escalón de apoyo? </w:t>
      </w:r>
      <w:r>
        <w:rPr>
          <w:rFonts w:ascii="Aptos" w:hAnsi="Aptos"/>
          <w:color w:val="000000"/>
          <w:sz w:val="21"/>
        </w:rPr>
        <w:t>El SRE 2407, Pedido de Mantenimiento; el SRE 2218 se utiliza para solicitar internamente los efectos necesarios cuando corresponda.</w:t>
      </w:r>
    </w:p>
    <w:p>
      <w:pPr>
        <w:spacing w:after="120" w:line="259" w:lineRule="auto"/>
      </w:pPr>
      <w:r>
        <w:rPr>
          <w:rFonts w:ascii="Aptos" w:hAnsi="Aptos"/>
          <w:b/>
          <w:color w:val="000000"/>
          <w:sz w:val="21"/>
        </w:rPr>
        <w:t xml:space="preserve">¿Qué ocurre con un efecto consumido sin devolución? </w:t>
      </w:r>
      <w:r>
        <w:rPr>
          <w:rFonts w:ascii="Aptos" w:hAnsi="Aptos"/>
          <w:color w:val="000000"/>
          <w:sz w:val="21"/>
        </w:rPr>
        <w:t>Se confecciona un SRE 2218 por descargo y se eleva a la Oficina de Control y Cargo para continuar la registración correspondiente.</w:t>
      </w:r>
    </w:p>
    <w:p>
      <w:pPr>
        <w:pStyle w:val="Heading1"/>
      </w:pPr>
      <w:r>
        <w:t>Fuentes</w:t>
      </w:r>
    </w:p>
    <w:p>
      <w:pPr>
        <w:spacing w:before="0" w:after="60" w:line="259" w:lineRule="auto"/>
      </w:pPr>
      <w:r>
        <w:rPr>
          <w:rFonts w:ascii="Aptos" w:hAnsi="Aptos"/>
          <w:color w:val="000000"/>
          <w:sz w:val="21"/>
        </w:rPr>
        <w:t>RFD 21-01-III Régimen Funcional de Arsenales, Capítulo II, artículo 2.074 Solicitud interna de provisión, devolución o descargo SRE 2218; artículo 3.258 Solicitud interna SRE 2218 y disposiciones de formularios.</w:t>
      </w:r>
    </w:p>
    <w:p>
      <w:pPr>
        <w:spacing w:before="0" w:after="60" w:line="259" w:lineRule="auto"/>
      </w:pPr>
      <w:r>
        <w:rPr>
          <w:rFonts w:ascii="Aptos" w:hAnsi="Aptos"/>
          <w:color w:val="000000"/>
          <w:sz w:val="21"/>
        </w:rPr>
        <w:t>RFD 21-01-IV Régimen Funcional de Arsenales, índice de formularios y modelos de la Solicitud Interna SRE 2218.</w:t>
      </w:r>
    </w:p>
    <w:p>
      <w:pPr>
        <w:spacing w:before="0" w:after="60" w:line="259" w:lineRule="auto"/>
      </w:pPr>
      <w:r>
        <w:rPr>
          <w:rFonts w:ascii="Aptos" w:hAnsi="Aptos"/>
          <w:color w:val="000000"/>
          <w:sz w:val="21"/>
        </w:rPr>
        <w:t>Material de clase de Logística, diapositiva de documentación de Sala de Armas: SRE 2218 Nota de Solicitud Interna (Provisión, devolución o descargo).</w:t>
      </w:r>
    </w:p>
    <w:sectPr w:rsidR="00FC693F" w:rsidRPr="0006063C" w:rsidSect="00034616">
      <w:footerReference w:type="default" r:id="rId9"/>
      <w:pgSz w:w="12240" w:h="15840"/>
      <w:pgMar w:top="936" w:right="1123" w:bottom="864" w:left="1123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Aptos" w:hAnsi="Aptos"/>
        <w:color w:val="666666"/>
        <w:sz w:val="16"/>
      </w:rPr>
      <w:t>Repaso de Logística · SRE 2218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" w:hAnsi="Aptos"/>
      <w:b/>
      <w:bCs/>
      <w:color w:val="000000"/>
      <w:sz w:val="2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" w:hAnsi="Aptos"/>
      <w:b/>
      <w:bCs/>
      <w:color w:val="000000"/>
      <w:sz w:val="23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 Display" w:hAnsi="Aptos Display"/>
      <w:b/>
      <w:color w:val="000000"/>
      <w:spacing w:val="5"/>
      <w:kern w:val="28"/>
      <w:sz w:val="3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SRE 2218 Solicitud Interna</dc:title>
  <dc:subject>Qué es y para qué sirve el SRE 2218</dc:subject>
  <dc:creator>Estudio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