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Atividade em grupos — Regressão logística e doença cardíaca</w:t>
      </w:r>
    </w:p>
    <w:p>
      <w:pPr>
        <w:pStyle w:val="Heading1"/>
      </w:pPr>
      <w:r>
        <w:t>Proposta</w:t>
      </w:r>
    </w:p>
    <w:p>
      <w:r>
        <w:t>Como avaliar um modelo de classificação e interpretar o que seus coeficientes dizem sobre as odds de doença cardíaca? Cada grupo executará um código pronto, analisará o desempenho no teste e explicará associações estimadas pelo modelo.</w:t>
      </w:r>
    </w:p>
    <w:p>
      <w:r/>
      <w:r>
        <w:rPr>
          <w:b/>
          <w:i w:val="0"/>
        </w:rPr>
        <w:t>Organização sugerida:</w:t>
      </w:r>
      <w:r>
        <w:t xml:space="preserve"> grupos de 3–4 alunos; 60–75 minutos. Distribuam as funções de execução, conferência dos cálculos, interpretação e apresentação. Todos devem participar das respostas.</w:t>
      </w:r>
    </w:p>
    <w:p>
      <w:r/>
      <w:r>
        <w:rPr>
          <w:b/>
          <w:i w:val="0"/>
        </w:rPr>
        <w:t>Material:</w:t>
      </w:r>
      <w:r>
        <w:t xml:space="preserve"> </w:t>
      </w:r>
      <w:hyperlink r:id="rId11">
        <w:r>
          <w:rPr>
            <w:color w:val="087E8B"/>
            <w:u w:val="single"/>
          </w:rPr>
          <w:t>notebook pronto em Python</w:t>
        </w:r>
      </w:hyperlink>
      <w:r>
        <w:t>. São seis células de código, executáveis no Colab ou no Jupyter com numpy, pandas e scikit-learn. O carregamento requer internet; não é necessário clonar o repositório.</w:t>
      </w:r>
    </w:p>
    <w:p>
      <w:pPr>
        <w:pStyle w:val="Heading1"/>
      </w:pPr>
      <w:r>
        <w:t>Base e modelo</w:t>
      </w:r>
    </w:p>
    <w:p>
      <w:r>
        <w:t xml:space="preserve">Usaremos </w:t>
      </w:r>
      <w:hyperlink r:id="rId12">
        <w:r>
          <w:rPr>
            <w:color w:val="087E8B"/>
            <w:u w:val="single"/>
          </w:rPr>
          <w:t>Heart Disease — Cleveland, UCI</w:t>
        </w:r>
      </w:hyperlink>
      <w:r>
        <w:t>, de Janosi, Steinbrunn, Pfisterer e Detrano (1989), sob licença CC BY 4.0. A base tem 303 registros. O desfecho representa presença de doença registrada na base, não o risco de desenvolver doença no futuro: y=0 quando num=0; y=1 quando num é maior que zero.</w:t>
      </w:r>
    </w:p>
    <w:p>
      <w:r>
        <w:t>O modelo usará apenas cinco atributos, escolhidos previamente para facilitar a interpretação:</w:t>
      </w:r>
    </w:p>
    <w:p>
      <w:pPr>
        <w:pStyle w:val="ListBullet"/>
      </w:pPr>
      <w:r/>
      <w:r>
        <w:rPr>
          <w:b/>
          <w:i w:val="0"/>
        </w:rPr>
        <w:t>age:</w:t>
      </w:r>
      <w:r>
        <w:t xml:space="preserve"> idade, em anos.</w:t>
      </w:r>
    </w:p>
    <w:p>
      <w:pPr>
        <w:pStyle w:val="ListBullet"/>
      </w:pPr>
      <w:r/>
      <w:r>
        <w:rPr>
          <w:b/>
          <w:i w:val="0"/>
        </w:rPr>
        <w:t>trestbps:</w:t>
      </w:r>
      <w:r>
        <w:t xml:space="preserve"> pressão arterial de repouso na admissão, em mmHg.</w:t>
      </w:r>
    </w:p>
    <w:p>
      <w:pPr>
        <w:pStyle w:val="ListBullet"/>
      </w:pPr>
      <w:r/>
      <w:r>
        <w:rPr>
          <w:b/>
          <w:i w:val="0"/>
        </w:rPr>
        <w:t>chol:</w:t>
      </w:r>
      <w:r>
        <w:t xml:space="preserve"> colesterol sérico, em mg/dL.</w:t>
      </w:r>
    </w:p>
    <w:p>
      <w:pPr>
        <w:pStyle w:val="ListBullet"/>
      </w:pPr>
      <w:r/>
      <w:r>
        <w:rPr>
          <w:b/>
          <w:i w:val="0"/>
        </w:rPr>
        <w:t>thalach:</w:t>
      </w:r>
      <w:r>
        <w:t xml:space="preserve"> frequência cardíaca máxima atingida no exame, em batimentos por minuto.</w:t>
      </w:r>
    </w:p>
    <w:p>
      <w:pPr>
        <w:pStyle w:val="ListBullet"/>
      </w:pPr>
      <w:r/>
      <w:r>
        <w:rPr>
          <w:b/>
          <w:i w:val="0"/>
        </w:rPr>
        <w:t>exang:</w:t>
      </w:r>
      <w:r>
        <w:t xml:space="preserve"> angina induzida por exercício, 0 = não e 1 = sim.</w:t>
      </w:r>
    </w:p>
    <w:p>
      <w:r>
        <w:t>A base possui ausências em outros atributos; o notebook verifica apenas os cinco usados e o desfecho. Mantém divisão estratificada de 75% para treino e 25% para teste, semente 42, padronização ajustada no treino e regressão logística com regularização L2 (C=1). Todos os grupos usam a mesma configuração e limiar 0,5. Não alterem o modelo com base no resultado do teste.</w:t>
      </w:r>
    </w:p>
    <w:p>
      <w:pPr>
        <w:pStyle w:val="Heading1"/>
      </w:pPr>
      <w:r>
        <w:t>Parte comum — todos os grupos</w:t>
      </w:r>
    </w:p>
    <w:p>
      <w:pPr>
        <w:pStyle w:val="Heading2"/>
      </w:pPr>
      <w:r>
        <w:t>1. Dados e treinamento</w:t>
      </w:r>
    </w:p>
    <w:p>
      <w:r>
        <w:t>Execute as células 1 e 2. Informe quantos registros e quantos casos positivos há no treino e no teste. Explique a estratificação e por que a padronização é ajustada apenas no treino. Onde estão armazenados os coeficientes estimados?</w:t>
      </w:r>
    </w:p>
    <w:p>
      <w:pPr>
        <w:pStyle w:val="Heading2"/>
      </w:pPr>
      <w:r>
        <w:t>2. Desempenho no teste</w:t>
      </w:r>
    </w:p>
    <w:p>
      <w:r>
        <w:t>Execute a célula 3. Registre verdadeiros positivos, verdadeiros negativos, falsos positivos e falsos negativos. Apresente acurácia, sensibilidade, especificidade, precisão, F1 e ROC-AUC. Confira manualmente sensibilidade e especificidade usando a matriz. Compare a acurácia com a de um classificador que sempre prevê a classe mais frequente do treino. O que a acurácia isolada esconderia? ROC-AUC mede ordenação, não garante probabilidades bem calibradas.</w:t>
      </w:r>
    </w:p>
    <w:p>
      <w:pPr>
        <w:pStyle w:val="Heading2"/>
      </w:pPr>
      <w:r>
        <w:t>3. Coeficientes</w:t>
      </w:r>
    </w:p>
    <w:p>
      <w:r>
        <w:t>Execute a célula 4. Escolha um coeficiente positivo e um negativo, se houver, e explique sua direção em relação à classe 1. Diferencie escala padronizada e escala original. Por que é preciso converter também o intercepto? Compare coeficientes sempre considerando as unidades; os atributos podem estar correlacionados.</w:t>
      </w:r>
    </w:p>
    <w:p>
      <w:pPr>
        <w:pStyle w:val="Heading2"/>
      </w:pPr>
      <w:r>
        <w:t>4. Odds e probabilidades</w:t>
      </w:r>
    </w:p>
    <w:p>
      <w:r>
        <w:t>Execute a célula 5. Escolha um dos cinco registros apresentados e informe sua probabilidade e suas odds estimadas. Confira odds=p/(1−p) e p=odds/(1+odds). Por que odds não são porcentagens? A probabilidade reconstruída pelos coeficientes coincide com predict_proba?</w:t>
      </w:r>
    </w:p>
    <w:p>
      <w:pPr>
        <w:pStyle w:val="Heading2"/>
      </w:pPr>
      <w:r>
        <w:t>5. Odds ratios</w:t>
      </w:r>
    </w:p>
    <w:p>
      <w:r>
        <w:t>Execute a célula 6. Interprete uma OR para atributo contínuo e a OR de exang, sempre mantendo os demais atributos constantes. Use o incremento indicado na tabela. Complete: “Segundo este modelo, [contraste] está associado a odds de doença multiplicadas por [OR], mantendo os demais atributos constantes”. OR próxima de 1 não permite concluir ausência de associação estatística: este roteiro não calcula testes de significância.</w:t>
      </w:r>
    </w:p>
    <w:p>
      <w:pPr>
        <w:pStyle w:val="Heading1"/>
      </w:pPr>
      <w:r>
        <w:t>Foco de discussão de cada grupo</w:t>
      </w:r>
    </w:p>
    <w:p>
      <w:r>
        <w:t>Todos completam a parte comum; distribua os focos A–D entre os grupos. Se houver mais grupos, repita os focos para comparar interpretações.</w:t>
      </w:r>
    </w:p>
    <w:p>
      <w:pPr>
        <w:pStyle w:val="ListBullet"/>
      </w:pPr>
      <w:r/>
      <w:r>
        <w:rPr>
          <w:b/>
          <w:i w:val="0"/>
        </w:rPr>
        <w:t>A — Erros e desempenho:</w:t>
      </w:r>
      <w:r>
        <w:t xml:space="preserve"> explique um falso negativo e um falso positivo neste contexto. Se o limiar diminuísse, qual mudança seria esperada na sensibilidade e na especificidade? Discuta sem procurar o melhor limiar no teste.</w:t>
      </w:r>
    </w:p>
    <w:p>
      <w:pPr>
        <w:pStyle w:val="ListBullet"/>
      </w:pPr>
      <w:r/>
      <w:r>
        <w:rPr>
          <w:b/>
          <w:i w:val="0"/>
        </w:rPr>
        <w:t>B — Idade e pressão:</w:t>
      </w:r>
      <w:r>
        <w:t xml:space="preserve"> interprete as OR para +10 anos e +10 mmHg. Calcule também a OR para +20 anos usando o coeficiente de age e confira a relação com a OR para +10 anos.</w:t>
      </w:r>
    </w:p>
    <w:p>
      <w:pPr>
        <w:pStyle w:val="ListBullet"/>
      </w:pPr>
      <w:r/>
      <w:r>
        <w:rPr>
          <w:b/>
          <w:i w:val="0"/>
        </w:rPr>
        <w:t>C — Colesterol e frequência cardíaca:</w:t>
      </w:r>
      <w:r>
        <w:t xml:space="preserve"> interprete as OR para +20 mg/dL de colesterol e +10 batimentos/minuto. Um coeficiente negativo demonstra que aumentar essa variável protege uma pessoa? Discuta associação, correlação entre atributos e seleção da amostra.</w:t>
      </w:r>
    </w:p>
    <w:p>
      <w:pPr>
        <w:pStyle w:val="ListBullet"/>
      </w:pPr>
      <w:r/>
      <w:r>
        <w:rPr>
          <w:b/>
          <w:i w:val="0"/>
        </w:rPr>
        <w:t>D — Angina, odds e probabilidade:</w:t>
      </w:r>
      <w:r>
        <w:t xml:space="preserve"> interprete exang=1 versus exang=0. Para um perfil hipotético com exang=0 e probabilidade p₀=0,20, use a OR de exang para obter odds₁=OR×p₀/(1−p₀) e p₁=odds₁/(1+odds₁), mantendo os demais atributos constantes. Compare p₁ com OR×p₀ e explique a diferença. O cálculo é um contraste do modelo, não efeito de uma intervenção.</w:t>
      </w:r>
    </w:p>
    <w:p>
      <w:pPr>
        <w:pStyle w:val="Heading1"/>
      </w:pPr>
      <w:r>
        <w:t>Entrega e fechamento</w:t>
      </w:r>
    </w:p>
    <w:p>
      <w:r>
        <w:t>Entregue um .ipynb por grupo com nomes, saídas das seis células, respostas da parte comum e do foco atribuído. Prepare uma apresentação de três minutos com uma métrica, uma OR interpretada e uma limitação. Antes de entregar, reinicie o ambiente e execute todas as células em sequência.</w:t>
      </w:r>
    </w:p>
    <w:p>
      <w:r>
        <w:t>Critérios: execução reproduzível, leitura correta da matriz, distinção entre probabilidade e odds, interpretação da OR com seu incremento e discussão dos limites. Os coeficientes e OR pertencem ao mesmo modelo regularizado; não são estimativas causais. A amostra pequena e histórica e a ausência de validação externa limitam a generalização. Material com finalidade exclusivamente educacional, sem uso em decisões clínicas.</w:t>
      </w:r>
    </w:p>
    <w:p>
      <w:pPr>
        <w:pStyle w:val="Heading1"/>
      </w:pPr>
      <w:r>
        <w:t>Referências de apoio</w:t>
      </w:r>
    </w:p>
    <w:p>
      <w:pPr>
        <w:pStyle w:val="ListBullet"/>
      </w:pPr>
      <w:r/>
      <w:hyperlink r:id="rId13">
        <w:r>
          <w:rPr>
            <w:color w:val="087E8B"/>
            <w:u w:val="single"/>
          </w:rPr>
          <w:t>Regressão logística — scikit-learn</w:t>
        </w:r>
      </w:hyperlink>
      <w:r/>
    </w:p>
    <w:p>
      <w:pPr>
        <w:pStyle w:val="ListBullet"/>
      </w:pPr>
      <w:r/>
      <w:hyperlink r:id="rId14">
        <w:r>
          <w:rPr>
            <w:color w:val="087E8B"/>
            <w:u w:val="single"/>
          </w:rPr>
          <w:t>Padronização — scikit-learn</w:t>
        </w:r>
      </w:hyperlink>
      <w:r/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20" w:bottom="879" w:left="1020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D6975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087E8B"/>
        <w:sz w:val="16"/>
      </w:rPr>
      <w:t>APRENDIZADO DE MÁQUINA PARA SAÚDE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59" w:lineRule="auto"/>
    </w:pPr>
    <w:rPr>
      <w:rFonts w:ascii="Aptos" w:hAnsi="Aptos"/>
      <w:color w:val="1E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A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Aptos Display" w:hAnsi="Aptos Display"/>
      <w:i/>
      <w:iCs/>
      <w:color w:val="087E8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Aptos" w:hAnsi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flavioluizseixas/aprendizado-de-maquina-para-saude/blob/main/notebooks/extra_regressao_logistica_coracao.ipynb" TargetMode="External"/><Relationship Id="rId12" Type="http://schemas.openxmlformats.org/officeDocument/2006/relationships/hyperlink" Target="https://archive.ics.uci.edu/dataset/45/heart+disease" TargetMode="External"/><Relationship Id="rId13" Type="http://schemas.openxmlformats.org/officeDocument/2006/relationships/hyperlink" Target="https://scikit-learn.org/stable/modules/generated/sklearn.linear_model.LogisticRegression.html" TargetMode="External"/><Relationship Id="rId14" Type="http://schemas.openxmlformats.org/officeDocument/2006/relationships/hyperlink" Target="https://scikit-learn.org/stable/modules/generated/sklearn.preprocessing.StandardScale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em grupos — Regressão logística e doença cardíaca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