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Atividade 3 — Aprendizado não supervisionado</w:t>
      </w:r>
    </w:p>
    <w:p>
      <w:pPr>
        <w:pStyle w:val="Heading1"/>
      </w:pPr>
      <w:r>
        <w:t>K-means e PCA | Versão mínima</w:t>
      </w:r>
    </w:p>
    <w:p>
      <w:r/>
      <w:r>
        <w:rPr>
          <w:b/>
          <w:i w:val="0"/>
        </w:rPr>
        <w:t>Objetivo:</w:t>
      </w:r>
      <w:r>
        <w:t xml:space="preserve"> explorar grupos de pessoas com indicadores de saúde semelhantes, justificar a escolha do número de clusters e interpretar seus perfis e sua projeção em duas dimensões.</w:t>
      </w:r>
    </w:p>
    <w:p>
      <w:r/>
      <w:r>
        <w:rPr>
          <w:b/>
          <w:i w:val="0"/>
        </w:rPr>
        <w:t>Tempo estimado:</w:t>
      </w:r>
      <w:r>
        <w:t xml:space="preserve"> 40–50 minutos, incluindo a comparação final.</w:t>
      </w:r>
    </w:p>
    <w:p>
      <w:pPr>
        <w:pStyle w:val="Heading1"/>
      </w:pPr>
      <w:r>
        <w:t>Material e dados</w:t>
      </w:r>
    </w:p>
    <w:p>
      <w:r>
        <w:t xml:space="preserve">Use o notebook </w:t>
      </w:r>
      <w:hyperlink r:id="rId11">
        <w:r>
          <w:rPr>
            <w:color w:val="087E8B"/>
            <w:u w:val="single"/>
          </w:rPr>
          <w:t>03_aprendizado_nao_supervisionado_versão_minima.ipynb</w:t>
        </w:r>
      </w:hyperlink>
      <w:r>
        <w:t>, com seis células de código. Abra o arquivo no Google Colab ou no Jupyter com pandas, matplotlib e scikit-learn instalados. O carregamento requer internet.</w:t>
      </w:r>
    </w:p>
    <w:p>
      <w:r>
        <w:t xml:space="preserve">Fonte: </w:t>
      </w:r>
      <w:hyperlink r:id="rId12">
        <w:r>
          <w:rPr>
            <w:color w:val="087E8B"/>
            <w:u w:val="single"/>
          </w:rPr>
          <w:t>CDC Diabetes Health Indicators — UCI 891</w:t>
        </w:r>
      </w:hyperlink>
      <w:r>
        <w:t>. Consulte o dicionário e os termos de uso na fonte. Cada linha representa uma pessoa. O notebook seleciona 5.000 registros com random_state=42, após excluir eventuais ausências nos atributos usados.</w:t>
      </w:r>
    </w:p>
    <w:p>
      <w:pPr>
        <w:pStyle w:val="ListBullet"/>
      </w:pPr>
      <w:r/>
      <w:r>
        <w:rPr>
          <w:b/>
          <w:i w:val="0"/>
        </w:rPr>
        <w:t>BMI:</w:t>
      </w:r>
      <w:r>
        <w:t xml:space="preserve"> índice de massa corporal, em kg/m².</w:t>
      </w:r>
    </w:p>
    <w:p>
      <w:pPr>
        <w:pStyle w:val="ListBullet"/>
      </w:pPr>
      <w:r/>
      <w:r>
        <w:rPr>
          <w:b/>
          <w:i w:val="0"/>
        </w:rPr>
        <w:t>Age:</w:t>
      </w:r>
      <w:r>
        <w:t xml:space="preserve"> faixa etária codificada de 1 a 13; o código não é a idade em anos.</w:t>
      </w:r>
    </w:p>
    <w:p>
      <w:pPr>
        <w:pStyle w:val="ListBullet"/>
      </w:pPr>
      <w:r/>
      <w:r>
        <w:rPr>
          <w:b/>
          <w:i w:val="0"/>
        </w:rPr>
        <w:t>GenHlth:</w:t>
      </w:r>
      <w:r>
        <w:t xml:space="preserve"> saúde geral, de 1 (excelente) a 5 (ruim).</w:t>
      </w:r>
    </w:p>
    <w:p>
      <w:pPr>
        <w:pStyle w:val="ListBullet"/>
      </w:pPr>
      <w:r/>
      <w:r>
        <w:rPr>
          <w:b/>
          <w:i w:val="0"/>
        </w:rPr>
        <w:t>PhysHlth e MentHlth:</w:t>
      </w:r>
      <w:r>
        <w:t xml:space="preserve"> dias de saúde física e mental ruim nos últimos 30 dias.</w:t>
      </w:r>
    </w:p>
    <w:p>
      <w:pPr>
        <w:pStyle w:val="ListBullet"/>
      </w:pPr>
      <w:r/>
      <w:r>
        <w:rPr>
          <w:b/>
          <w:i w:val="0"/>
        </w:rPr>
        <w:t>Education e Income:</w:t>
      </w:r>
      <w:r>
        <w:t xml:space="preserve"> categorias ordenadas de escolaridade (1–6) e renda (1–8).</w:t>
      </w:r>
    </w:p>
    <w:p>
      <w:r>
        <w:t>Age, GenHlth, Education e Income serão tratados como números: isso simplifica as distâncias entre categorias. ID é apenas identificador. Diabetes_binary (0 = sem diabetes; 1 = pré-diabetes/diabetes) será usado somente para descrever os grupos já formados, sem participar da padronização, da escolha de k, do K-means ou do PCA.</w:t>
      </w:r>
    </w:p>
    <w:p>
      <w:pPr>
        <w:pStyle w:val="Heading1"/>
      </w:pPr>
      <w:r>
        <w:t>Roteiro e questões</w:t>
      </w:r>
    </w:p>
    <w:p>
      <w:pPr>
        <w:pStyle w:val="Heading2"/>
      </w:pPr>
      <w:r>
        <w:t>1. Dados e padronização</w:t>
      </w:r>
    </w:p>
    <w:p>
      <w:r>
        <w:t>Execute as seções 1 e 2. Informe o tamanho da amostra e os atributos usados. Explique por que padronizar antes de calcular distâncias e por que excluir ID e Diabetes_binary do agrupamento. Aqui, a análise é exploratória na própria amostra, sem avaliação preditiva em um conjunto de teste.</w:t>
      </w:r>
    </w:p>
    <w:p>
      <w:pPr>
        <w:pStyle w:val="Heading2"/>
      </w:pPr>
      <w:r>
        <w:t>2. Quantos grupos?</w:t>
      </w:r>
    </w:p>
    <w:p>
      <w:r>
        <w:t>Execute a seção 3 para k de 2 a 6, com n_init=10 e random_state=42. Apresente a tabela e os gráficos de inércia e silhouette; este último usa uma subamostra fixa de 2.000 registros para reduzir o custo. Existe um cotovelo claro? Qual k apresenta o maior silhouette? O que um valor próximo de zero sugere?</w:t>
      </w:r>
    </w:p>
    <w:p>
      <w:pPr>
        <w:pStyle w:val="Heading2"/>
      </w:pPr>
      <w:r>
        <w:t>3. Escolha e ajuste final</w:t>
      </w:r>
    </w:p>
    <w:p>
      <w:r>
        <w:t>Execute a seção 4. O código começa pelo k com maior silhouette; você pode substituí-lo por outro entre 2 e 6, justificando a decisão pelos dois gráficos. Registre o k escolhido e o tamanho de cada cluster. A menor inércia, isoladamente, não define a melhor escolha.</w:t>
      </w:r>
    </w:p>
    <w:p>
      <w:pPr>
        <w:pStyle w:val="Heading2"/>
      </w:pPr>
      <w:r>
        <w:t>4. Perfis dos grupos</w:t>
      </w:r>
    </w:p>
    <w:p>
      <w:r>
        <w:t>Execute a seção 5 e compare as médias dos atributos na escala original. Descreva dois clusters usando pelo menos três atributos e seus tamanhos. Compare o percentual de pré-diabetes/diabetes observado em cada grupo. Explique por que essa diferença não demonstra causalidade nem transforma os clusters em diagnósticos. Os números dos clusters são rótulos arbitrários, sem ordem de gravidade.</w:t>
      </w:r>
    </w:p>
    <w:p>
      <w:pPr>
        <w:pStyle w:val="Heading2"/>
      </w:pPr>
      <w:r>
        <w:t>5. Visualização com PCA</w:t>
      </w:r>
    </w:p>
    <w:p>
      <w:r>
        <w:t>Execute a seção 6. Apresente o gráfico, a variância explicada por PC1 e PC2 e a soma das duas. O K-means usa todos os atributos padronizados; o PCA serve para visualizar os grupos. Comente a sobreposição no plano e a informação que fica fora desses dois eixos. A variância explicada não é uma medida de acurácia.</w:t>
      </w:r>
    </w:p>
    <w:p>
      <w:pPr>
        <w:pStyle w:val="Heading2"/>
      </w:pPr>
      <w:r>
        <w:t>6. Pequena mudança no experimento</w:t>
      </w:r>
    </w:p>
    <w:p>
      <w:r>
        <w:t>Guarde as tabelas e o gráfico da execução inicial. Retire Income da lista de atributos e execute novamente as seis células, mantendo a amostra de 5.000 registros, a semente e os mesmos critérios de escolha de k. Compare o k escolhido, o silhouette, os tamanhos e os perfis. A retirada do atributo altera as distâncias: um silhouette maior não basta para concluir que a nova solução é melhor. Se havia ausências, confirme que os IDs da amostra permaneceram os mesmos. Compare grupos pelos perfis, pois o número de um cluster pode mudar entre execuções.</w:t>
      </w:r>
    </w:p>
    <w:p>
      <w:pPr>
        <w:pStyle w:val="Heading1"/>
      </w:pPr>
      <w:r>
        <w:t>Entrega e critérios</w:t>
      </w:r>
    </w:p>
    <w:p>
      <w:r>
        <w:t>Entregue um único arquivo .ipynb com identificação dos participantes, código executado, saídas das duas análises e respostas em células Markdown. Para preservar a primeira análise, duplique as seis células antes de alterar a lista de atributos na cópia. Conclua em 5–8 linhas, destacando um achado e duas limitações.</w:t>
      </w:r>
    </w:p>
    <w:p>
      <w:r>
        <w:t>A avaliação considera execução reproduzível, justificativa de k, interpretação dos perfis e do PCA e comparação fundamentada entre as duas análises. Não é necessário obter grupos bem separados: resultados com sobreposição também devem ser discutidos.</w:t>
      </w:r>
    </w:p>
    <w:p>
      <w:r>
        <w:t>Material com finalidade exclusivamente educacional. Os indicadores incluem autorrelato; os resultados descrevem esta amostra, não estimam prevalências populacionais e não devem orientar decisões clínicas.</w:t>
      </w:r>
    </w:p>
    <w:p>
      <w:pPr>
        <w:pStyle w:val="Heading1"/>
      </w:pPr>
      <w:r>
        <w:t>Referências de apoio</w:t>
      </w:r>
    </w:p>
    <w:p>
      <w:pPr>
        <w:pStyle w:val="ListBullet"/>
      </w:pPr>
      <w:r/>
      <w:hyperlink r:id="rId13">
        <w:r>
          <w:rPr>
            <w:color w:val="087E8B"/>
            <w:u w:val="single"/>
          </w:rPr>
          <w:t>K-means — scikit-learn</w:t>
        </w:r>
      </w:hyperlink>
      <w:r/>
    </w:p>
    <w:p>
      <w:pPr>
        <w:pStyle w:val="ListBullet"/>
      </w:pPr>
      <w:r/>
      <w:hyperlink r:id="rId14">
        <w:r>
          <w:rPr>
            <w:color w:val="087E8B"/>
            <w:u w:val="single"/>
          </w:rPr>
          <w:t>Silhouette — scikit-learn</w:t>
        </w:r>
      </w:hyperlink>
      <w:r/>
    </w:p>
    <w:p>
      <w:pPr>
        <w:pStyle w:val="ListBullet"/>
      </w:pPr>
      <w:r/>
      <w:hyperlink r:id="rId15">
        <w:r>
          <w:rPr>
            <w:color w:val="087E8B"/>
            <w:u w:val="single"/>
          </w:rPr>
          <w:t>PCA — scikit-learn</w:t>
        </w:r>
      </w:hyperlink>
      <w:r/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020" w:bottom="879" w:left="1020" w:header="397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D6975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i w:val="0"/>
        <w:color w:val="087E8B"/>
        <w:sz w:val="16"/>
      </w:rPr>
      <w:t>APRENDIZADO DE MÁQUINA PARA SAÚDE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59" w:lineRule="auto"/>
    </w:pPr>
    <w:rPr>
      <w:rFonts w:ascii="Aptos" w:hAnsi="Aptos"/>
      <w:color w:val="1E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7E8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53A5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 w:ascii="Aptos Display" w:hAnsi="Aptos Display"/>
      <w:i/>
      <w:iCs/>
      <w:color w:val="087E8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60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Aptos" w:hAnsi="Aptos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flavioluizseixas/aprendizado-de-maquina-para-saude/blob/main/notebooks/03_aprendizado_nao_supervisionado_vers%C3%A3o_minima.ipynb" TargetMode="External"/><Relationship Id="rId12" Type="http://schemas.openxmlformats.org/officeDocument/2006/relationships/hyperlink" Target="https://archive.ics.uci.edu/dataset/891/cdc+diabetes+health+indicators" TargetMode="External"/><Relationship Id="rId13" Type="http://schemas.openxmlformats.org/officeDocument/2006/relationships/hyperlink" Target="https://scikit-learn.org/stable/modules/generated/sklearn.cluster.KMeans.html" TargetMode="External"/><Relationship Id="rId14" Type="http://schemas.openxmlformats.org/officeDocument/2006/relationships/hyperlink" Target="https://scikit-learn.org/stable/modules/generated/sklearn.metrics.silhouette_score.html" TargetMode="External"/><Relationship Id="rId15" Type="http://schemas.openxmlformats.org/officeDocument/2006/relationships/hyperlink" Target="https://scikit-learn.org/stable/modules/generated/sklearn.decomposition.PC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3 — Aprendizado não supervisionado | Versão mínima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