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87E8B"/>
          <w:sz w:val="20"/>
        </w:rPr>
        <w:t>TAREFA 2  |  VERSÃO MÍNIMA</w:t>
      </w:r>
    </w:p>
    <w:p>
      <w:pPr>
        <w:pStyle w:val="Title"/>
      </w:pPr>
      <w:r>
        <w:t>Regressão logística em saúde</w:t>
      </w:r>
    </w:p>
    <w:p>
      <w:pPr>
        <w:pStyle w:val="Subtitle"/>
      </w:pPr>
      <w:r>
        <w:t>Desempenho, odds e odds ratio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4F5"/>
            <w:tcBorders>
              <w:top w:val="single" w:sz="8" w:color="A7D6DA"/>
              <w:left w:val="single" w:sz="8" w:color="A7D6DA"/>
              <w:bottom w:val="single" w:sz="8" w:color="A7D6DA"/>
              <w:right w:val="single" w:sz="8" w:color="A7D6DA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087E8B"/>
                <w:sz w:val="17"/>
              </w:rPr>
              <w:t>PROPOSTA DA ATIVIDADE</w:t>
            </w:r>
          </w:p>
          <w:p>
            <w:pPr>
              <w:spacing w:after="0"/>
            </w:pPr>
            <w:r>
              <w:rPr>
                <w:b w:val="0"/>
                <w:i w:val="0"/>
                <w:color w:val="1E2933"/>
                <w:sz w:val="19"/>
              </w:rPr>
              <w:t>Você utilizará indicadores de saúde do CDC Diabetes Health Indicators (UCI 891) para ajustar uma regressão logística, avaliar seu desempenho e interpretar seus coeficientes. Ao final, deverá distinguir probabilidade, odds e odds ratio e explicar os contrastes estimados pelo modelo. Material com finalidade exclusivamente educacional.</w:t>
            </w:r>
          </w:p>
        </w:tc>
      </w:tr>
    </w:tbl>
    <w:p>
      <w:pPr>
        <w:pStyle w:val="Heading1"/>
      </w:pPr>
      <w:r>
        <w:t>Material e configurações</w:t>
      </w:r>
    </w:p>
    <w:p>
      <w:r>
        <w:t xml:space="preserve">Notebook-base: </w:t>
      </w:r>
      <w:r>
        <w:rPr>
          <w:b/>
          <w:i w:val="0"/>
          <w:sz w:val="18"/>
        </w:rPr>
        <w:t>02_aprendizado_supervisionado_versão_minima.ipynb</w:t>
      </w:r>
    </w:p>
    <w:p>
      <w:r>
        <w:t>Use o arquivo fornecido com esta atividade. Abra-o no Google Colab ou no Jupyter. São necessários numpy, pandas, scikit-learn e statsmodels, além de internet para carregar os dados.</w:t>
      </w:r>
    </w:p>
    <w:p>
      <w:r>
        <w:t xml:space="preserve">Fonte e dicionário: </w:t>
      </w:r>
      <w:hyperlink r:id="rId11">
        <w:r>
          <w:rPr>
            <w:color w:val="087E8B"/>
            <w:u w:val="single"/>
          </w:rPr>
          <w:t>CDC Diabetes Health Indicators — UCI 891</w:t>
        </w:r>
      </w:hyperlink>
    </w:p>
    <w:p>
      <w:pPr>
        <w:pStyle w:val="ListBullet"/>
      </w:pPr>
      <w:r>
        <w:rPr>
          <w:b w:val="0"/>
          <w:i w:val="0"/>
        </w:rPr>
        <w:t>Use todos os registros carregados pelo notebook e todos os 21 atributos; ID identifica os registros e não entra no modelo.</w:t>
      </w:r>
    </w:p>
    <w:p>
      <w:pPr>
        <w:pStyle w:val="ListBullet"/>
      </w:pPr>
      <w:r>
        <w:rPr>
          <w:b w:val="0"/>
          <w:i w:val="0"/>
        </w:rPr>
        <w:t>Alvo Diabetes_binary: 0 = sem diabetes; 1 = pré-diabetes/diabetes. A classe positiva reúne as duas condições.</w:t>
      </w:r>
    </w:p>
    <w:p>
      <w:pPr>
        <w:pStyle w:val="ListBullet"/>
      </w:pPr>
      <w:r>
        <w:rPr>
          <w:b w:val="0"/>
          <w:i w:val="0"/>
        </w:rPr>
        <w:t>Mantenha Age, GenHlth, Education e Income com os códigos numéricos do notebook. São categorias ordinais; considere essa simplificação ao interpretar.</w:t>
      </w:r>
    </w:p>
    <w:p>
      <w:pPr>
        <w:pStyle w:val="Heading1"/>
      </w:pPr>
      <w:r>
        <w:t>Roteiro de execução</w:t>
      </w:r>
    </w:p>
    <w:p>
      <w:r>
        <w:t>Organize as respostas no próprio notebook, com código, saída e interpretação em células Markdown. Execute os itens na ordem e escreva as explicações em linguagem própria.</w:t>
      </w:r>
    </w:p>
    <w:p>
      <w:pPr>
        <w:pStyle w:val="Heading2"/>
      </w:pPr>
      <w:r>
        <w:t>1. Dados e divisão treino/teste</w:t>
      </w:r>
    </w:p>
    <w:p>
      <w:pPr>
        <w:pStyle w:val="ListBullet"/>
      </w:pPr>
      <w:r>
        <w:rPr>
          <w:b w:val="0"/>
          <w:i w:val="0"/>
        </w:rPr>
        <w:t>Carregue os dados e separe X e y. Reserve 20% para teste e 80% para treino, com stratify=y e random_state=42, como no notebook.</w:t>
      </w:r>
    </w:p>
    <w:p>
      <w:pPr>
        <w:pStyle w:val="ListBullet"/>
      </w:pPr>
      <w:r>
        <w:rPr>
          <w:b w:val="0"/>
          <w:i w:val="0"/>
        </w:rPr>
        <w:t>Informe o número de registros em cada partição e a proporção da classe 1. Explique a finalidade da estratificação e do conjunto de teste.</w:t>
      </w:r>
    </w:p>
    <w:p>
      <w:pPr>
        <w:pStyle w:val="Heading2"/>
      </w:pPr>
      <w:r>
        <w:t>2. Padronização e treinamento</w:t>
      </w:r>
    </w:p>
    <w:p>
      <w:pPr>
        <w:pStyle w:val="ListBullet"/>
      </w:pPr>
      <w:r>
        <w:rPr>
          <w:b w:val="0"/>
          <w:i w:val="0"/>
        </w:rPr>
        <w:t>Ajuste make_pipeline(StandardScaler(), LogisticRegression(max_iter=1000)) somente no treino. Preserve os demais parâmetros padrão do modelo.</w:t>
      </w:r>
    </w:p>
    <w:p>
      <w:pPr>
        <w:pStyle w:val="ListBullet"/>
      </w:pPr>
      <w:r>
        <w:rPr>
          <w:b w:val="0"/>
          <w:i w:val="0"/>
        </w:rPr>
        <w:t>Obtenha as classes previstas e as probabilidades da classe 1 no teste, com limiar padrão 0,5. Explique por que a média e a escala são aprendidas apenas no treino.</w:t>
      </w:r>
    </w:p>
    <w:p>
      <w:r>
        <w:br w:type="page"/>
      </w:r>
    </w:p>
    <w:p>
      <w:pPr>
        <w:pStyle w:val="Heading1"/>
      </w:pPr>
      <w:r>
        <w:t>Desempenho e odds</w:t>
      </w:r>
    </w:p>
    <w:p>
      <w:pPr>
        <w:pStyle w:val="Heading2"/>
      </w:pPr>
      <w:r>
        <w:t>3. Avaliação no teste</w:t>
      </w:r>
    </w:p>
    <w:p>
      <w:pPr>
        <w:pStyle w:val="ListBullet"/>
      </w:pPr>
      <w:r>
        <w:rPr>
          <w:b w:val="0"/>
          <w:i w:val="0"/>
        </w:rPr>
        <w:t>Apresente classification_report com três casas decimais e a ROC-AUC calculada com as probabilidades da classe 1.</w:t>
      </w:r>
    </w:p>
    <w:p>
      <w:pPr>
        <w:pStyle w:val="ListBullet"/>
      </w:pPr>
      <w:r>
        <w:rPr>
          <w:b w:val="0"/>
          <w:i w:val="0"/>
        </w:rPr>
        <w:t>Identifique sensibilidade (recall da classe 1), especificidade (recall da classe 0), precisão e F1 da classe 1 e acurácia. Explique o que sensibilidade e especificidade medem.</w:t>
      </w:r>
    </w:p>
    <w:p>
      <w:pPr>
        <w:pStyle w:val="ListBullet"/>
      </w:pPr>
      <w:r>
        <w:rPr>
          <w:b w:val="0"/>
          <w:i w:val="0"/>
        </w:rPr>
        <w:t>Comente o desempenho considerando o desbalanceamento das classes. Por que a acurácia, isoladamente, pode esconder erros relevantes?</w:t>
      </w:r>
    </w:p>
    <w:p>
      <w:pPr>
        <w:pStyle w:val="Heading2"/>
      </w:pPr>
      <w:r>
        <w:t>4. Coeficientes estimados</w:t>
      </w:r>
    </w:p>
    <w:p>
      <w:pPr>
        <w:pStyle w:val="ListBullet"/>
      </w:pPr>
      <w:r>
        <w:rPr>
          <w:b w:val="0"/>
          <w:i w:val="0"/>
        </w:rPr>
        <w:t>Apresente os coeficientes de todos os atributos na escala padronizada. Escolha um positivo e um negativo e explique a direção da associação com a log-odds da classe 1.</w:t>
      </w:r>
    </w:p>
    <w:p>
      <w:pPr>
        <w:pStyle w:val="ListBullet"/>
      </w:pPr>
      <w:r>
        <w:rPr>
          <w:b w:val="0"/>
          <w:i w:val="0"/>
        </w:rPr>
        <w:t>Explique o significado de uma unidade padronizada. Por que a mudança de 0 para 1 em uma variável binária não equivale a um desvio-padrão?</w:t>
      </w:r>
    </w:p>
    <w:p>
      <w:pPr>
        <w:pStyle w:val="Heading2"/>
      </w:pPr>
      <w:r>
        <w:t>5. Das odds à probabilidade</w:t>
      </w:r>
    </w:p>
    <w:p>
      <w:pPr>
        <w:pStyle w:val="ListBullet"/>
      </w:pPr>
      <w:r>
        <w:rPr>
          <w:b w:val="0"/>
          <w:i w:val="0"/>
        </w:rPr>
        <w:t>Use os coeficientes e o intercepto já estimados, sem reajustar o modelo. Recupere mean_ e scale_ do StandardScaler e converta os parâmetros para a escala original.</w:t>
      </w:r>
    </w:p>
    <w:p>
      <w:r>
        <w:t>Notação: βⱼ é o coeficiente padronizado; μⱼ e sⱼ são a média e a escala de treino; bⱼ e b₀ são os coeficientes e o intercepto convertidos. As somas percorrem todos os atributos.</w:t>
      </w:r>
    </w:p>
    <w:p>
      <w:pPr>
        <w:keepLines/>
        <w:spacing w:before="60" w:after="140"/>
      </w:pPr>
      <w:r>
        <w:rPr>
          <w:rFonts w:ascii="Cambria Math" w:hAnsi="Cambria Math"/>
          <w:color w:val="153A5B"/>
          <w:sz w:val="22"/>
        </w:rPr>
        <w:t>bⱼ = βⱼ / sⱼ       b₀ = β₀ − Σⱼ bⱼ μⱼ</w:t>
      </w:r>
    </w:p>
    <w:p>
      <w:pPr>
        <w:keepLines/>
        <w:spacing w:before="60" w:after="140"/>
      </w:pPr>
      <w:r>
        <w:rPr>
          <w:rFonts w:ascii="Cambria Math" w:hAnsi="Cambria Math"/>
          <w:color w:val="153A5B"/>
          <w:sz w:val="22"/>
        </w:rPr>
        <w:t>η = b₀ + Σⱼ bⱼ xⱼ       odds = exp(η)       p = odds / (1 + odds)</w:t>
      </w:r>
    </w:p>
    <w:p>
      <w:pPr>
        <w:pStyle w:val="ListBullet"/>
      </w:pPr>
      <w:r>
        <w:rPr>
          <w:b w:val="0"/>
          <w:i w:val="0"/>
        </w:rPr>
        <w:t>Para os cinco primeiros registros de X_test, apresente ID, log-odds, odds, probabilidade calculada e probabilidade de predict_proba. Verifique se as duas probabilidades coincidem, admitindo pequenas diferenças numéricas.</w:t>
      </w:r>
    </w:p>
    <w:p>
      <w:pPr>
        <w:pStyle w:val="ListBullet"/>
      </w:pPr>
      <w:r>
        <w:rPr>
          <w:b w:val="0"/>
          <w:i w:val="0"/>
        </w:rPr>
        <w:t>Escolha um registro e interprete suas odds e sua probabilidade. Explique por que o intercepto também precisa ser convertido e por que odds não é uma porcentagem.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4F5"/>
            <w:tcBorders>
              <w:top w:val="single" w:sz="8" w:color="A7D6DA"/>
              <w:left w:val="single" w:sz="8" w:color="A7D6DA"/>
              <w:bottom w:val="single" w:sz="8" w:color="A7D6DA"/>
              <w:right w:val="single" w:sz="8" w:color="A7D6DA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087E8B"/>
                <w:sz w:val="17"/>
              </w:rPr>
              <w:t>CUIDADOS COM O CÁLCULO</w:t>
            </w:r>
          </w:p>
          <w:p>
            <w:pPr>
              <w:spacing w:after="0"/>
            </w:pPr>
            <w:r>
              <w:rPr>
                <w:b w:val="0"/>
                <w:i w:val="0"/>
                <w:color w:val="1E2933"/>
                <w:sz w:val="19"/>
              </w:rPr>
              <w:t>Use os parâmetros com sua precisão completa; arredonde somente as tabelas finais para quatro casas decimais. O teste fornece registros para a demonstração, mas não participa do ajuste dos parâmetros.</w:t>
            </w:r>
          </w:p>
        </w:tc>
      </w:tr>
    </w:tbl>
    <w:p>
      <w:r>
        <w:br w:type="page"/>
      </w:r>
    </w:p>
    <w:p>
      <w:pPr>
        <w:pStyle w:val="Heading1"/>
      </w:pPr>
      <w:r>
        <w:t>Odds ratio, significância e entrega</w:t>
      </w:r>
    </w:p>
    <w:p>
      <w:pPr>
        <w:pStyle w:val="Heading2"/>
      </w:pPr>
      <w:r>
        <w:t>6. Odds ratio a partir dos coeficientes</w:t>
      </w:r>
    </w:p>
    <w:p>
      <w:pPr>
        <w:pStyle w:val="ListBullet"/>
      </w:pPr>
      <w:r>
        <w:rPr>
          <w:b w:val="0"/>
          <w:i w:val="0"/>
        </w:rPr>
        <w:t>Apresente, para todos os atributos, coeficiente padronizado, escala de treino, coeficiente original, OR para +1 unidade padronizada e OR para +1 unidade original.</w:t>
      </w:r>
    </w:p>
    <w:p>
      <w:pPr>
        <w:keepLines/>
        <w:spacing w:before="60" w:after="140"/>
      </w:pPr>
      <w:r>
        <w:rPr>
          <w:rFonts w:ascii="Cambria Math" w:hAnsi="Cambria Math"/>
          <w:color w:val="153A5B"/>
          <w:sz w:val="22"/>
        </w:rPr>
        <w:t>OR(Δxⱼ) = exp(bⱼ × Δxⱼ)       Variação das odds (%) = 100 × (OR − 1)</w:t>
      </w:r>
    </w:p>
    <w:p>
      <w:r>
        <w:t>Calcule e interprete os três contrastes abaixo, mantendo os demais atributos constantes. Na tabela, b_BMI e b_HighBP são os coeficientes na escala original.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288"/>
      </w:tblGrid>
      <w:tr>
        <w:trPr>
          <w:tblHeader w:val="true"/>
          <w:cantSplit/>
        </w:trPr>
        <w:tc>
          <w:tcPr>
            <w:tcW w:type="dxa" w:w="1814"/>
            <w:shd w:fill="087E8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9"/>
              </w:rPr>
              <w:t>Variável</w:t>
            </w:r>
          </w:p>
        </w:tc>
        <w:tc>
          <w:tcPr>
            <w:tcW w:type="dxa" w:w="4762"/>
            <w:shd w:fill="087E8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9"/>
              </w:rPr>
              <w:t>Contraste solicitado</w:t>
            </w:r>
          </w:p>
        </w:tc>
        <w:tc>
          <w:tcPr>
            <w:tcW w:type="dxa" w:w="3288"/>
            <w:shd w:fill="087E8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9"/>
              </w:rPr>
              <w:t>Cálculo da OR</w:t>
            </w:r>
          </w:p>
        </w:tc>
      </w:tr>
      <w:tr>
        <w:trPr>
          <w:cantSplit/>
        </w:trPr>
        <w:tc>
          <w:tcPr>
            <w:tcW w:type="dxa" w:w="1814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BMI (IMC)</w:t>
            </w:r>
          </w:p>
        </w:tc>
        <w:tc>
          <w:tcPr>
            <w:tcW w:type="dxa" w:w="4762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+1 kg/m²</w:t>
            </w:r>
          </w:p>
        </w:tc>
        <w:tc>
          <w:tcPr>
            <w:tcW w:type="dxa" w:w="3288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exp(b_BMI)</w:t>
            </w:r>
          </w:p>
        </w:tc>
      </w:tr>
      <w:tr>
        <w:trPr>
          <w:cantSplit/>
        </w:trPr>
        <w:tc>
          <w:tcPr>
            <w:tcW w:type="dxa" w:w="1814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BMI (IMC)</w:t>
            </w:r>
          </w:p>
        </w:tc>
        <w:tc>
          <w:tcPr>
            <w:tcW w:type="dxa" w:w="4762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+5 kg/m²</w:t>
            </w:r>
          </w:p>
        </w:tc>
        <w:tc>
          <w:tcPr>
            <w:tcW w:type="dxa" w:w="3288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exp(5 × b_BMI)</w:t>
            </w:r>
          </w:p>
        </w:tc>
      </w:tr>
      <w:tr>
        <w:trPr>
          <w:cantSplit/>
        </w:trPr>
        <w:tc>
          <w:tcPr>
            <w:tcW w:type="dxa" w:w="1814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HighBP</w:t>
            </w:r>
          </w:p>
        </w:tc>
        <w:tc>
          <w:tcPr>
            <w:tcW w:type="dxa" w:w="4762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 (com pressão alta) versus 0 (sem)</w:t>
            </w:r>
          </w:p>
        </w:tc>
        <w:tc>
          <w:tcPr>
            <w:tcW w:type="dxa" w:w="3288"/>
            <w:shd w:fill="E8F4F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exp(b_HighBP)</w:t>
            </w:r>
          </w:p>
        </w:tc>
      </w:tr>
    </w:tbl>
    <w:p>
      <w:pPr>
        <w:pStyle w:val="ListBullet"/>
      </w:pPr>
      <w:r>
        <w:rPr>
          <w:b w:val="0"/>
          <w:i w:val="0"/>
        </w:rPr>
        <w:t>Para cada contraste, informe OR, variação percentual das odds, direção da associação e categoria ou incremento comparado. Use a classe 1 como desfecho.</w:t>
      </w:r>
    </w:p>
    <w:p>
      <w:pPr>
        <w:pStyle w:val="ListBullet"/>
      </w:pPr>
      <w:r>
        <w:rPr>
          <w:b w:val="0"/>
          <w:i w:val="0"/>
        </w:rPr>
        <w:t>Explique a relação entre a OR para +5 unidades de IMC e a OR para +1. Interprete também uma OR menor que 1 da sua tabela, indicando o contraste correto.</w:t>
      </w:r>
    </w:p>
    <w:p>
      <w:pPr>
        <w:pStyle w:val="ListBullet"/>
      </w:pPr>
      <w:r>
        <w:rPr>
          <w:b w:val="0"/>
          <w:i w:val="0"/>
        </w:rPr>
        <w:t>Explique por que exp(β_HighBP), calculada diretamente do coeficiente padronizado, não representa a comparação de 1 versus 0. Para Age, esclareça por que +1 no código não significa +1 ano.</w:t>
      </w:r>
    </w:p>
    <w:p>
      <w:pPr>
        <w:pStyle w:val="ListBullet"/>
      </w:pPr>
      <w:r>
        <w:rPr>
          <w:b w:val="0"/>
          <w:i w:val="0"/>
        </w:rPr>
        <w:t>Na seção 5.3, ajuste também um GLM binomial sem penalização, com intercepto, os mesmos atributos nas unidades originais e somente os dados de treino. Use cov_type='HC0' e use_t=False para a inferência robusta por Wald bilateral.</w:t>
      </w:r>
    </w:p>
    <w:p>
      <w:pPr>
        <w:pStyle w:val="ListBullet"/>
      </w:pPr>
      <w:r>
        <w:rPr>
          <w:b w:val="0"/>
          <w:i w:val="0"/>
        </w:rPr>
        <w:t>Apresente uma tabela final desse ajuste com coeficientes, erros-padrão, OR, IC95%, valores-p e indicação de p&lt;0,05. Interprete HvyAlcoholConsump usando OR, IC95% e p em conjunto. Use notação científica para valores-p pequenos.</w:t>
      </w:r>
    </w:p>
    <w:p>
      <w:pPr>
        <w:pStyle w:val="Heading2"/>
      </w:pPr>
      <w:r>
        <w:t>7. Probabilidade, associação e limites</w:t>
      </w:r>
    </w:p>
    <w:p>
      <w:pPr>
        <w:pStyle w:val="ListBullet"/>
      </w:pPr>
      <w:r>
        <w:rPr>
          <w:b w:val="0"/>
          <w:i w:val="0"/>
        </w:rPr>
        <w:t>Em um exemplo hipotético, parta de p₀=0,20 e OR=2. Calcule as odds iniciais, as odds após o contraste e a nova probabilidade. A probabilidade dobrou? Explique por que uma OR, sozinha, não fornece a probabilidade de uma pessoa.</w:t>
      </w:r>
    </w:p>
    <w:p>
      <w:pPr>
        <w:pStyle w:val="ListBullet"/>
      </w:pPr>
      <w:r>
        <w:rPr>
          <w:b w:val="0"/>
          <w:i w:val="0"/>
        </w:rPr>
        <w:t>Discuta, em um parágrafo, o caráter observacional e o autorrelato dos dados, a regularização e a simplificação dos códigos ordinais. Diferencie associação e causalidade. Os resultados deste exercício não validam uso clínico.</w:t>
      </w:r>
    </w:p>
    <w:p>
      <w:r>
        <w:t>Os valores-p e IC95% pertencem ao ajuste sem penalização e às OR dessa tabela final. Os testes são exploratórios, sem correção para múltiplas comparações, e não incorporam o desenho amostral do BRFSS. Significância não demonstra causalidade ou importância clínica; p≥0,05 não prova ausência de associação.</w:t>
      </w:r>
    </w:p>
    <w:p>
      <w:pPr>
        <w:pStyle w:val="Heading2"/>
      </w:pPr>
      <w:r>
        <w:t>O que entregar</w:t>
      </w:r>
    </w:p>
    <w:p>
      <w:r>
        <w:t>Entregue um arquivo .ipynb com identificação do(s) autor(es), os sete itens respondidos, código executado, tabelas e interpretações. Registre as versões de Python, numpy, pandas, scikit-learn e statsmodels e cite a fonte dos dados. Antes de entregar, reinicie o ambiente e execute todas as células em sequência.</w:t>
      </w:r>
    </w:p>
    <w:p>
      <w:r>
        <w:t>Critérios de avaliação: execução reproduzível; separação correta entre treino e teste; cálculos e contrastes corretos; interpretação de odds e probabilidades; clareza na discussão dos limites.</w:t>
      </w:r>
    </w:p>
    <w:p>
      <w:r>
        <w:rPr>
          <w:b w:val="0"/>
          <w:i w:val="0"/>
          <w:color w:val="5D6975"/>
          <w:sz w:val="17"/>
        </w:rPr>
        <w:t xml:space="preserve">Apoio conceitual: </w:t>
      </w:r>
      <w:hyperlink r:id="rId12">
        <w:r>
          <w:rPr>
            <w:color w:val="087E8B"/>
            <w:u w:val="single"/>
          </w:rPr>
          <w:t>Penn State — regressão logística</w:t>
        </w:r>
      </w:hyperlink>
      <w:r>
        <w:rPr>
          <w:b w:val="0"/>
          <w:i w:val="0"/>
          <w:color w:val="5D6975"/>
          <w:sz w:val="17"/>
        </w:rPr>
        <w:t xml:space="preserve"> • </w:t>
      </w:r>
      <w:hyperlink r:id="rId13">
        <w:r>
          <w:rPr>
            <w:color w:val="087E8B"/>
            <w:u w:val="single"/>
          </w:rPr>
          <w:t>StandardScaler</w:t>
        </w:r>
      </w:hyperlink>
      <w:r>
        <w:rPr>
          <w:b w:val="0"/>
          <w:i w:val="0"/>
          <w:color w:val="5D6975"/>
          <w:sz w:val="17"/>
        </w:rPr>
        <w:t xml:space="preserve"> • </w:t>
      </w:r>
      <w:hyperlink r:id="rId14">
        <w:r>
          <w:rPr>
            <w:color w:val="087E8B"/>
            <w:u w:val="single"/>
          </w:rPr>
          <w:t>LogisticRegression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7597"/>
      <w:gridCol w:w="2268"/>
    </w:tblGrid>
    <w:tr>
      <w:tc>
        <w:tcPr>
          <w:tcW w:type="dxa" w:w="4932"/>
        </w:tcPr>
        <w:p>
          <w:r>
            <w:rPr>
              <w:b w:val="0"/>
              <w:i w:val="0"/>
              <w:color w:val="5D6975"/>
              <w:sz w:val="16"/>
            </w:rPr>
            <w:t>Tarefa 2 • Regressão logística • Versão mínima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color w:val="5D6975"/>
              <w:sz w:val="16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087E8B"/>
        <w:sz w:val="16"/>
      </w:rPr>
      <w:t>APRENDIZADO DE MÁQUINA PARA SAÚDE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59" w:lineRule="auto"/>
    </w:pPr>
    <w:rPr>
      <w:rFonts w:ascii="Aptos" w:hAnsi="Aptos"/>
      <w:color w:val="1E2933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A5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20"/>
    </w:pPr>
    <w:rPr>
      <w:rFonts w:asciiTheme="majorHAnsi" w:eastAsiaTheme="majorEastAsia" w:hAnsiTheme="majorHAnsi" w:cstheme="majorBidi" w:ascii="Aptos Display" w:hAnsi="Aptos Display"/>
      <w:i/>
      <w:iCs/>
      <w:color w:val="087E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contextualSpacing/>
    </w:pPr>
    <w:rPr>
      <w:rFonts w:ascii="Aptos" w:hAnsi="Aptos"/>
      <w:sz w:val="19"/>
      <w:lang w:val="pt-B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chive.ics.uci.edu/dataset/891/cdc+diabetes+health+indicators" TargetMode="External"/><Relationship Id="rId12" Type="http://schemas.openxmlformats.org/officeDocument/2006/relationships/hyperlink" Target="https://online.stat.psu.edu/stat462/node/207/" TargetMode="External"/><Relationship Id="rId13" Type="http://schemas.openxmlformats.org/officeDocument/2006/relationships/hyperlink" Target="https://scikit-learn.org/stable/modules/generated/sklearn.preprocessing.StandardScaler.html" TargetMode="External"/><Relationship Id="rId14" Type="http://schemas.openxmlformats.org/officeDocument/2006/relationships/hyperlink" Target="https://scikit-learn.org/stable/modules/generated/sklearn.linear_model.LogisticRegres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 2 — Aprendizado supervisionado: versão mínima</dc:title>
  <dc:subject>Enunciado: regressão logística, desempenho, odds e odds ratio</dc:subject>
  <dc:creator>Flavio Luiz Seixas</dc:creator>
  <cp:keywords>regressão logística, odds, odds ratio, aprendizado supervisionado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