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5 — Classificação de imagens e Grad-CAM</w:t>
      </w:r>
    </w:p>
    <w:p>
      <w:pPr>
        <w:pStyle w:val="Heading1"/>
      </w:pPr>
      <w:r>
        <w:t>CNN pequena | Versão mínima</w:t>
      </w:r>
    </w:p>
    <w:p>
      <w:r/>
      <w:r>
        <w:rPr>
          <w:b/>
          <w:i w:val="0"/>
        </w:rPr>
        <w:t>Objetivo:</w:t>
      </w:r>
      <w:r>
        <w:t xml:space="preserve"> treinar uma rede convolucional simples, avaliar os erros de classificação e interpretar mapas Grad-CAM, distinguindo saída do modelo, explicação visual e evidência clínica.</w:t>
      </w:r>
    </w:p>
    <w:p>
      <w:r/>
      <w:r>
        <w:rPr>
          <w:b/>
          <w:i w:val="0"/>
        </w:rPr>
        <w:t>Tempo estimado:</w:t>
      </w:r>
      <w:r>
        <w:t xml:space="preserve"> 50–60 minutos, incluindo discussão; o tempo de treinamento varia conforme o hardware.</w:t>
      </w:r>
    </w:p>
    <w:p>
      <w:pPr>
        <w:pStyle w:val="Heading1"/>
      </w:pPr>
      <w:r>
        <w:t>Material e dados</w:t>
      </w:r>
    </w:p>
    <w:p>
      <w:r>
        <w:t xml:space="preserve">Use o notebook </w:t>
      </w:r>
      <w:hyperlink r:id="rId11">
        <w:r>
          <w:rPr>
            <w:color w:val="087E8B"/>
            <w:u w:val="single"/>
          </w:rPr>
          <w:t>05_imagens_gradcam_versão_minima.ipynb</w:t>
        </w:r>
      </w:hyperlink>
      <w:r>
        <w:t>, com sete células de código. Execute em ordem no Colab ou Jupyter. O notebook informa as dependências e registra suas versões. A primeira execução requer internet; não é necessário clonar o repositório nem enviar arquivos. CPU é suficiente; GPU é opcional.</w:t>
      </w:r>
    </w:p>
    <w:p>
      <w:r>
        <w:t xml:space="preserve">Fonte: </w:t>
      </w:r>
      <w:hyperlink r:id="rId12">
        <w:r>
          <w:rPr>
            <w:color w:val="087E8B"/>
            <w:u w:val="single"/>
          </w:rPr>
          <w:t>PneumoniaMNIST — MedMNIST</w:t>
        </w:r>
      </w:hyperlink>
      <w:r>
        <w:t xml:space="preserve">, com radiografias pediátricas derivadas de Kermany et al., disponibilizado sob CC BY 4.0. Consulte também os </w:t>
      </w:r>
      <w:hyperlink r:id="rId13">
        <w:r>
          <w:rPr>
            <w:color w:val="087E8B"/>
            <w:u w:val="single"/>
          </w:rPr>
          <w:t>metadados oficiais</w:t>
        </w:r>
      </w:hyperlink>
      <w:r>
        <w:t>.</w:t>
      </w:r>
    </w:p>
    <w:p>
      <w:pPr>
        <w:pStyle w:val="ListBullet"/>
      </w:pPr>
      <w:r>
        <w:t>Imagens em tons de cinza, reduzidas para 64 × 64 pixels, com valores divididos por 255.</w:t>
      </w:r>
    </w:p>
    <w:p>
      <w:pPr>
        <w:pStyle w:val="ListBullet"/>
      </w:pPr>
      <w:r>
        <w:t>Rótulos: 0 = normal; 1 = pneumonia, a classe positiva.</w:t>
      </w:r>
    </w:p>
    <w:p>
      <w:pPr>
        <w:pStyle w:val="ListBullet"/>
      </w:pPr>
      <w:r>
        <w:t>Divisões oficiais: 4.708 imagens de treino, 524 de validação e 624 de teste. Não faça uma nova divisão.</w:t>
      </w:r>
    </w:p>
    <w:p>
      <w:pPr>
        <w:pStyle w:val="ListBullet"/>
      </w:pPr>
      <w:r>
        <w:t>CNN com duas convoluções, até cinco épocas, batch size 64 e semente 42. Early stopping acompanha a AUC de validação, com paciência 2, e restaura os melhores pesos.</w:t>
      </w:r>
    </w:p>
    <w:p>
      <w:pPr>
        <w:pStyle w:val="ListBullet"/>
      </w:pPr>
      <w:r>
        <w:t>Limiar previamente fixado em 0,5; Grad-CAM calculado para o escore de pneumonia antes da sigmoide, em todos os exemplos.</w:t>
      </w:r>
    </w:p>
    <w:p>
      <w:pPr>
        <w:pStyle w:val="Heading1"/>
      </w:pPr>
      <w:r>
        <w:t>Roteiro e questões</w:t>
      </w:r>
    </w:p>
    <w:p>
      <w:pPr>
        <w:pStyle w:val="Heading2"/>
      </w:pPr>
      <w:r>
        <w:t>1. Dados e divisões</w:t>
      </w:r>
    </w:p>
    <w:p>
      <w:r>
        <w:t>Execute as células 1 e 2. Apresente a quantidade de cada classe e o percentual de pneumonia no treino, na validação e no teste. Explique a função de cada divisão, o significado do canal único e a transformação dos pixels para o intervalo de 0 a 1. Por que a classe mais frequente pode tornar a acurácia insuficiente?</w:t>
      </w:r>
    </w:p>
    <w:p>
      <w:pPr>
        <w:pStyle w:val="Heading2"/>
      </w:pPr>
      <w:r>
        <w:t>2. Modelo e treinamento</w:t>
      </w:r>
    </w:p>
    <w:p>
      <w:r>
        <w:t>Execute as células 3 e 4. Explique, em linguagem própria, o papel das convoluções, do pooling e da sigmoide. Registre quantas épocas foram executadas e qual teve a maior AUC de validação. Analise as curvas de erro e AUC: há sinais de diferença entre treino e validação? Evite concluir que cinco épocas garantem ausência de sobreajuste. O teste não pode orientar a escolha da época, do modelo ou do limiar.</w:t>
      </w:r>
    </w:p>
    <w:p>
      <w:pPr>
        <w:pStyle w:val="Heading2"/>
      </w:pPr>
      <w:r>
        <w:t>3. Desempenho no teste</w:t>
      </w:r>
    </w:p>
    <w:p>
      <w:r>
        <w:t>Execute a célula 5 e registre verdadeiros negativos (VN), falsos positivos (FP), falsos negativos (FN) e verdadeiros positivos (VP). As linhas da matriz são os rótulos reais e as colunas, os previstos.</w:t>
      </w:r>
    </w:p>
    <w:p>
      <w:r>
        <w:t>Apresente acurácia, sensibilidade, especificidade, precisão e F1 da classe pneumonia e ROC-AUC. No relatório, sensibilidade é recall de pneumonia e especificidade é recall de normal. Confira sensibilidade = VP/(VP+FN) e especificidade = VN/(VN+FP). Se não houver previsão positiva, informe que a precisão é indefinida; o código exibe zero por convenção.</w:t>
      </w:r>
    </w:p>
    <w:p>
      <w:r>
        <w:t>Compare a acurácia da CNN com a regra de sempre prever a classe majoritária do treino. Qual tipo de erro é mais frequente? Por que ROC-AUC e acurácia não medem a mesma coisa? Não é necessário obter desempenho alto para concluir a atividade: um modelo limitado também deve ser analisado.</w:t>
      </w:r>
    </w:p>
    <w:p>
      <w:pPr>
        <w:pStyle w:val="Heading2"/>
      </w:pPr>
      <w:r>
        <w:t>4. Grad-CAM em acertos e erros</w:t>
      </w:r>
    </w:p>
    <w:p>
      <w:r>
        <w:t>Execute as células 6 e 7. Escolha um acerto e um erro entre os exemplos disponíveis e informe seus índices, rótulos reais, rótulos previstos e saídas P(pneumonia). Se faltar alguma categoria de erro ou acerto, registre a ausência e discuta os casos disponíveis, sem inventar exemplos.</w:t>
      </w:r>
    </w:p>
    <w:p>
      <w:r>
        <w:t>Compare a distribuição espacial dos mapas e observe regiões difusas, bordas e possíveis artefatos. Todos os mapas explicam o escore de pneumonia, mesmo quando a previsão é normal. Eles não representam contornos de lesões. Um mapa nulo indica ausência de contribuição positiva no cálculo e não comprova ausência de doença. A escala é normalizada separadamente por imagem; a intensidade de cor não mede confiança entre casos.</w:t>
      </w:r>
    </w:p>
    <w:p>
      <w:pPr>
        <w:pStyle w:val="Heading2"/>
      </w:pPr>
      <w:r>
        <w:t>5. Comparação de casos próximos do limiar</w:t>
      </w:r>
    </w:p>
    <w:p>
      <w:r>
        <w:t xml:space="preserve">Preserve as saídas anteriores. Duplique somente a célula 7 e insira, na cópia, a linha </w:t>
      </w:r>
      <w:r>
        <w:rPr>
          <w:b/>
          <w:i w:val="0"/>
        </w:rPr>
        <w:t>selecionados = proximos</w:t>
      </w:r>
      <w:r>
        <w:t xml:space="preserve"> imediatamente antes de </w:t>
      </w:r>
      <w:r>
        <w:rPr>
          <w:b/>
          <w:i w:val="0"/>
        </w:rPr>
        <w:t>for i in selecionados:</w:t>
      </w:r>
      <w:r>
        <w:t>. Execute a cópia para visualizar os dois índices mais próximos de 0,5, já informados pelo código. Não retreine o modelo nem altere o limiar.</w:t>
      </w:r>
    </w:p>
    <w:p>
      <w:r>
        <w:t>Registre os índices, as probabilidades e suas distâncias até 0,5; ser o mais próximo não implica estar perto do limiar em termos absolutos. Compare os mapas e explique por que uma saída próxima de 0,5 e uma região colorida respondem a perguntas diferentes. A saída da sigmoide não foi calibrada como probabilidade clínica.</w:t>
      </w:r>
    </w:p>
    <w:p>
      <w:pPr>
        <w:pStyle w:val="Heading1"/>
      </w:pPr>
      <w:r>
        <w:t>Entrega e critérios</w:t>
      </w:r>
    </w:p>
    <w:p>
      <w:r>
        <w:t>Entregue um único arquivo .ipynb com identificação dos participantes, as sete células executadas, suas saídas, a célula adicional de comparação e respostas em Markdown. Preserve o registro das versões e cite a fonte dos dados. Antes de entregar, reinicie o ambiente e execute tudo em ordem.</w:t>
      </w:r>
    </w:p>
    <w:p>
      <w:r>
        <w:t>Conclua em 5–8 linhas com um achado e pelo menos duas limitações, considerando população pediátrica, resolução reduzida, diferenças entre instituições e limites da explicação visual. As imagens e os rótulos deste exercício não fornecem máscaras de lesão para validar a localização indicada pelo mapa.</w:t>
      </w:r>
    </w:p>
    <w:p>
      <w:r>
        <w:t>A avaliação considera execução reproduzível, preservação das divisões oficiais, interpretação correta de métricas e erros, comparação dos exemplos e discussão dos limites do Grad-CAM. Não há exigência de desempenho mínimo nem de um mapa com aparência específica.</w:t>
      </w:r>
    </w:p>
    <w:p>
      <w:r>
        <w:t>Material com finalidade exclusivamente educacional. Os resultados não devem orientar diagnósticos ou decisões clínicas. Grad-CAM não comprova causalidade, localização de doença ou validade clínica do modelo.</w:t>
      </w:r>
    </w:p>
    <w:p>
      <w:pPr>
        <w:pStyle w:val="Heading1"/>
      </w:pPr>
      <w:r>
        <w:t>Referências de apoio</w:t>
      </w:r>
    </w:p>
    <w:p>
      <w:pPr>
        <w:pStyle w:val="ListBullet"/>
      </w:pPr>
      <w:r/>
      <w:hyperlink r:id="rId14">
        <w:r>
          <w:rPr>
            <w:color w:val="087E8B"/>
            <w:u w:val="single"/>
          </w:rPr>
          <w:t>MedMNIST v2 — Scientific Data</w:t>
        </w:r>
      </w:hyperlink>
      <w:r/>
    </w:p>
    <w:p>
      <w:pPr>
        <w:pStyle w:val="ListBullet"/>
      </w:pPr>
      <w:r/>
      <w:hyperlink r:id="rId15">
        <w:r>
          <w:rPr>
            <w:color w:val="087E8B"/>
            <w:u w:val="single"/>
          </w:rPr>
          <w:t>Grad-CAM — Selvaraju et al., ICCV 2017</w:t>
        </w:r>
      </w:hyperlink>
      <w:r/>
    </w:p>
    <w:p>
      <w:pPr>
        <w:pStyle w:val="ListBullet"/>
      </w:pPr>
      <w:r/>
      <w:hyperlink r:id="rId16">
        <w:r>
          <w:rPr>
            <w:color w:val="087E8B"/>
            <w:u w:val="single"/>
          </w:rPr>
          <w:t>Exemplo oficial de Grad-CAM — Keras</w:t>
        </w:r>
      </w:hyperlink>
      <w:r/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97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9" w:lineRule="auto"/>
    </w:pPr>
    <w:rPr>
      <w:rFonts w:ascii="Aptos" w:hAnsi="Aptos"/>
      <w:color w:val="1E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 Display" w:hAnsi="Aptos Display"/>
      <w:i/>
      <w:iCs/>
      <w:color w:val="087E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lavioluizseixas/aprendizado-de-maquina-para-saude/blob/main/notebooks/05_imagens_gradcam_vers%C3%A3o_minima.ipynb" TargetMode="External"/><Relationship Id="rId12" Type="http://schemas.openxmlformats.org/officeDocument/2006/relationships/hyperlink" Target="https://medmnist.com/" TargetMode="External"/><Relationship Id="rId13" Type="http://schemas.openxmlformats.org/officeDocument/2006/relationships/hyperlink" Target="https://github.com/MedMNIST/MedMNIST/blob/main/medmnist/info.py" TargetMode="External"/><Relationship Id="rId14" Type="http://schemas.openxmlformats.org/officeDocument/2006/relationships/hyperlink" Target="https://www.nature.com/articles/s41597-022-01721-8" TargetMode="External"/><Relationship Id="rId15" Type="http://schemas.openxmlformats.org/officeDocument/2006/relationships/hyperlink" Target="https://openaccess.thecvf.com/content_ICCV_2017/html/Selvaraju_Grad-CAM_Visual_Explanations_ICCV_2017_paper.html" TargetMode="External"/><Relationship Id="rId16" Type="http://schemas.openxmlformats.org/officeDocument/2006/relationships/hyperlink" Target="https://keras.io/examples/vision/grad_c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5 — Imagens e Grad-CAM | Versão mínima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