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 probabilidade à interpretação</w:t>
      </w:r>
    </w:p>
    <w:p>
      <w:pPr>
        <w:pStyle w:val="Subtitle"/>
      </w:pPr>
      <w:r>
        <w:t xml:space="preserve">Regressão logística, coeficientes, odds e odds ratio</w:t>
      </w:r>
    </w:p>
    <w:p>
      <w:pPr>
        <w:pStyle w:val="Author"/>
      </w:pPr>
      <w:r>
        <w:t xml:space="preserve">Aprendizado de Máquina para Saúde</w:t>
      </w:r>
    </w:p>
    <w:p>
      <w:pPr>
        <w:pStyle w:val="Date"/>
      </w:pPr>
      <w:r>
        <w:t xml:space="preserve">Proposta didática · setembro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Sumário</w:t>
          </w:r>
        </w:p>
        <w:p>
          <w:pPr>
            <w:spacing w:after="80"/>
          </w:pPr>
          <w:hyperlink w:anchor="apresentação">
            <w:r>
              <w:rPr>
                <w:sz w:val="21"/>
              </w:rPr>
              <w:t>Apresentação</w:t>
            </w:r>
          </w:hyperlink>
        </w:p>
        <w:p>
          <w:pPr>
            <w:spacing w:after="80"/>
          </w:pPr>
          <w:hyperlink w:anchor="Xcdb31f72559acf6e03a2c5312eb9494065b2b75">
            <w:r>
              <w:rPr>
                <w:sz w:val="21"/>
              </w:rPr>
              <w:t>1. Caso de abertura: o que significa “duas vezes”?</w:t>
            </w:r>
          </w:hyperlink>
        </w:p>
        <w:p>
          <w:pPr>
            <w:spacing w:after="80"/>
          </w:pPr>
          <w:hyperlink w:anchor="X6776cb5d4254e09e6401c57aa249a7c8a55c579">
            <w:r>
              <w:rPr>
                <w:sz w:val="21"/>
              </w:rPr>
              <w:t>2. Probabilidade: eventos em relação ao total</w:t>
            </w:r>
          </w:hyperlink>
        </w:p>
        <w:p>
          <w:pPr>
            <w:spacing w:after="80"/>
          </w:pPr>
          <w:hyperlink w:anchor="odds-eventos-em-relação-aos-não-eventos">
            <w:r>
              <w:rPr>
                <w:sz w:val="21"/>
              </w:rPr>
              <w:t>3. Odds: eventos em relação aos não eventos</w:t>
            </w:r>
          </w:hyperlink>
        </w:p>
        <w:p>
          <w:pPr>
            <w:spacing w:after="80"/>
          </w:pPr>
          <w:hyperlink w:anchor="odds-ratio-comparar-duas-odds">
            <w:r>
              <w:rPr>
                <w:sz w:val="21"/>
              </w:rPr>
              <w:t>4. Odds ratio: comparar duas odds</w:t>
            </w:r>
          </w:hyperlink>
        </w:p>
        <w:p>
          <w:pPr>
            <w:spacing w:after="80"/>
          </w:pPr>
          <w:hyperlink w:anchor="onde-entra-a-regressão-logística">
            <w:r>
              <w:rPr>
                <w:sz w:val="21"/>
              </w:rPr>
              <w:t>5. Onde entra a regressão logística?</w:t>
            </w:r>
          </w:hyperlink>
        </w:p>
        <w:p>
          <w:pPr>
            <w:spacing w:after="80"/>
          </w:pPr>
          <w:hyperlink w:anchor="X3da83fe8f1df93e58c12e66d989ed57c2760c7f">
            <w:r>
              <w:rPr>
                <w:sz w:val="21"/>
              </w:rPr>
              <w:t>6. Coeficientes: primeiro o sinal, depois a magnitude</w:t>
            </w:r>
          </w:hyperlink>
        </w:p>
        <w:p>
          <w:pPr>
            <w:spacing w:after="80"/>
          </w:pPr>
          <w:hyperlink w:anchor="a-unidade-e-a-referência-mudam-a-leitura">
            <w:r>
              <w:rPr>
                <w:sz w:val="21"/>
              </w:rPr>
              <w:t>7. A unidade e a referência mudam a leitura</w:t>
            </w:r>
          </w:hyperlink>
        </w:p>
        <w:p>
          <w:pPr>
            <w:spacing w:after="80"/>
          </w:pPr>
          <w:hyperlink w:anchor="exemplo-completo-da-equação-à-frase">
            <w:r>
              <w:rPr>
                <w:sz w:val="21"/>
              </w:rPr>
              <w:t>8. Exemplo completo: da equação à frase</w:t>
            </w:r>
          </w:hyperlink>
        </w:p>
        <w:p>
          <w:pPr>
            <w:spacing w:after="80"/>
          </w:pPr>
          <w:hyperlink w:anchor="X8b2b051b5d32e6c7842ab39993a6fc4c098098d">
            <w:r>
              <w:rPr>
                <w:sz w:val="21"/>
              </w:rPr>
              <w:t>9. Leitura complementar: OR, intervalo de confiança e valor-p</w:t>
            </w:r>
          </w:hyperlink>
        </w:p>
        <w:p>
          <w:pPr>
            <w:spacing w:after="80"/>
          </w:pPr>
          <w:hyperlink w:anchor="ponte-opcional-com-o-notebook-do-projeto">
            <w:r>
              <w:rPr>
                <w:sz w:val="21"/>
              </w:rPr>
              <w:t>10. Ponte opcional com o notebook do projeto</w:t>
            </w:r>
          </w:hyperlink>
        </w:p>
        <w:p>
          <w:pPr>
            <w:spacing w:after="80"/>
          </w:pPr>
          <w:hyperlink w:anchor="oficina-interpretar-antes-de-concluir">
            <w:r>
              <w:rPr>
                <w:sz w:val="21"/>
              </w:rPr>
              <w:t>11. Oficina: interpretar antes de concluir</w:t>
            </w:r>
          </w:hyperlink>
        </w:p>
        <w:p>
          <w:pPr>
            <w:spacing w:after="80"/>
          </w:pPr>
          <w:hyperlink w:anchor="gabarito-comentado">
            <w:r>
              <w:rPr>
                <w:sz w:val="21"/>
              </w:rPr>
              <w:t>12. Gabarito comentado</w:t>
            </w:r>
          </w:hyperlink>
        </w:p>
        <w:p>
          <w:pPr>
            <w:spacing w:after="80"/>
          </w:pPr>
          <w:hyperlink w:anchor="folha-de-consulta-rápida">
            <w:r>
              <w:rPr>
                <w:sz w:val="21"/>
              </w:rPr>
              <w:t>13. Folha de consulta rápida</w:t>
            </w:r>
          </w:hyperlink>
        </w:p>
        <w:p>
          <w:pPr>
            <w:spacing w:after="80"/>
          </w:pPr>
          <w:hyperlink w:anchor="fontes-citadas">
            <w:r>
              <w:rPr>
                <w:sz w:val="21"/>
              </w:rPr>
              <w:t>Fontes citadas</w:t>
            </w:r>
          </w:hyperlink>
        </w:p>
        <w:p>
          <w:pPr>
            <w:spacing w:after="80"/>
          </w:pPr>
          <w:hyperlink w:anchor="X9ff7f629d9cd12d74434c2b2bdeebe21dff72fb">
            <w:r>
              <w:rPr>
                <w:sz w:val="21"/>
              </w:rPr>
              <w:t>Apêndice — Proposta de uso em aula e rastreabilidade</w:t>
            </w:r>
          </w:hyperlink>
        </w:p>
      </w:sdtContent>
    </w:sdt>
    <w:bookmarkStart w:id="20" w:name="apresentação"/>
    <w:p>
      <w:pPr>
        <w:pStyle w:val="Heading1"/>
        <w:pageBreakBefore/>
      </w:pPr>
      <w:r>
        <w:t xml:space="preserve">Apresentação</w:t>
      </w:r>
    </w:p>
    <w:p>
      <w:pPr>
        <w:pStyle w:val="FirstParagraph"/>
      </w:pPr>
      <w:r>
        <w:t xml:space="preserve">Uma tabela de regressão logística costuma trazer números como</w:t>
      </w:r>
      <w:r>
        <w:t xml:space="preserve"> </w:t>
      </w:r>
      <w:r>
        <w:rPr>
          <w:b/>
          <w:bCs/>
        </w:rPr>
        <w:t xml:space="preserve">0,69</w:t>
      </w:r>
      <w:r>
        <w:t xml:space="preserve">,</w:t>
      </w:r>
      <w:r>
        <w:t xml:space="preserve"> </w:t>
      </w:r>
      <w:r>
        <w:rPr>
          <w:b/>
          <w:bCs/>
        </w:rPr>
        <w:t xml:space="preserve">2,00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0,006</w:t>
      </w:r>
      <w:r>
        <w:t xml:space="preserve">. Eles podem aparecer na mesma linha, mas respondem a perguntas diferentes. Esta apostila apresenta um caminho para compreender esses resultados sem começar pela matemática mais difícil.</w:t>
      </w:r>
    </w:p>
    <w:p>
      <w:pPr>
        <w:pStyle w:val="BodyText"/>
      </w:pPr>
      <w:r>
        <w:t xml:space="preserve">O percurso será:</w:t>
      </w:r>
      <w:r>
        <w:t xml:space="preserve"> </w:t>
      </w:r>
      <w:r>
        <w:rPr>
          <w:b/>
          <w:bCs/>
        </w:rPr>
        <w:t xml:space="preserve">contagens → probabilidade → odds → odds ratio → coeficientes → interpretação em palavras</w:t>
      </w:r>
      <w:r>
        <w:t xml:space="preserve">. Um caso fictício de reinternação acompanha as explicações. As fórmulas aparecem depois da ideia que representam, sempre com uma conta resolvida.</w:t>
      </w:r>
    </w:p>
    <w:p>
      <w:pPr>
        <w:pStyle w:val="BodyText"/>
      </w:pPr>
      <w:r>
        <w:rPr>
          <w:b/>
          <w:bCs/>
        </w:rPr>
        <w:t xml:space="preserve">Público sugerido:</w:t>
      </w:r>
      <w:r>
        <w:t xml:space="preserve"> </w:t>
      </w:r>
      <w:r>
        <w:t xml:space="preserve">estudantes e profissionais da saúde em contato inicial com regressão logística.</w:t>
      </w:r>
      <w:r>
        <w:t xml:space="preserve"> </w:t>
      </w:r>
      <w:r>
        <w:rPr>
          <w:b/>
          <w:bCs/>
        </w:rPr>
        <w:t xml:space="preserve">Conhecimentos prévios:</w:t>
      </w:r>
      <w:r>
        <w:t xml:space="preserve"> </w:t>
      </w:r>
      <w:r>
        <w:t xml:space="preserve">divisão, porcentagens e leitura de tabelas.</w:t>
      </w:r>
      <w:r>
        <w:t xml:space="preserve"> </w:t>
      </w:r>
      <w:r>
        <w:rPr>
          <w:b/>
          <w:bCs/>
        </w:rPr>
        <w:t xml:space="preserve">Uso proposto:</w:t>
      </w:r>
      <w:r>
        <w:t xml:space="preserve"> </w:t>
      </w:r>
      <w:r>
        <w:t xml:space="preserve">encontro de aproximadamente 2 horas, com leitura complementar. Não é necessário programar para acompanhar o núcleo da apostila.</w:t>
      </w:r>
    </w:p>
    <w:bookmarkStart w:id="18" w:name="o-que-você-deverá-conseguir-fazer"/>
    <w:p>
      <w:pPr>
        <w:pStyle w:val="Heading2"/>
      </w:pPr>
      <w:r>
        <w:t xml:space="preserve">O que você deverá conseguir fazer</w:t>
      </w:r>
    </w:p>
    <w:p>
      <w:pPr>
        <w:pStyle w:val="Compact"/>
        <w:numPr>
          <w:ilvl w:val="0"/>
          <w:numId w:val="1001"/>
        </w:numPr>
      </w:pPr>
      <w:r>
        <w:t xml:space="preserve">Reconhecer uma situação em que a regressão logística binária é pertinente.</w:t>
      </w:r>
    </w:p>
    <w:p>
      <w:pPr>
        <w:pStyle w:val="Compact"/>
        <w:numPr>
          <w:ilvl w:val="0"/>
          <w:numId w:val="1001"/>
        </w:numPr>
      </w:pPr>
      <w:r>
        <w:t xml:space="preserve">Calcular e distinguir probabilidade, odds e odds ratio.</w:t>
      </w:r>
    </w:p>
    <w:p>
      <w:pPr>
        <w:pStyle w:val="Compact"/>
        <w:numPr>
          <w:ilvl w:val="0"/>
          <w:numId w:val="1001"/>
        </w:numPr>
      </w:pPr>
      <w:r>
        <w:t xml:space="preserve">Interpretar o sinal de um coeficiente e transformar um coeficiente em OR.</w:t>
      </w:r>
    </w:p>
    <w:p>
      <w:pPr>
        <w:pStyle w:val="Compact"/>
        <w:numPr>
          <w:ilvl w:val="0"/>
          <w:numId w:val="1001"/>
        </w:numPr>
      </w:pPr>
      <w:r>
        <w:t xml:space="preserve">Especificar o evento, a comparação, a unidade e as variáveis de ajuste.</w:t>
      </w:r>
    </w:p>
    <w:p>
      <w:pPr>
        <w:pStyle w:val="Compact"/>
        <w:numPr>
          <w:ilvl w:val="0"/>
          <w:numId w:val="1001"/>
        </w:numPr>
      </w:pPr>
      <w:r>
        <w:t xml:space="preserve">Explicar por que dobrar as odds não significa dobrar a probabilidade.</w:t>
      </w:r>
    </w:p>
    <w:p>
      <w:pPr>
        <w:pStyle w:val="Compact"/>
        <w:numPr>
          <w:ilvl w:val="0"/>
          <w:numId w:val="1001"/>
        </w:numPr>
      </w:pPr>
      <w:r>
        <w:t xml:space="preserve">Ler uma tabela de resultados sem transformar associação em causalidade.</w:t>
      </w:r>
    </w:p>
    <w:bookmarkEnd w:id="18"/>
    <w:bookmarkStart w:id="19" w:name="como-usar-esta-apostila"/>
    <w:p>
      <w:pPr>
        <w:pStyle w:val="Heading2"/>
      </w:pPr>
      <w:r>
        <w:t xml:space="preserve">Como usar esta apostila</w:t>
      </w:r>
    </w:p>
    <w:p>
      <w:pPr>
        <w:pStyle w:val="FirstParagraph"/>
      </w:pPr>
      <w:r>
        <w:t xml:space="preserve">Leia primeiro as seções 1 a 8. Faça as pausas antes de consultar as respostas. A seção 9 acrescenta uma introdução à incerteza; a seção 10 faz a ligação opcional com o notebook do projeto. Ao final, há atividades, gabarito comentado e uma folha de consulta rápida.</w:t>
      </w:r>
    </w:p>
    <w:p>
      <w:pPr>
        <w:pStyle w:val="BodyText"/>
      </w:pPr>
      <w:r>
        <w:rPr>
          <w:b/>
          <w:bCs/>
        </w:rPr>
        <w:t xml:space="preserve">Todos os pacientes, grupos, coeficientes e resultados numéricos dos exemplos foram criados para ensino.</w:t>
      </w:r>
      <w:r>
        <w:t xml:space="preserve"> </w:t>
      </w:r>
      <w:r>
        <w:t xml:space="preserve">Não são resultados de pesquisas nem estimativas clínicas reais. As chamadas numéricas remetem às páginas dos livros fornecidos; os exemplos e as atividades são propostas pedagógicas originais.</w:t>
      </w:r>
    </w:p>
    <w:bookmarkEnd w:id="19"/>
    <w:bookmarkEnd w:id="20"/>
    <w:bookmarkStart w:id="22" w:name="Xcdb31f72559acf6e03a2c5312eb9494065b2b75"/>
    <w:p>
      <w:pPr>
        <w:pStyle w:val="Heading1"/>
      </w:pPr>
      <w:r>
        <w:t xml:space="preserve">1. Caso de abertura: o que significa “duas vezes”?</w:t>
      </w:r>
    </w:p>
    <w:p>
      <w:pPr>
        <w:pStyle w:val="FirstParagraph"/>
      </w:pPr>
      <w:r>
        <w:rPr>
          <w:b/>
          <w:bCs/>
        </w:rPr>
        <w:t xml:space="preserve">Caso hipotético.</w:t>
      </w:r>
      <w:r>
        <w:t xml:space="preserve"> </w:t>
      </w:r>
      <w:r>
        <w:t xml:space="preserve">A enfermeira Ana está aprendendo a analisar reinternação em até 30 dias depois da alta. Ela recebe uma tabela com dois grupos: pessoas com e sem internação anterior nos 12 meses que antecederam a internação atual.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8"/>
        <w:gridCol w:w="2268"/>
        <w:gridCol w:w="2268"/>
        <w:gridCol w:w="2268"/>
      </w:tblGrid>
      <w:tr>
        <w:trPr>
          <w:tblHeader w:val="on"/>
          <w:cantSplit/>
          <w:tblHeader/>
        </w:trPr>
        <w:tc>
          <w:tcPr>
            <w:tcW w:type="dxa" w:w="2268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Internação prévia</w:t>
            </w:r>
          </w:p>
        </w:tc>
        <w:tc>
          <w:tcPr>
            <w:tcW w:type="dxa" w:w="2268"/>
            <w:shd w:fill="EAF2F6"/>
          </w:tcPr>
          <w:p>
            <w:pPr>
              <w:pStyle w:val="Compact"/>
              <w:keepNext/>
              <w:spacing w:before="60" w:after="80" w:line="250" w:lineRule="auto"/>
              <w:jc w:val="right"/>
            </w:pPr>
            <w:r>
              <w:rPr>
                <w:b/>
                <w:color w:val="005373"/>
                <w:sz w:val="20"/>
              </w:rPr>
              <w:t xml:space="preserve">Reinternação em 30 dias</w:t>
            </w:r>
          </w:p>
        </w:tc>
        <w:tc>
          <w:tcPr>
            <w:tcW w:type="dxa" w:w="2268"/>
            <w:shd w:fill="EAF2F6"/>
          </w:tcPr>
          <w:p>
            <w:pPr>
              <w:pStyle w:val="Compact"/>
              <w:keepNext/>
              <w:spacing w:before="60" w:after="80" w:line="250" w:lineRule="auto"/>
              <w:jc w:val="right"/>
            </w:pPr>
            <w:r>
              <w:rPr>
                <w:b/>
                <w:color w:val="005373"/>
                <w:sz w:val="20"/>
              </w:rPr>
              <w:t xml:space="preserve">Sem reinternação em 30 dias</w:t>
            </w:r>
          </w:p>
        </w:tc>
        <w:tc>
          <w:tcPr>
            <w:tcW w:type="dxa" w:w="2268"/>
            <w:shd w:fill="EAF2F6"/>
          </w:tcPr>
          <w:p>
            <w:pPr>
              <w:pStyle w:val="Compact"/>
              <w:keepNext/>
              <w:spacing w:before="60" w:after="80" w:line="250" w:lineRule="auto"/>
              <w:jc w:val="right"/>
            </w:pPr>
            <w:r>
              <w:rPr>
                <w:b/>
                <w:color w:val="005373"/>
                <w:sz w:val="20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Não — grupo de referência</w:t>
            </w:r>
          </w:p>
        </w:tc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10</w:t>
            </w:r>
          </w:p>
        </w:tc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40</w:t>
            </w:r>
          </w:p>
        </w:tc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2268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Sim — grupo comparado</w:t>
            </w:r>
          </w:p>
        </w:tc>
        <w:tc>
          <w:tcPr>
            <w:tcW w:type="dxa" w:w="2268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20</w:t>
            </w:r>
          </w:p>
        </w:tc>
        <w:tc>
          <w:tcPr>
            <w:tcW w:type="dxa" w:w="2268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40</w:t>
            </w:r>
          </w:p>
        </w:tc>
        <w:tc>
          <w:tcPr>
            <w:tcW w:type="dxa" w:w="2268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60</w:t>
            </w:r>
          </w:p>
        </w:tc>
      </w:tr>
    </w:tbl>
    <w:p>
      <w:pPr>
        <w:pStyle w:val="BodyText"/>
      </w:pPr>
      <w:r>
        <w:t xml:space="preserve">Ana calcula uma odds ratio de 2,00. Um colega comenta: “Então a probabilidade de reinternação é duas vezes maior”. Antes de concordar, observe os denominadores: no primeiro grupo, ocorreram 10 reinternações entre 50 pessoas; no segundo, 20 entre 60.</w:t>
      </w:r>
    </w:p>
    <w:p>
      <w:pPr>
        <w:pStyle w:val="BlockText"/>
      </w:pPr>
      <w:r>
        <w:rPr>
          <w:b/>
          <w:bCs/>
        </w:rPr>
        <w:t xml:space="preserve">Pergunta condutora:</w:t>
      </w:r>
      <w:r>
        <w:t xml:space="preserve"> </w:t>
      </w:r>
      <w:r>
        <w:t xml:space="preserve">duas vezes o quê — o número de eventos, a probabilidade ou as odds?</w:t>
      </w:r>
    </w:p>
    <w:p>
      <w:pPr>
        <w:pStyle w:val="FirstParagraph"/>
      </w:pPr>
      <w:r>
        <w:t xml:space="preserve">Vamos resolver essa dúvida antes de interpretar qualquer coeficiente. Nesta apostila, o evento de interesse será</w:t>
      </w:r>
      <w:r>
        <w:t xml:space="preserve"> </w:t>
      </w:r>
      <w:r>
        <w:rPr>
          <w:b/>
          <w:bCs/>
        </w:rPr>
        <w:t xml:space="preserve">reinternação em até 30 dias</w:t>
      </w:r>
      <w:r>
        <w:t xml:space="preserve">, codificado como</w:t>
      </w:r>
      <w:r>
        <w:t xml:space="preserve"> </w:t>
      </w:r>
      <w:r>
        <w:rPr>
          <w:b/>
          <w:bCs/>
        </w:rPr>
        <w:t xml:space="preserve">Y = 1</w:t>
      </w:r>
      <w:r>
        <w:t xml:space="preserve">; a ausência desse evento no período será</w:t>
      </w:r>
      <w:r>
        <w:t xml:space="preserve"> </w:t>
      </w:r>
      <w:r>
        <w:rPr>
          <w:b/>
          <w:bCs/>
        </w:rPr>
        <w:t xml:space="preserve">Y = 0</w:t>
      </w:r>
      <w:r>
        <w:t xml:space="preserve">. Definir o evento e sua codificação é o primeiro passo de uma interpretação.</w:t>
      </w:r>
      <w:r>
        <w:t xml:space="preserve"> </w:t>
      </w:r>
      <w:hyperlink w:anchor="fonte-1">
        <w:r>
          <w:rPr>
            <w:rStyle w:val="Hyperlink"/>
          </w:rPr>
          <w:t xml:space="preserve">[1]</w:t>
        </w:r>
      </w:hyperlink>
    </w:p>
    <w:bookmarkStart w:id="21" w:name="pausa-de-análise"/>
    <w:p>
      <w:pPr>
        <w:pStyle w:val="Heading2"/>
      </w:pPr>
      <w:r>
        <w:t xml:space="preserve">Pausa de análise</w:t>
      </w:r>
    </w:p>
    <w:p>
      <w:pPr>
        <w:pStyle w:val="FirstParagraph"/>
      </w:pPr>
      <w:r>
        <w:t xml:space="preserve">Calcule, em porcentagem, quantas pessoas reinternaram em cada grupo. Você encontrou 20% e aproximadamente 33,3%? Guarde esses resultados: eles serão usados na seção 4.</w:t>
      </w:r>
    </w:p>
    <w:bookmarkEnd w:id="21"/>
    <w:bookmarkEnd w:id="22"/>
    <w:bookmarkStart w:id="26" w:name="X6776cb5d4254e09e6401c57aa249a7c8a55c579"/>
    <w:p>
      <w:pPr>
        <w:pStyle w:val="Heading1"/>
      </w:pPr>
      <w:r>
        <w:t xml:space="preserve">2. Probabilidade: eventos em relação ao total</w:t>
      </w:r>
    </w:p>
    <w:p>
      <w:pPr>
        <w:pStyle w:val="FirstParagraph"/>
      </w:pPr>
      <w:r>
        <w:t xml:space="preserve">A probabilidade expressa a possibilidade de ocorrência de um evento, numa escala de 0 a 1, ou de 0% a 100%. Em um grupo observado, a proporção de eventos é calculada dividindo o número de eventos pelo total de pessoas. Ela pode ser usada como estimativa da probabilidade naquele contexto.</w:t>
      </w:r>
      <w:r>
        <w:t xml:space="preserve"> </w:t>
      </w:r>
      <w:hyperlink w:anchor="fonte-1">
        <w:r>
          <w:rPr>
            <w:rStyle w:val="Hyperlink"/>
          </w:rPr>
          <w:t xml:space="preserve">[1]</w:t>
        </w:r>
      </w:hyperlink>
      <w:r>
        <w:t xml:space="preserve"> </w:t>
      </w:r>
      <w:hyperlink w:anchor="fonte-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No grupo sem internação prévia:</w:t>
      </w:r>
    </w:p>
    <w:p>
      <w:pPr>
        <w:pStyle w:val="BodyText"/>
        <w:spacing w:before="120" w:after="160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50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20</m:t>
          </m:r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Em linguagem cotidiana:</w:t>
      </w:r>
      <w:r>
        <w:t xml:space="preserve"> </w:t>
      </w:r>
      <w:r>
        <w:rPr>
          <w:b/>
          <w:bCs/>
        </w:rPr>
        <w:t xml:space="preserve">20 de cada 100 pessoas</w:t>
      </w:r>
      <w:r>
        <w:t xml:space="preserve">, se essa proporção fosse mantida em um grupo de 100. Isso não informa quais pessoas terão o evento, nem garante exatamente 20 eventos em uma nova amostra.</w:t>
      </w:r>
    </w:p>
    <w:p>
      <w:pPr>
        <w:pStyle w:val="BodyText"/>
      </w:pPr>
      <w:r>
        <w:t xml:space="preserve">O complemento,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, representa a probabilidade de não ocorrer o evento. 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20</m:t>
        </m:r>
      </m:oMath>
      <w:r>
        <w:t xml:space="preserve">, então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80</m:t>
        </m:r>
      </m:oMath>
      <w:r>
        <w:t xml:space="preserve">. As duas probabilidades somam 1 porque consideramos somente duas possibilidades: o evento ocorre ou não ocorre no período definido.</w:t>
      </w:r>
      <w:r>
        <w:t xml:space="preserve"> </w:t>
      </w:r>
      <w:hyperlink w:anchor="fonte-2">
        <w:r>
          <w:rPr>
            <w:rStyle w:val="Hyperlink"/>
          </w:rPr>
          <w:t xml:space="preserve">[2]</w:t>
        </w:r>
      </w:hyperlink>
    </w:p>
    <w:p>
      <w:pPr>
        <w:pStyle w:val="CaptionedFigure"/>
        <w:keepNext/>
      </w:pPr>
      <w:r>
        <w:drawing>
          <wp:inline>
            <wp:extent cx="5399999" cy="2669256"/>
            <wp:effectExtent b="0" l="0" r="0" t="0"/>
            <wp:docPr descr="Figura 1 — A mesma situação, dois denominadores. Representação didática de 20 eventos e 80 não eventos." title="" id="24" name="Picture"/>
            <a:graphic>
              <a:graphicData uri="http://schemas.openxmlformats.org/drawingml/2006/picture">
                <pic:pic>
                  <pic:nvPicPr>
                    <pic:cNvPr descr="figuras/regressao_logistica/probabilidade_odd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669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 — A mesma situação, dois denominadores. Representação didática de 20 eventos e 80 não eventos.</w:t>
      </w:r>
    </w:p>
    <w:bookmarkEnd w:id="26"/>
    <w:bookmarkStart w:id="29" w:name="odds-eventos-em-relação-aos-não-eventos"/>
    <w:p>
      <w:pPr>
        <w:pStyle w:val="Heading1"/>
      </w:pPr>
      <w:r>
        <w:t xml:space="preserve">3. Odds: eventos em relação aos não eventos</w:t>
      </w:r>
    </w:p>
    <w:p>
      <w:pPr>
        <w:pStyle w:val="FirstParagraph"/>
      </w:pPr>
      <w:r>
        <w:t xml:space="preserve">As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comparam a probabilidade do evento com a probabilidade de não evento. Em uma tabela de contagens, isso corresponde a dividir eventos por não eventos. O denominador mudou: antes era o total; agora são os não eventos.</w:t>
      </w:r>
      <w:r>
        <w:t xml:space="preserve"> </w:t>
      </w:r>
      <w:hyperlink w:anchor="fonte-2">
        <w:r>
          <w:rPr>
            <w:rStyle w:val="Hyperlink"/>
          </w:rPr>
          <w:t xml:space="preserve">[2]</w:t>
        </w:r>
      </w:hyperlink>
      <w:r>
        <w:t xml:space="preserve"> </w:t>
      </w:r>
      <w:hyperlink w:anchor="fonte-3">
        <w:r>
          <w:rPr>
            <w:rStyle w:val="Hyperlink"/>
          </w:rPr>
          <w:t xml:space="preserve">[3]</w:t>
        </w:r>
      </w:hyperlink>
    </w:p>
    <w:p>
      <w:pPr>
        <w:pStyle w:val="BodyText"/>
        <w:spacing w:before="120" w:after="160"/>
      </w:pPr>
      <m:oMathPara>
        <m:oMathParaPr>
          <m:jc m:val="center"/>
        </m:oMathParaPr>
        <m:oMath>
          <m:r>
            <m:rPr>
              <m:sty m:val="p"/>
            </m:rPr>
            <m:t>o</m:t>
          </m:r>
          <m:r>
            <m:rPr>
              <m:sty m:val="p"/>
            </m:rPr>
            <m:t>d</m:t>
          </m:r>
          <m:r>
            <m:rPr>
              <m:sty m:val="p"/>
            </m:rPr>
            <m:t>d</m:t>
          </m:r>
          <m:r>
            <m:rPr>
              <m:sty m:val="p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 probabilidade de 20%:</w:t>
      </w:r>
    </w:p>
    <w:p>
      <w:pPr>
        <w:pStyle w:val="BodyText"/>
        <w:spacing w:before="120" w:after="160"/>
      </w:pPr>
      <m:oMathPara>
        <m:oMathParaPr>
          <m:jc m:val="center"/>
        </m:oMathParaPr>
        <m:oMath>
          <m:r>
            <m:rPr>
              <m:sty m:val="p"/>
            </m:rPr>
            <m:t>o</m:t>
          </m:r>
          <m:r>
            <m:rPr>
              <m:sty m:val="p"/>
            </m:rPr>
            <m:t>d</m:t>
          </m:r>
          <m:r>
            <m:rPr>
              <m:sty m:val="p"/>
            </m:rPr>
            <m:t>d</m:t>
          </m:r>
          <m:r>
            <m:rPr>
              <m:sty m:val="p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20</m:t>
              </m:r>
            </m:num>
            <m:den>
              <m:r>
                <m:t>0</m:t>
              </m:r>
              <m:r>
                <m:rPr>
                  <m:sty m:val="p"/>
                </m:rPr>
                <m:t>,</m:t>
              </m:r>
              <m:r>
                <m:t>80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25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Na tabela do caso, a mesma conta é</w:t>
      </w:r>
      <w:r>
        <w:t xml:space="preserve"> </w:t>
      </w:r>
      <m:oMath>
        <m:r>
          <m:t>10</m:t>
        </m:r>
        <m:r>
          <m:rPr>
            <m:sty m:val="p"/>
          </m:rPr>
          <m:t>/</m:t>
        </m:r>
        <m:r>
          <m:t>40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25</m:t>
        </m:r>
      </m:oMath>
      <w:r>
        <w:t xml:space="preserve">. Isso significa</w:t>
      </w:r>
      <w:r>
        <w:t xml:space="preserve"> </w:t>
      </w:r>
      <w:r>
        <w:rPr>
          <w:b/>
          <w:bCs/>
        </w:rPr>
        <w:t xml:space="preserve">um evento para cada quatro não eventos</w:t>
      </w:r>
      <w:r>
        <w:t xml:space="preserve">, em termos da razão observada. Não significa probabilidade de 25%.</w:t>
      </w:r>
    </w:p>
    <w:p>
      <w:pPr>
        <w:pStyle w:val="BodyText"/>
      </w:pPr>
      <w:r>
        <w:t xml:space="preserve">Alguns textos traduzem</w:t>
      </w:r>
      <w:r>
        <w:t xml:space="preserve"> </w:t>
      </w:r>
      <w:r>
        <w:rPr>
          <w:i/>
          <w:iCs/>
        </w:rPr>
        <w:t xml:space="preserve">odds</w:t>
      </w:r>
      <w:r>
        <w:t xml:space="preserve"> </w:t>
      </w:r>
      <w:r>
        <w:t xml:space="preserve">como “chance” e</w:t>
      </w:r>
      <w:r>
        <w:t xml:space="preserve"> </w:t>
      </w:r>
      <w:r>
        <w:rPr>
          <w:i/>
          <w:iCs/>
        </w:rPr>
        <w:t xml:space="preserve">odds ratio</w:t>
      </w:r>
      <w:r>
        <w:t xml:space="preserve"> </w:t>
      </w:r>
      <w:r>
        <w:t xml:space="preserve">como “razão de chances”. Como “chance” também é usada informalmente para probabilidade, manteremos os termos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para deixar o denominador explícito.</w:t>
      </w:r>
    </w:p>
    <w:bookmarkStart w:id="27" w:name="uma-tabela-para-fixar-a-diferença"/>
    <w:p>
      <w:pPr>
        <w:pStyle w:val="Heading2"/>
      </w:pPr>
      <w:r>
        <w:t xml:space="preserve">3.1 Uma tabela para fixar a diferença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8"/>
        <w:gridCol w:w="2268"/>
        <w:gridCol w:w="2268"/>
        <w:gridCol w:w="2268"/>
      </w:tblGrid>
      <w:tr>
        <w:trPr>
          <w:tblHeader w:val="on"/>
          <w:cantSplit/>
          <w:tblHeader/>
        </w:trPr>
        <w:tc>
          <w:tcPr>
            <w:tcW w:type="dxa" w:w="2268"/>
            <w:shd w:fill="EAF2F6"/>
          </w:tcPr>
          <w:p>
            <w:pPr>
              <w:pStyle w:val="Compact"/>
              <w:keepNext/>
              <w:spacing w:before="60" w:after="80" w:line="250" w:lineRule="auto"/>
              <w:jc w:val="right"/>
            </w:pPr>
            <w:r>
              <w:rPr>
                <w:b/>
                <w:color w:val="005373"/>
                <w:sz w:val="20"/>
              </w:rPr>
              <w:t xml:space="preserve">Probabilidade do evento</w:t>
            </w:r>
          </w:p>
        </w:tc>
        <w:tc>
          <w:tcPr>
            <w:tcW w:type="dxa" w:w="2268"/>
            <w:shd w:fill="EAF2F6"/>
          </w:tcPr>
          <w:p>
            <w:pPr>
              <w:pStyle w:val="Compact"/>
              <w:keepNext/>
              <w:spacing w:before="60" w:after="80" w:line="250" w:lineRule="auto"/>
              <w:jc w:val="right"/>
            </w:pPr>
            <w:r>
              <w:rPr>
                <w:b/>
                <w:color w:val="005373"/>
                <w:sz w:val="20"/>
              </w:rPr>
              <w:t xml:space="preserve">Probabilidade de não evento</w:t>
            </w:r>
          </w:p>
        </w:tc>
        <w:tc>
          <w:tcPr>
            <w:tcW w:type="dxa" w:w="2268"/>
            <w:shd w:fill="EAF2F6"/>
          </w:tcPr>
          <w:p>
            <w:pPr>
              <w:pStyle w:val="Compact"/>
              <w:keepNext/>
              <w:spacing w:before="60" w:after="80" w:line="250" w:lineRule="auto"/>
              <w:jc w:val="right"/>
            </w:pPr>
            <w:r>
              <w:rPr>
                <w:b/>
                <w:color w:val="005373"/>
                <w:sz w:val="20"/>
              </w:rPr>
              <w:t xml:space="preserve">Odds</w:t>
            </w:r>
          </w:p>
        </w:tc>
        <w:tc>
          <w:tcPr>
            <w:tcW w:type="dxa" w:w="2268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Leitura da razão</w:t>
            </w:r>
          </w:p>
        </w:tc>
      </w:tr>
      <w:tr>
        <w:trPr>
          <w:cantSplit/>
        </w:trPr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10%</w:t>
            </w:r>
          </w:p>
        </w:tc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90%</w:t>
            </w:r>
          </w:p>
        </w:tc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0,111</w:t>
            </w:r>
          </w:p>
        </w:tc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1 evento para 9 não eventos</w:t>
            </w:r>
          </w:p>
        </w:tc>
      </w:tr>
      <w:tr>
        <w:trPr>
          <w:cantSplit/>
        </w:trPr>
        <w:tc>
          <w:tcPr>
            <w:tcW w:type="dxa" w:w="2268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20%</w:t>
            </w:r>
          </w:p>
        </w:tc>
        <w:tc>
          <w:tcPr>
            <w:tcW w:type="dxa" w:w="2268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80%</w:t>
            </w:r>
          </w:p>
        </w:tc>
        <w:tc>
          <w:tcPr>
            <w:tcW w:type="dxa" w:w="2268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0,25</w:t>
            </w:r>
          </w:p>
        </w:tc>
        <w:tc>
          <w:tcPr>
            <w:tcW w:type="dxa" w:w="2268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1 evento para 4 não eventos</w:t>
            </w:r>
          </w:p>
        </w:tc>
      </w:tr>
      <w:tr>
        <w:trPr>
          <w:cantSplit/>
        </w:trPr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50%</w:t>
            </w:r>
          </w:p>
        </w:tc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50%</w:t>
            </w:r>
          </w:p>
        </w:tc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1,00</w:t>
            </w:r>
          </w:p>
        </w:tc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1 evento para 1 não evento</w:t>
            </w:r>
          </w:p>
        </w:tc>
      </w:tr>
      <w:tr>
        <w:trPr>
          <w:cantSplit/>
        </w:trPr>
        <w:tc>
          <w:tcPr>
            <w:tcW w:type="dxa" w:w="2268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80%</w:t>
            </w:r>
          </w:p>
        </w:tc>
        <w:tc>
          <w:tcPr>
            <w:tcW w:type="dxa" w:w="2268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20%</w:t>
            </w:r>
          </w:p>
        </w:tc>
        <w:tc>
          <w:tcPr>
            <w:tcW w:type="dxa" w:w="2268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4,00</w:t>
            </w:r>
          </w:p>
        </w:tc>
        <w:tc>
          <w:tcPr>
            <w:tcW w:type="dxa" w:w="2268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4 eventos para 1 não evento</w:t>
            </w:r>
          </w:p>
        </w:tc>
      </w:tr>
    </w:tbl>
    <w:p>
      <w:pPr>
        <w:pStyle w:val="BodyText"/>
      </w:pPr>
      <w:r>
        <w:rPr>
          <w:b/>
          <w:bCs/>
        </w:rPr>
        <w:t xml:space="preserve">Cálculos didáticos.</w:t>
      </w:r>
      <w:r>
        <w:t xml:space="preserve"> </w:t>
      </w:r>
      <w:r>
        <w:t xml:space="preserve">Odds podem ser maiores que 1: odds de 4 correspondem a probabilidade de 80%. Para probabilidades entre 0 e 1, as odds são positivas; quando a probabilidade se aproxima de 1, as odds crescem sem limite. Em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fórmula tem denominador zero.</w:t>
      </w:r>
      <w:r>
        <w:t xml:space="preserve"> </w:t>
      </w:r>
      <w:hyperlink w:anchor="fonte-2">
        <w:r>
          <w:rPr>
            <w:rStyle w:val="Hyperlink"/>
          </w:rPr>
          <w:t xml:space="preserve">[2]</w:t>
        </w:r>
      </w:hyperlink>
    </w:p>
    <w:bookmarkEnd w:id="27"/>
    <w:bookmarkStart w:id="28" w:name="Xd3387747b490bf3476a8913e44e555b60c38852"/>
    <w:p>
      <w:pPr>
        <w:pStyle w:val="Heading2"/>
      </w:pPr>
      <w:r>
        <w:t xml:space="preserve">3.2 Como voltar das odds para a probabilidade</w:t>
      </w:r>
    </w:p>
    <w:p>
      <w:pPr>
        <w:pStyle w:val="FirstParagraph"/>
        <w:spacing w:before="120" w:after="160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s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s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 as odds forem 0,25, a probabilidade será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20</m:t>
        </m:r>
      </m:oMath>
      <w:r>
        <w:t xml:space="preserve">. Se forem 4, a probabilidade será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80</m:t>
        </m:r>
      </m:oMath>
      <w:r>
        <w:t xml:space="preserve">. Esta fórmula é uma reorganização da definição de odds.</w:t>
      </w:r>
      <w:r>
        <w:t xml:space="preserve"> </w:t>
      </w:r>
      <w:hyperlink w:anchor="fonte-2">
        <w:r>
          <w:rPr>
            <w:rStyle w:val="Hyperlink"/>
          </w:rPr>
          <w:t xml:space="preserve">[2]</w:t>
        </w:r>
      </w:hyperlink>
    </w:p>
    <w:p>
      <w:pPr>
        <w:pStyle w:val="BlockText"/>
      </w:pPr>
      <w:r>
        <w:rPr>
          <w:b/>
          <w:bCs/>
        </w:rPr>
        <w:t xml:space="preserve">Pausa de análise:</w:t>
      </w:r>
      <w:r>
        <w:t xml:space="preserve"> </w:t>
      </w:r>
      <w:r>
        <w:t xml:space="preserve">odds de 1 significam certeza do evento? Não. Significam probabilidades iguais para evento e não evento: 50% para cada um.</w:t>
      </w:r>
    </w:p>
    <w:bookmarkEnd w:id="28"/>
    <w:bookmarkEnd w:id="29"/>
    <w:bookmarkStart w:id="34" w:name="odds-ratio-comparar-duas-odds"/>
    <w:p>
      <w:pPr>
        <w:pStyle w:val="Heading1"/>
      </w:pPr>
      <w:r>
        <w:t xml:space="preserve">4. Odds ratio: comparar duas odds</w:t>
      </w:r>
    </w:p>
    <w:p>
      <w:pPr>
        <w:pStyle w:val="FirstParagraph"/>
      </w:pPr>
      <w:r>
        <w:t xml:space="preserve">Uma</w:t>
      </w:r>
      <w:r>
        <w:t xml:space="preserve"> </w:t>
      </w:r>
      <w:r>
        <w:rPr>
          <w:b/>
          <w:bCs/>
        </w:rPr>
        <w:t xml:space="preserve">odds ratio</w:t>
      </w:r>
      <w:r>
        <w:t xml:space="preserve">, abreviada</w:t>
      </w:r>
      <w:r>
        <w:t xml:space="preserve"> </w:t>
      </w:r>
      <w:r>
        <w:rPr>
          <w:b/>
          <w:bCs/>
        </w:rPr>
        <w:t xml:space="preserve">OR</w:t>
      </w:r>
      <w:r>
        <w:t xml:space="preserve">, é a divisão das odds de uma situação pelas odds de outra. A situação no denominador é a</w:t>
      </w:r>
      <w:r>
        <w:t xml:space="preserve"> </w:t>
      </w:r>
      <w:r>
        <w:rPr>
          <w:b/>
          <w:bCs/>
        </w:rPr>
        <w:t xml:space="preserve">referência da comparação</w:t>
      </w:r>
      <w:r>
        <w:t xml:space="preserve">. Uma OR só fica interpretável quando sabemos o evento e a direção dessa comparação.</w:t>
      </w:r>
      <w:r>
        <w:t xml:space="preserve"> </w:t>
      </w:r>
      <w:hyperlink w:anchor="fonte-3">
        <w:r>
          <w:rPr>
            <w:rStyle w:val="Hyperlink"/>
          </w:rPr>
          <w:t xml:space="preserve">[3]</w:t>
        </w:r>
      </w:hyperlink>
    </w:p>
    <w:p>
      <w:pPr>
        <w:pStyle w:val="BodyText"/>
        <w:spacing w:before="120" w:after="160"/>
      </w:pPr>
      <m:oMathPara>
        <m:oMathParaPr>
          <m:jc m:val="center"/>
        </m:oMathParaPr>
        <m:oMath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</m:num>
            <m:den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ê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.</m:t>
          </m:r>
        </m:oMath>
      </m:oMathPara>
    </w:p>
    <w:bookmarkStart w:id="30" w:name="resolvendo-o-caso-de-ana"/>
    <w:p>
      <w:pPr>
        <w:pStyle w:val="Heading2"/>
      </w:pPr>
      <w:r>
        <w:t xml:space="preserve">4.1 Resolvendo o caso de Ana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2494"/>
        <w:gridCol w:w="2438"/>
        <w:gridCol w:w="4139"/>
      </w:tblGrid>
      <w:tr>
        <w:trPr>
          <w:tblHeader w:val="on"/>
          <w:cantSplit/>
          <w:tblHeader/>
        </w:trPr>
        <w:tc>
          <w:tcPr>
            <w:tcW w:type="dxa" w:w="2494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Medida</w:t>
            </w:r>
          </w:p>
        </w:tc>
        <w:tc>
          <w:tcPr>
            <w:tcW w:type="dxa" w:w="2438"/>
            <w:shd w:fill="EAF2F6"/>
          </w:tcPr>
          <w:p>
            <w:pPr>
              <w:pStyle w:val="Compact"/>
              <w:keepNext/>
              <w:spacing w:before="60" w:after="80" w:line="250" w:lineRule="auto"/>
              <w:jc w:val="right"/>
            </w:pPr>
            <w:r>
              <w:rPr>
                <w:b/>
                <w:color w:val="005373"/>
                <w:sz w:val="20"/>
              </w:rPr>
              <w:t xml:space="preserve">Sem internação prévia</w:t>
            </w:r>
          </w:p>
        </w:tc>
        <w:tc>
          <w:tcPr>
            <w:tcW w:type="dxa" w:w="4139"/>
            <w:shd w:fill="EAF2F6"/>
          </w:tcPr>
          <w:p>
            <w:pPr>
              <w:pStyle w:val="Compact"/>
              <w:keepNext/>
              <w:spacing w:before="60" w:after="80" w:line="250" w:lineRule="auto"/>
              <w:jc w:val="right"/>
            </w:pPr>
            <w:r>
              <w:rPr>
                <w:b/>
                <w:color w:val="005373"/>
                <w:sz w:val="20"/>
              </w:rPr>
              <w:t xml:space="preserve">Com internação prévia</w:t>
            </w:r>
          </w:p>
        </w:tc>
      </w:tr>
      <w:tr>
        <w:trPr>
          <w:cantSplit/>
        </w:trPr>
        <w:tc>
          <w:tcPr>
            <w:tcW w:type="dxa" w:w="2494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Probabilidade estimada pela proporção</w:t>
            </w:r>
          </w:p>
        </w:tc>
        <w:tc>
          <w:tcPr>
            <w:tcW w:type="dxa" w:w="2438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10/50 = 20%</w:t>
            </w:r>
          </w:p>
        </w:tc>
        <w:tc>
          <w:tcPr>
            <w:tcW w:type="dxa" w:w="4139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20/60 ≈ 33,3%</w:t>
            </w:r>
          </w:p>
        </w:tc>
      </w:tr>
      <w:tr>
        <w:trPr>
          <w:cantSplit/>
        </w:trPr>
        <w:tc>
          <w:tcPr>
            <w:tcW w:type="dxa" w:w="2494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Odds observadas</w:t>
            </w:r>
          </w:p>
        </w:tc>
        <w:tc>
          <w:tcPr>
            <w:tcW w:type="dxa" w:w="2438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10/40 = 0,25</w:t>
            </w:r>
          </w:p>
        </w:tc>
        <w:tc>
          <w:tcPr>
            <w:tcW w:type="dxa" w:w="4139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20/40 = 0,50</w:t>
            </w:r>
          </w:p>
        </w:tc>
      </w:tr>
    </w:tbl>
    <w:p>
      <w:pPr>
        <w:pStyle w:val="BodyText"/>
      </w:pPr>
      <w:r>
        <w:t xml:space="preserve">Logo:</w:t>
      </w:r>
    </w:p>
    <w:p>
      <w:pPr>
        <w:pStyle w:val="BodyText"/>
        <w:spacing w:before="120" w:after="160"/>
      </w:pPr>
      <m:oMathPara>
        <m:oMathParaPr>
          <m:jc m:val="center"/>
        </m:oMathParaPr>
        <m:oMath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50</m:t>
              </m:r>
            </m:num>
            <m:den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Interpretação:</w:t>
      </w:r>
      <w:r>
        <w:t xml:space="preserve"> </w:t>
      </w:r>
      <w:r>
        <w:t xml:space="preserve">neste exemplo, as odds observadas de reinternação no grupo com internação prévia são duas vezes as do grupo sem internação prévia. Trata-se de uma</w:t>
      </w:r>
      <w:r>
        <w:t xml:space="preserve"> </w:t>
      </w:r>
      <w:r>
        <w:rPr>
          <w:b/>
          <w:bCs/>
        </w:rPr>
        <w:t xml:space="preserve">OR bruta</w:t>
      </w:r>
      <w:r>
        <w:t xml:space="preserve">, calculada diretamente da tabela, sem ajuste por outras características.</w:t>
      </w:r>
      <w:r>
        <w:t xml:space="preserve"> </w:t>
      </w:r>
      <w:hyperlink w:anchor="fonte-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A razão entre as probabilidades é diferente:</w:t>
      </w:r>
      <w:r>
        <w:t xml:space="preserve"> </w:t>
      </w:r>
      <m:oMath>
        <m:r>
          <m:rPr>
            <m:sty m:val="p"/>
          </m:rPr>
          <m:t>(</m:t>
        </m:r>
        <m:r>
          <m:t>20</m:t>
        </m:r>
        <m:r>
          <m:rPr>
            <m:sty m:val="p"/>
          </m:rPr>
          <m:t>/</m:t>
        </m:r>
        <m:r>
          <m:t>60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/</m:t>
        </m:r>
        <m:r>
          <m:t>50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67</m:t>
        </m:r>
      </m:oMath>
      <w:r>
        <w:t xml:space="preserve">. Nesse cenário hipotético com acompanhamento por 30 dias, essa razão é o</w:t>
      </w:r>
      <w:r>
        <w:t xml:space="preserve"> </w:t>
      </w:r>
      <w:r>
        <w:rPr>
          <w:b/>
          <w:bCs/>
        </w:rPr>
        <w:t xml:space="preserve">risco relativo</w:t>
      </w:r>
      <w:r>
        <w:t xml:space="preserve">. A diferença absoluta entre as probabilidades é aproximadamente</w:t>
      </w:r>
      <w:r>
        <w:t xml:space="preserve"> </w:t>
      </w:r>
      <w:r>
        <w:rPr>
          <w:b/>
          <w:bCs/>
        </w:rPr>
        <w:t xml:space="preserve">13,3 pontos percentuais</w:t>
      </w:r>
      <w:r>
        <w:t xml:space="preserve">: 33,3% menos 20%. Assim, o mesmo exemplo tem OR = 2,00, risco relativo ≈ 1,67 e diferença ≈ 13,3 pontos percentuais.</w:t>
      </w:r>
      <w:r>
        <w:t xml:space="preserve"> </w:t>
      </w:r>
      <w:hyperlink w:anchor="fonte-3">
        <w:r>
          <w:rPr>
            <w:rStyle w:val="Hyperlink"/>
          </w:rPr>
          <w:t xml:space="preserve">[3]</w:t>
        </w:r>
      </w:hyperlink>
    </w:p>
    <w:bookmarkEnd w:id="30"/>
    <w:bookmarkStart w:id="31" w:name="X29e96f41c0038420be16e49978cf84a1e8c7f41"/>
    <w:p>
      <w:pPr>
        <w:pStyle w:val="Heading2"/>
      </w:pPr>
      <w:r>
        <w:t xml:space="preserve">4.2 Como ler valores acima, abaixo e iguais a 1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2835"/>
        <w:gridCol w:w="6236"/>
      </w:tblGrid>
      <w:tr>
        <w:trPr>
          <w:tblHeader w:val="on"/>
          <w:cantSplit/>
          <w:tblHeader/>
        </w:trPr>
        <w:tc>
          <w:tcPr>
            <w:tcW w:type="dxa" w:w="2835"/>
            <w:shd w:fill="EAF2F6"/>
          </w:tcPr>
          <w:p>
            <w:pPr>
              <w:pStyle w:val="Compact"/>
              <w:keepNext/>
              <w:spacing w:before="60" w:after="80" w:line="250" w:lineRule="auto"/>
              <w:jc w:val="right"/>
            </w:pPr>
            <w:r>
              <w:rPr>
                <w:b/>
                <w:color w:val="005373"/>
                <w:sz w:val="20"/>
              </w:rPr>
              <w:t xml:space="preserve">OR</w:t>
            </w:r>
          </w:p>
        </w:tc>
        <w:tc>
          <w:tcPr>
            <w:tcW w:type="dxa" w:w="6236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Interpretação das odds no grupo comparado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2,00</w:t>
            </w:r>
          </w:p>
        </w:tc>
        <w:tc>
          <w:tcPr>
            <w:tcW w:type="dxa" w:w="6236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odds duas vezes as da referência; 100% maiores</w:t>
            </w:r>
          </w:p>
        </w:tc>
      </w:tr>
      <w:tr>
        <w:trPr>
          <w:cantSplit/>
        </w:trPr>
        <w:tc>
          <w:tcPr>
            <w:tcW w:type="dxa" w:w="2835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1,50</w:t>
            </w:r>
          </w:p>
        </w:tc>
        <w:tc>
          <w:tcPr>
            <w:tcW w:type="dxa" w:w="6236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odds 1,5 vez as da referência; 50% maiores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1,00</w:t>
            </w:r>
          </w:p>
        </w:tc>
        <w:tc>
          <w:tcPr>
            <w:tcW w:type="dxa" w:w="6236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odds iguais às da referência</w:t>
            </w:r>
          </w:p>
        </w:tc>
      </w:tr>
      <w:tr>
        <w:trPr>
          <w:cantSplit/>
        </w:trPr>
        <w:tc>
          <w:tcPr>
            <w:tcW w:type="dxa" w:w="2835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0,70</w:t>
            </w:r>
          </w:p>
        </w:tc>
        <w:tc>
          <w:tcPr>
            <w:tcW w:type="dxa" w:w="6236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odds iguais a 70% das da referência; 30% menores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0,50</w:t>
            </w:r>
          </w:p>
        </w:tc>
        <w:tc>
          <w:tcPr>
            <w:tcW w:type="dxa" w:w="6236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odds iguais à metade das da referência; 50% menores</w:t>
            </w:r>
          </w:p>
        </w:tc>
      </w:tr>
    </w:tbl>
    <w:p>
      <w:pPr>
        <w:pStyle w:val="BodyText"/>
      </w:pPr>
      <w:r>
        <w:t xml:space="preserve">A variação percentual das odds é</w:t>
      </w:r>
      <w:r>
        <w:t xml:space="preserve"> </w:t>
      </w:r>
      <m:oMath>
        <m:r>
          <m:t>100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Um resultado negativo indica redução das odds. A fórmula descreve</w:t>
      </w:r>
      <w:r>
        <w:t xml:space="preserve"> </w:t>
      </w:r>
      <w:r>
        <w:rPr>
          <w:b/>
          <w:bCs/>
        </w:rPr>
        <w:t xml:space="preserve">odds</w:t>
      </w:r>
      <w:r>
        <w:t xml:space="preserve">, sem converter essa variação em mudança percentual da probabilidade.</w:t>
      </w:r>
      <w:r>
        <w:t xml:space="preserve"> </w:t>
      </w:r>
      <w:hyperlink w:anchor="fonte-4">
        <w:r>
          <w:rPr>
            <w:rStyle w:val="Hyperlink"/>
          </w:rPr>
          <w:t xml:space="preserve">[4]</w:t>
        </w:r>
      </w:hyperlink>
    </w:p>
    <w:bookmarkEnd w:id="31"/>
    <w:bookmarkStart w:id="32" w:name="e-se-invertermos-a-referência"/>
    <w:p>
      <w:pPr>
        <w:pStyle w:val="Heading2"/>
      </w:pPr>
      <w:r>
        <w:t xml:space="preserve">4.3 E se invertermos a referência?</w:t>
      </w:r>
    </w:p>
    <w:p>
      <w:pPr>
        <w:pStyle w:val="FirstParagraph"/>
      </w:pPr>
      <w:r>
        <w:t xml:space="preserve">Comparar “sem internação prévia” com “com internação prévia” produz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/</m:t>
        </m:r>
        <m:r>
          <m:t>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50</m:t>
        </m:r>
      </m:oMath>
      <w:r>
        <w:t xml:space="preserve">. A OR invertida é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O</m:t>
        </m:r>
        <m:r>
          <m:rPr>
            <m:sty m:val="p"/>
          </m:rPr>
          <m:t>R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2,00 e 0,50 descrevem a mesma comparação em direções opostas</w:t>
      </w:r>
      <w:r>
        <w:t xml:space="preserve">. Por isso, a frase precisa dizer quem está sendo comparado com quem. Essa propriedade decorre da definição da razão.</w:t>
      </w:r>
      <w:r>
        <w:t xml:space="preserve"> </w:t>
      </w:r>
      <w:hyperlink w:anchor="fonte-3">
        <w:r>
          <w:rPr>
            <w:rStyle w:val="Hyperlink"/>
          </w:rPr>
          <w:t xml:space="preserve">[3]</w:t>
        </w:r>
      </w:hyperlink>
    </w:p>
    <w:bookmarkEnd w:id="32"/>
    <w:bookmarkStart w:id="33" w:name="Xa51e603059451408198c2c9d9e2675913fd2843"/>
    <w:p>
      <w:pPr>
        <w:pStyle w:val="Heading2"/>
      </w:pPr>
      <w:r>
        <w:t xml:space="preserve">4.4 Uma OR não determina sozinha a probabilidade</w:t>
      </w:r>
    </w:p>
    <w:p>
      <w:pPr>
        <w:pStyle w:val="FirstParagraph"/>
      </w:pPr>
      <w:r>
        <w:t xml:space="preserve">Suponha OR = 2. Para obter a nova probabilidade, precisamos conhecer a probabilidade de referência,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relativa à mesma comparação. Primeiro transformamos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em odds, multiplicamos pela OR e voltamos para probabilidade. Combinando essas etapas:</w:t>
      </w:r>
    </w:p>
    <w:p>
      <w:pPr>
        <w:pStyle w:val="BodyText"/>
        <w:spacing w:before="120" w:after="160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×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×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8"/>
        <w:gridCol w:w="2268"/>
        <w:gridCol w:w="2268"/>
        <w:gridCol w:w="2268"/>
      </w:tblGrid>
      <w:tr>
        <w:trPr>
          <w:tblHeader w:val="on"/>
          <w:cantSplit/>
          <w:tblHeader/>
        </w:trPr>
        <w:tc>
          <w:tcPr>
            <w:tcW w:type="dxa" w:w="2268"/>
            <w:shd w:fill="EAF2F6"/>
          </w:tcPr>
          <w:p>
            <w:pPr>
              <w:pStyle w:val="Compact"/>
              <w:keepNext/>
              <w:spacing w:before="60" w:after="80" w:line="250" w:lineRule="auto"/>
              <w:jc w:val="right"/>
            </w:pPr>
            <w:r>
              <w:rPr>
                <w:b/>
                <w:color w:val="005373"/>
                <w:sz w:val="20"/>
              </w:rPr>
              <w:t xml:space="preserve">Probabilidade de referência</w:t>
            </w:r>
          </w:p>
        </w:tc>
        <w:tc>
          <w:tcPr>
            <w:tcW w:type="dxa" w:w="2268"/>
            <w:shd w:fill="EAF2F6"/>
          </w:tcPr>
          <w:p>
            <w:pPr>
              <w:pStyle w:val="Compact"/>
              <w:keepNext/>
              <w:spacing w:before="60" w:after="80" w:line="250" w:lineRule="auto"/>
              <w:jc w:val="right"/>
            </w:pPr>
            <w:r>
              <w:rPr>
                <w:b/>
                <w:color w:val="005373"/>
                <w:sz w:val="20"/>
              </w:rPr>
              <w:t xml:space="preserve">OR</w:t>
            </w:r>
          </w:p>
        </w:tc>
        <w:tc>
          <w:tcPr>
            <w:tcW w:type="dxa" w:w="2268"/>
            <w:shd w:fill="EAF2F6"/>
          </w:tcPr>
          <w:p>
            <w:pPr>
              <w:pStyle w:val="Compact"/>
              <w:keepNext/>
              <w:spacing w:before="60" w:after="80" w:line="250" w:lineRule="auto"/>
              <w:jc w:val="right"/>
            </w:pPr>
            <w:r>
              <w:rPr>
                <w:b/>
                <w:color w:val="005373"/>
                <w:sz w:val="20"/>
              </w:rPr>
              <w:t xml:space="preserve">Probabilidade após a comparação</w:t>
            </w:r>
          </w:p>
        </w:tc>
        <w:tc>
          <w:tcPr>
            <w:tcW w:type="dxa" w:w="2268"/>
            <w:shd w:fill="EAF2F6"/>
          </w:tcPr>
          <w:p>
            <w:pPr>
              <w:pStyle w:val="Compact"/>
              <w:keepNext/>
              <w:spacing w:before="60" w:after="80" w:line="250" w:lineRule="auto"/>
              <w:jc w:val="right"/>
            </w:pPr>
            <w:r>
              <w:rPr>
                <w:b/>
                <w:color w:val="005373"/>
                <w:sz w:val="20"/>
              </w:rPr>
              <w:t xml:space="preserve">Diferença absoluta</w:t>
            </w:r>
          </w:p>
        </w:tc>
      </w:tr>
      <w:tr>
        <w:trPr>
          <w:cantSplit/>
        </w:trPr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10%</w:t>
            </w:r>
          </w:p>
        </w:tc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2,00</w:t>
            </w:r>
          </w:p>
        </w:tc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18,2%</w:t>
            </w:r>
          </w:p>
        </w:tc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+8,2 pontos percentuais</w:t>
            </w:r>
          </w:p>
        </w:tc>
      </w:tr>
      <w:tr>
        <w:trPr>
          <w:cantSplit/>
        </w:trPr>
        <w:tc>
          <w:tcPr>
            <w:tcW w:type="dxa" w:w="2268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20%</w:t>
            </w:r>
          </w:p>
        </w:tc>
        <w:tc>
          <w:tcPr>
            <w:tcW w:type="dxa" w:w="2268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2,00</w:t>
            </w:r>
          </w:p>
        </w:tc>
        <w:tc>
          <w:tcPr>
            <w:tcW w:type="dxa" w:w="2268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33,3%</w:t>
            </w:r>
          </w:p>
        </w:tc>
        <w:tc>
          <w:tcPr>
            <w:tcW w:type="dxa" w:w="2268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+13,3 pontos percentuais</w:t>
            </w:r>
          </w:p>
        </w:tc>
      </w:tr>
      <w:tr>
        <w:trPr>
          <w:cantSplit/>
        </w:trPr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50%</w:t>
            </w:r>
          </w:p>
        </w:tc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2,00</w:t>
            </w:r>
          </w:p>
        </w:tc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66,7%</w:t>
            </w:r>
          </w:p>
        </w:tc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+16,7 pontos percentuais</w:t>
            </w:r>
          </w:p>
        </w:tc>
      </w:tr>
    </w:tbl>
    <w:p>
      <w:pPr>
        <w:pStyle w:val="BodyText"/>
      </w:pPr>
      <w:r>
        <w:rPr>
          <w:b/>
          <w:bCs/>
        </w:rPr>
        <w:t xml:space="preserve">Cálculos didáticos derivados da definição de OR.</w:t>
      </w:r>
      <w:r>
        <w:t xml:space="preserve"> </w:t>
      </w:r>
      <w:r>
        <w:t xml:space="preserve">A mesma multiplicação das odds gera mudanças diferentes de probabilidade. A OR aproxima o risco relativo quando o evento é raro nos grupos comparados, mas não devemos assumir que as duas medidas são intercambiáveis.</w:t>
      </w:r>
      <w:r>
        <w:t xml:space="preserve"> </w:t>
      </w:r>
      <w:hyperlink w:anchor="fonte-3">
        <w:r>
          <w:rPr>
            <w:rStyle w:val="Hyperlink"/>
          </w:rPr>
          <w:t xml:space="preserve">[3]</w:t>
        </w:r>
      </w:hyperlink>
    </w:p>
    <w:p>
      <w:pPr>
        <w:pStyle w:val="BlockText"/>
      </w:pPr>
      <w:r>
        <w:rPr>
          <w:b/>
          <w:bCs/>
        </w:rPr>
        <w:t xml:space="preserve">Resposta ao colega de Ana:</w:t>
      </w:r>
      <w:r>
        <w:t xml:space="preserve"> </w:t>
      </w:r>
      <w:r>
        <w:t xml:space="preserve">“O resultado indica o dobro das odds. A probabilidade passa de 20% para aproximadamente 33,3%; ela não dobra.”</w:t>
      </w:r>
    </w:p>
    <w:bookmarkEnd w:id="33"/>
    <w:bookmarkEnd w:id="34"/>
    <w:bookmarkStart w:id="41" w:name="onde-entra-a-regressão-logística"/>
    <w:p>
      <w:pPr>
        <w:pStyle w:val="Heading1"/>
      </w:pPr>
      <w:r>
        <w:t xml:space="preserve">5. Onde entra a regressão logística?</w:t>
      </w:r>
    </w:p>
    <w:p>
      <w:pPr>
        <w:pStyle w:val="FirstParagraph"/>
      </w:pPr>
      <w:r>
        <w:t xml:space="preserve">A regressão logística binária relaciona um desfecho com duas possibilidades a uma ou mais características, como idade e internação prévia. Ela permite estimar a probabilidade do evento para um conjunto de valores dessas características. O termo</w:t>
      </w:r>
      <w:r>
        <w:t xml:space="preserve"> </w:t>
      </w:r>
      <w:r>
        <w:rPr>
          <w:b/>
          <w:bCs/>
        </w:rPr>
        <w:t xml:space="preserve">binária</w:t>
      </w:r>
      <w:r>
        <w:t xml:space="preserve"> </w:t>
      </w:r>
      <w:r>
        <w:t xml:space="preserve">se refere ao desfecho; as variáveis explicativas podem ser numéricas ou categóricas.</w:t>
      </w:r>
      <w:r>
        <w:t xml:space="preserve"> </w:t>
      </w:r>
      <w:hyperlink w:anchor="fonte-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No caso de Ana, a pergunta se amplia:</w:t>
      </w:r>
      <w:r>
        <w:t xml:space="preserve"> </w:t>
      </w:r>
      <w:r>
        <w:rPr>
          <w:b/>
          <w:bCs/>
        </w:rPr>
        <w:t xml:space="preserve">como a probabilidade estimada de reinternação varia quando consideramos, em conjunto, idade, internação prévia e acompanhamento programado?</w:t>
      </w:r>
    </w:p>
    <w:bookmarkStart w:id="38" w:name="por-que-aparece-uma-curva-em-s"/>
    <w:p>
      <w:pPr>
        <w:pStyle w:val="Heading2"/>
      </w:pPr>
      <w:r>
        <w:t xml:space="preserve">5.1 Por que aparece uma curva em S?</w:t>
      </w:r>
    </w:p>
    <w:p>
      <w:pPr>
        <w:pStyle w:val="FirstParagraph"/>
      </w:pPr>
      <w:r>
        <w:t xml:space="preserve">Uma probabilidade precisa ficar entre 0 e 1. Uma soma como “intercepto + coeficiente × idade” pode assumir valores negativos ou maiores que 1. A regressão logística usa essa soma em uma escala intermediária, a</w:t>
      </w:r>
      <w:r>
        <w:t xml:space="preserve"> </w:t>
      </w:r>
      <w:r>
        <w:rPr>
          <w:b/>
          <w:bCs/>
        </w:rPr>
        <w:t xml:space="preserve">log-odds</w:t>
      </w:r>
      <w:r>
        <w:t xml:space="preserve">, e depois a transforma em probabilidade. A transformação logística produz uma curva em S e mantém as probabilidades dentro do intervalo permitido.</w:t>
      </w:r>
      <w:r>
        <w:t xml:space="preserve"> </w:t>
      </w:r>
      <w:hyperlink w:anchor="fonte-1">
        <w:r>
          <w:rPr>
            <w:rStyle w:val="Hyperlink"/>
          </w:rPr>
          <w:t xml:space="preserve">[1]</w:t>
        </w:r>
      </w:hyperlink>
    </w:p>
    <w:p>
      <w:pPr>
        <w:pStyle w:val="CaptionedFigure"/>
        <w:keepNext/>
      </w:pPr>
      <w:r>
        <w:drawing>
          <wp:inline>
            <wp:extent cx="5399999" cy="2300054"/>
            <wp:effectExtent b="0" l="0" r="0" t="0"/>
            <wp:docPr descr="Figura 2 — Da log-odds à probabilidade. O eixo horizontal é o valor combinado do modelo, não o coeficiente isolado de uma variável." title="" id="36" name="Picture"/>
            <a:graphic>
              <a:graphicData uri="http://schemas.openxmlformats.org/drawingml/2006/picture">
                <pic:pic>
                  <pic:nvPicPr>
                    <pic:cNvPr descr="figuras/regressao_logistica/curva_logistica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300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 — Da log-odds à probabilidade. O eixo horizontal é o valor combinado do modelo, não o coeficiente isolado de uma variável.</w:t>
      </w:r>
    </w:p>
    <w:p>
      <w:pPr>
        <w:pStyle w:val="BodyText"/>
      </w:pPr>
      <w:r>
        <w:t xml:space="preserve">O ponto central é simples:</w:t>
      </w:r>
      <w:r>
        <w:t xml:space="preserve"> </w:t>
      </w:r>
      <w:r>
        <w:rPr>
          <w:b/>
          <w:bCs/>
        </w:rPr>
        <w:t xml:space="preserve">a soma do modelo não é uma porcentagem</w:t>
      </w:r>
      <w:r>
        <w:t xml:space="preserve">. Ela precisa ser convertida antes de receber uma interpretação de probabilidade.</w:t>
      </w:r>
    </w:p>
    <w:bookmarkEnd w:id="38"/>
    <w:bookmarkStart w:id="39" w:name="quatro-peças-da-equação"/>
    <w:p>
      <w:pPr>
        <w:pStyle w:val="Heading2"/>
      </w:pPr>
      <w:r>
        <w:t xml:space="preserve">5.2 Quatro peças da equação</w:t>
      </w:r>
    </w:p>
    <w:p>
      <w:pPr>
        <w:pStyle w:val="FirstParagraph"/>
      </w:pPr>
      <w:r>
        <w:t xml:space="preserve">Usaremos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para representar um coeficiente estimado. Outros materiais podem usar B, beta ou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odyText"/>
        <w:spacing w:before="120" w:after="160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k</m:t>
              </m:r>
            </m:sub>
          </m:sSub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2835"/>
        <w:gridCol w:w="6236"/>
      </w:tblGrid>
      <w:tr>
        <w:trPr>
          <w:tblHeader w:val="on"/>
          <w:cantSplit/>
          <w:tblHeader/>
        </w:trPr>
        <w:tc>
          <w:tcPr>
            <w:tcW w:type="dxa" w:w="2835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Símbolo</w:t>
            </w:r>
          </w:p>
        </w:tc>
        <w:tc>
          <w:tcPr>
            <w:tcW w:type="dxa" w:w="6236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Leitura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</w:p>
        </w:tc>
        <w:tc>
          <w:tcPr>
            <w:tcW w:type="dxa" w:w="6236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valores das características de um perfil</w:t>
            </w:r>
          </w:p>
        </w:tc>
      </w:tr>
      <w:tr>
        <w:trPr>
          <w:cantSplit/>
        </w:trPr>
        <w:tc>
          <w:tcPr>
            <w:tcW w:type="dxa" w:w="2835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</w:p>
        </w:tc>
        <w:tc>
          <w:tcPr>
            <w:tcW w:type="dxa" w:w="6236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coeficientes associados a essas características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m:oMath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tcW w:type="dxa" w:w="6236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intercepto: ponto de partida na escala da log-odds</w:t>
            </w:r>
          </w:p>
        </w:tc>
      </w:tr>
      <w:tr>
        <w:trPr>
          <w:cantSplit/>
        </w:trPr>
        <w:tc>
          <w:tcPr>
            <w:tcW w:type="dxa" w:w="2835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m:oMath>
              <m:r>
                <m:t>η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— “eta”</w:t>
            </w:r>
          </w:p>
        </w:tc>
        <w:tc>
          <w:tcPr>
            <w:tcW w:type="dxa" w:w="6236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resultado da soma, igual à log-odds estimada</w:t>
            </w:r>
          </w:p>
        </w:tc>
      </w:tr>
    </w:tbl>
    <w:p>
      <w:pPr>
        <w:pStyle w:val="BodyText"/>
      </w:pPr>
      <w:r>
        <w:t xml:space="preserve">As conversões são:</w:t>
      </w:r>
    </w:p>
    <w:p>
      <w:pPr>
        <w:pStyle w:val="BodyText"/>
        <w:spacing w:before="120" w:after="160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o</m:t>
          </m:r>
          <m:r>
            <m:rPr>
              <m:sty m:val="p"/>
            </m:rPr>
            <m:t>d</m:t>
          </m:r>
          <m:r>
            <m:rPr>
              <m:sty m:val="p"/>
            </m:rPr>
            <m:t>d</m:t>
          </m:r>
          <m:r>
            <m:rPr>
              <m:sty m:val="p"/>
            </m:rPr>
            <m:t>s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η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η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η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p"/>
          </m:rPr>
          <m:t>ln</m:t>
        </m:r>
      </m:oMath>
      <w:r>
        <w:t xml:space="preserve"> </w:t>
      </w:r>
      <w:r>
        <w:t xml:space="preserve">significa logaritmo natural. A operação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, ou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elevado a um número, desfaz esse logaritmo;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vale aproximadamente 2,718. Não é preciso calcular logaritmos à mão: uma calculadora científica ou o programa faz essa etapa. O essencial é reconhecer em qual escala o número está.</w:t>
      </w:r>
      <w:r>
        <w:t xml:space="preserve"> </w:t>
      </w:r>
      <w:hyperlink w:anchor="fonte-1">
        <w:r>
          <w:rPr>
            <w:rStyle w:val="Hyperlink"/>
          </w:rPr>
          <w:t xml:space="preserve">[1]</w:t>
        </w:r>
      </w:hyperlink>
      <w:r>
        <w:t xml:space="preserve"> </w:t>
      </w:r>
      <w:hyperlink w:anchor="fonte-2">
        <w:r>
          <w:rPr>
            <w:rStyle w:val="Hyperlink"/>
          </w:rPr>
          <w:t xml:space="preserve">[2]</w:t>
        </w:r>
      </w:hyperlink>
    </w:p>
    <w:bookmarkEnd w:id="39"/>
    <w:bookmarkStart w:id="40" w:name="de-onde-vêm-os-coeficientes"/>
    <w:p>
      <w:pPr>
        <w:pStyle w:val="Heading2"/>
      </w:pPr>
      <w:r>
        <w:t xml:space="preserve">5.3 De onde vêm os coeficientes?</w:t>
      </w:r>
    </w:p>
    <w:p>
      <w:pPr>
        <w:pStyle w:val="FirstParagraph"/>
      </w:pPr>
      <w:r>
        <w:t xml:space="preserve">Em uma análise, o programa estima os coeficientes a partir dos dados. No ajuste clássico, utiliza-se máxima verossimilhança: procuram-se valores sob os quais o conjunto de resultados observados seja mais plausível segundo o modelo. Aqui vamos trabalhar com coeficientes fornecidos, para concentrar a atenção na interpretação.</w:t>
      </w:r>
      <w:r>
        <w:t xml:space="preserve"> </w:t>
      </w:r>
      <w:hyperlink w:anchor="fonte-10">
        <w:r>
          <w:rPr>
            <w:rStyle w:val="Hyperlink"/>
          </w:rPr>
          <w:t xml:space="preserve">[10]</w:t>
        </w:r>
      </w:hyperlink>
    </w:p>
    <w:bookmarkEnd w:id="40"/>
    <w:bookmarkEnd w:id="41"/>
    <w:bookmarkStart w:id="44" w:name="X3da83fe8f1df93e58c12e66d989ed57c2760c7f"/>
    <w:p>
      <w:pPr>
        <w:pStyle w:val="Heading1"/>
      </w:pPr>
      <w:r>
        <w:t xml:space="preserve">6. Coeficientes: primeiro o sinal, depois a magnitude</w:t>
      </w:r>
    </w:p>
    <w:p>
      <w:pPr>
        <w:pStyle w:val="FirstParagraph"/>
      </w:pPr>
      <w:r>
        <w:t xml:space="preserve">Em um modelo sem interação e com a variável entrando de forma linear na log-odds, o coeficiente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descreve quanto a log-odds muda quando essa variável aumenta uma unidade,</w:t>
      </w:r>
      <w:r>
        <w:t xml:space="preserve"> </w:t>
      </w:r>
      <w:r>
        <w:rPr>
          <w:b/>
          <w:bCs/>
        </w:rPr>
        <w:t xml:space="preserve">mantendo as demais variáveis do modelo constantes</w:t>
      </w:r>
      <w:r>
        <w:t xml:space="preserve">.</w:t>
      </w:r>
      <w:r>
        <w:t xml:space="preserve"> </w:t>
      </w:r>
      <w:hyperlink w:anchor="fonte-4">
        <w:r>
          <w:rPr>
            <w:rStyle w:val="Hyperlink"/>
          </w:rPr>
          <w:t xml:space="preserve">[4]</w:t>
        </w:r>
      </w:hyperlink>
      <w:r>
        <w:t xml:space="preserve"> </w:t>
      </w:r>
      <w:hyperlink w:anchor="fonte-5">
        <w:r>
          <w:rPr>
            <w:rStyle w:val="Hyperlink"/>
          </w:rPr>
          <w:t xml:space="preserve">[5]</w:t>
        </w:r>
      </w:hyperlink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2835"/>
        <w:gridCol w:w="6236"/>
      </w:tblGrid>
      <w:tr>
        <w:trPr>
          <w:tblHeader w:val="on"/>
          <w:cantSplit/>
          <w:tblHeader/>
        </w:trPr>
        <w:tc>
          <w:tcPr>
            <w:tcW w:type="dxa" w:w="2835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Coeficiente</w:t>
            </w:r>
          </w:p>
        </w:tc>
        <w:tc>
          <w:tcPr>
            <w:tcW w:type="dxa" w:w="6236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Para um aumento de uma unidade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m:oMath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>
            <w:tcW w:type="dxa" w:w="6236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log-odds, odds e probabilidade estimadas do evento aumentam</w:t>
            </w:r>
          </w:p>
        </w:tc>
      </w:tr>
      <w:tr>
        <w:trPr>
          <w:cantSplit/>
        </w:trPr>
        <w:tc>
          <w:tcPr>
            <w:tcW w:type="dxa" w:w="2835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m:oMath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>
            <w:tcW w:type="dxa" w:w="6236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log-odds, odds e probabilidade estimadas do evento diminuem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>
            <w:tcW w:type="dxa" w:w="6236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esse termo não altera a estimativa no contraste considerado</w:t>
            </w:r>
          </w:p>
        </w:tc>
      </w:tr>
    </w:tbl>
    <w:p>
      <w:pPr>
        <w:pStyle w:val="BodyText"/>
      </w:pPr>
      <w:r>
        <w:t xml:space="preserve">O sinal indica a direção da associação no modelo. Ele não informa sozinho o tamanho da mudança na probabilidade.</w:t>
      </w:r>
      <w:r>
        <w:t xml:space="preserve"> </w:t>
      </w:r>
      <w:r>
        <w:rPr>
          <w:b/>
          <w:bCs/>
        </w:rPr>
        <w:t xml:space="preserve">Um coeficiente de 0,69 não significa aumento de 69%, nem de 69 pontos percentuais.</w:t>
      </w:r>
      <w:r>
        <w:t xml:space="preserve"> </w:t>
      </w:r>
      <w:hyperlink w:anchor="fonte-4">
        <w:r>
          <w:rPr>
            <w:rStyle w:val="Hyperlink"/>
          </w:rPr>
          <w:t xml:space="preserve">[4]</w:t>
        </w:r>
      </w:hyperlink>
    </w:p>
    <w:bookmarkStart w:id="42" w:name="do-coeficiente-à-or"/>
    <w:p>
      <w:pPr>
        <w:pStyle w:val="Heading2"/>
      </w:pPr>
      <w:r>
        <w:t xml:space="preserve">6.1 Do coeficiente à OR</w:t>
      </w:r>
    </w:p>
    <w:p>
      <w:pPr>
        <w:pStyle w:val="FirstParagraph"/>
      </w:pPr>
      <w:r>
        <w:t xml:space="preserve">Para um aumento de uma unidade, nas condições descritas acima:</w:t>
      </w:r>
    </w:p>
    <w:p>
      <w:pPr>
        <w:pStyle w:val="BodyText"/>
        <w:spacing w:before="120" w:after="160"/>
      </w:pPr>
      <m:oMathPara>
        <m:oMathParaPr>
          <m:jc m:val="center"/>
        </m:oMathParaPr>
        <m:oMath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2268"/>
        <w:gridCol w:w="2268"/>
        <w:gridCol w:w="2268"/>
        <w:gridCol w:w="2268"/>
      </w:tblGrid>
      <w:tr>
        <w:trPr>
          <w:tblHeader w:val="on"/>
          <w:cantSplit/>
          <w:tblHeader/>
        </w:trPr>
        <w:tc>
          <w:tcPr>
            <w:tcW w:type="dxa" w:w="2268"/>
            <w:shd w:fill="EAF2F6"/>
          </w:tcPr>
          <w:p>
            <w:pPr>
              <w:pStyle w:val="Compact"/>
              <w:keepNext/>
              <w:spacing w:before="60" w:after="80" w:line="250" w:lineRule="auto"/>
              <w:jc w:val="right"/>
            </w:pPr>
            <w:r>
              <w:rPr>
                <w:b/>
                <w:color w:val="005373"/>
                <w:sz w:val="20"/>
              </w:rPr>
              <w:t xml:space="preserve">Coeficiente aproximado</w:t>
            </w:r>
          </w:p>
        </w:tc>
        <w:tc>
          <w:tcPr>
            <w:tcW w:type="dxa" w:w="2268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Cálculo</w:t>
            </w:r>
          </w:p>
        </w:tc>
        <w:tc>
          <w:tcPr>
            <w:tcW w:type="dxa" w:w="2268"/>
            <w:shd w:fill="EAF2F6"/>
          </w:tcPr>
          <w:p>
            <w:pPr>
              <w:pStyle w:val="Compact"/>
              <w:keepNext/>
              <w:spacing w:before="60" w:after="80" w:line="250" w:lineRule="auto"/>
              <w:jc w:val="right"/>
            </w:pPr>
            <w:r>
              <w:rPr>
                <w:b/>
                <w:color w:val="005373"/>
                <w:sz w:val="20"/>
              </w:rPr>
              <w:t xml:space="preserve">OR</w:t>
            </w:r>
          </w:p>
        </w:tc>
        <w:tc>
          <w:tcPr>
            <w:tcW w:type="dxa" w:w="2268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Leitura</w:t>
            </w:r>
          </w:p>
        </w:tc>
      </w:tr>
      <w:tr>
        <w:trPr>
          <w:cantSplit/>
        </w:trPr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+0,6931</w:t>
            </w:r>
          </w:p>
        </w:tc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exp(0,6931)</w:t>
            </w:r>
          </w:p>
        </w:tc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2,00</w:t>
            </w:r>
          </w:p>
        </w:tc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odds 100% maiores</w:t>
            </w:r>
          </w:p>
        </w:tc>
      </w:tr>
      <w:tr>
        <w:trPr>
          <w:cantSplit/>
        </w:trPr>
        <w:tc>
          <w:tcPr>
            <w:tcW w:type="dxa" w:w="2268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0</w:t>
            </w:r>
          </w:p>
        </w:tc>
        <w:tc>
          <w:tcPr>
            <w:tcW w:type="dxa" w:w="2268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exp(0)</w:t>
            </w:r>
          </w:p>
        </w:tc>
        <w:tc>
          <w:tcPr>
            <w:tcW w:type="dxa" w:w="2268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1,00</w:t>
            </w:r>
          </w:p>
        </w:tc>
        <w:tc>
          <w:tcPr>
            <w:tcW w:type="dxa" w:w="2268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odds iguais</w:t>
            </w:r>
          </w:p>
        </w:tc>
      </w:tr>
      <w:tr>
        <w:trPr>
          <w:cantSplit/>
        </w:trPr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−0,3567</w:t>
            </w:r>
          </w:p>
        </w:tc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exp(−0,3567)</w:t>
            </w:r>
          </w:p>
        </w:tc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0,70</w:t>
            </w:r>
          </w:p>
        </w:tc>
        <w:tc>
          <w:tcPr>
            <w:tcW w:type="dxa" w:w="2268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odds 30% menores</w:t>
            </w:r>
          </w:p>
        </w:tc>
      </w:tr>
      <w:tr>
        <w:trPr>
          <w:cantSplit/>
        </w:trPr>
        <w:tc>
          <w:tcPr>
            <w:tcW w:type="dxa" w:w="2268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−0,6931</w:t>
            </w:r>
          </w:p>
        </w:tc>
        <w:tc>
          <w:tcPr>
            <w:tcW w:type="dxa" w:w="2268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exp(−0,6931)</w:t>
            </w:r>
          </w:p>
        </w:tc>
        <w:tc>
          <w:tcPr>
            <w:tcW w:type="dxa" w:w="2268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0,50</w:t>
            </w:r>
          </w:p>
        </w:tc>
        <w:tc>
          <w:tcPr>
            <w:tcW w:type="dxa" w:w="2268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odds 50% menores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Cálculos didáticos, com arredondamento apenas na apresentação.</w:t>
      </w:r>
      <w:r>
        <w:t xml:space="preserve"> </w:t>
      </w:r>
      <w:r>
        <w:t xml:space="preserve">Um coeficiente negativo produz uma OR entre 0 e 1. A OR não fica negativa, porque a função exponencial é positiva.</w:t>
      </w:r>
      <w:r>
        <w:t xml:space="preserve"> </w:t>
      </w:r>
      <w:hyperlink w:anchor="fonte-4">
        <w:r>
          <w:rPr>
            <w:rStyle w:val="Hyperlink"/>
          </w:rPr>
          <w:t xml:space="preserve">[4]</w:t>
        </w:r>
      </w:hyperlink>
    </w:p>
    <w:p>
      <w:pPr>
        <w:pStyle w:val="BlockText"/>
      </w:pPr>
      <w:r>
        <w:rPr>
          <w:b/>
          <w:bCs/>
        </w:rPr>
        <w:t xml:space="preserve">Duas operações diferentes:</w:t>
      </w:r>
      <w:r>
        <w:t xml:space="preserve"> </w:t>
      </w:r>
      <m:oMath>
        <m:sSup>
          <m:e>
            <m:r>
              <m:t>e</m:t>
            </m:r>
          </m:e>
          <m:sup>
            <m:r>
              <m:t>η</m:t>
            </m:r>
          </m:sup>
        </m:sSup>
      </m:oMath>
      <w:r>
        <w:t xml:space="preserve"> </w:t>
      </w:r>
      <w:r>
        <w:t xml:space="preserve">produz as</w:t>
      </w:r>
      <w:r>
        <w:t xml:space="preserve"> </w:t>
      </w:r>
      <w:r>
        <w:rPr>
          <w:b/>
          <w:bCs/>
        </w:rPr>
        <w:t xml:space="preserve">odds de um perfil</w:t>
      </w:r>
      <w:r>
        <w:t xml:space="preserve">;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 </w:t>
      </w:r>
      <w:r>
        <w:t xml:space="preserve">produz a</w:t>
      </w:r>
      <w:r>
        <w:t xml:space="preserve"> </w:t>
      </w:r>
      <w:r>
        <w:rPr>
          <w:b/>
          <w:bCs/>
        </w:rPr>
        <w:t xml:space="preserve">OR para +1 unidade de uma variável</w:t>
      </w:r>
      <w:r>
        <w:t xml:space="preserve">, quando esse coeficiente representa todo o contraste.</w:t>
      </w:r>
    </w:p>
    <w:bookmarkEnd w:id="42"/>
    <w:bookmarkStart w:id="43" w:name="X7ae11958f2554da18f68bc1193def3db2a88621"/>
    <w:p>
      <w:pPr>
        <w:pStyle w:val="Heading2"/>
      </w:pPr>
      <w:r>
        <w:t xml:space="preserve">6.2 O intercepto também precisa de interpretação</w:t>
      </w:r>
    </w:p>
    <w:p>
      <w:pPr>
        <w:pStyle w:val="FirstParagraph"/>
      </w:pPr>
      <w:r>
        <w:t xml:space="preserve">O intercepto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é a log-odds estimada quando todas as variáveis que entram na equação valem zero. Portanto,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sup>
        </m:sSup>
      </m:oMath>
      <w:r>
        <w:t xml:space="preserve"> </w:t>
      </w:r>
      <w:r>
        <w:t xml:space="preserve">representa as odds desse perfil de referência; não é automaticamente uma OR entre grupos.</w:t>
      </w:r>
      <w:r>
        <w:t xml:space="preserve"> </w:t>
      </w:r>
      <w:hyperlink w:anchor="fonte-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Se “idade = 0” não for um ponto útil para a análise, podemos usar “idade − 50”. Nesse caso, zero nessa variável representa uma pessoa de 50 anos. Essa</w:t>
      </w:r>
      <w:r>
        <w:t xml:space="preserve"> </w:t>
      </w:r>
      <w:r>
        <w:rPr>
          <w:b/>
          <w:bCs/>
        </w:rPr>
        <w:t xml:space="preserve">centralização</w:t>
      </w:r>
      <w:r>
        <w:t xml:space="preserve"> </w:t>
      </w:r>
      <w:r>
        <w:t xml:space="preserve">facilita a interpretação do intercepto. O significado depende dos zeros escolhidos para todas as outras variáveis.</w:t>
      </w:r>
      <w:r>
        <w:t xml:space="preserve"> </w:t>
      </w:r>
      <w:hyperlink w:anchor="fonte-2">
        <w:r>
          <w:rPr>
            <w:rStyle w:val="Hyperlink"/>
          </w:rPr>
          <w:t xml:space="preserve">[2]</w:t>
        </w:r>
      </w:hyperlink>
    </w:p>
    <w:bookmarkEnd w:id="43"/>
    <w:bookmarkEnd w:id="44"/>
    <w:bookmarkStart w:id="49" w:name="a-unidade-e-a-referência-mudam-a-leitura"/>
    <w:p>
      <w:pPr>
        <w:pStyle w:val="Heading1"/>
      </w:pPr>
      <w:r>
        <w:t xml:space="preserve">7. A unidade e a referência mudam a leitura</w:t>
      </w:r>
    </w:p>
    <w:bookmarkStart w:id="45" w:name="variável-binária-de-0-para-1"/>
    <w:p>
      <w:pPr>
        <w:pStyle w:val="Heading2"/>
      </w:pPr>
      <w:r>
        <w:t xml:space="preserve">7.1 Variável binária: de 0 para 1</w:t>
      </w:r>
    </w:p>
    <w:p>
      <w:pPr>
        <w:pStyle w:val="FirstParagraph"/>
      </w:pPr>
      <w:r>
        <w:t xml:space="preserve">Se internação prévia foi codificada como 0 = não e 1 = sim, e seu coeficiente é aproximadamente 0,6931, então OR = 2,00 para</w:t>
      </w:r>
      <w:r>
        <w:t xml:space="preserve"> </w:t>
      </w:r>
      <w:r>
        <w:rPr>
          <w:b/>
          <w:bCs/>
        </w:rPr>
        <w:t xml:space="preserve">sim em comparação com não</w:t>
      </w:r>
      <w:r>
        <w:t xml:space="preserve">. Em um modelo com outras variáveis, a frase deve explicitar o ajuste.</w:t>
      </w:r>
      <w:r>
        <w:t xml:space="preserve"> </w:t>
      </w:r>
      <w:hyperlink w:anchor="fonte-4">
        <w:r>
          <w:rPr>
            <w:rStyle w:val="Hyperlink"/>
          </w:rPr>
          <w:t xml:space="preserve">[4]</w:t>
        </w:r>
      </w:hyperlink>
      <w:r>
        <w:t xml:space="preserve"> </w:t>
      </w:r>
      <w:hyperlink w:anchor="fonte-5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b/>
          <w:bCs/>
        </w:rPr>
        <w:t xml:space="preserve">Modelo de frase:</w:t>
      </w:r>
      <w:r>
        <w:t xml:space="preserve"> </w:t>
      </w:r>
      <w:r>
        <w:t xml:space="preserve">“Mantendo idade e acompanhamento programado constantes, a presença de internação prévia está associada a odds estimadas de reinternação duas vezes as da ausência de internação prévia, segundo este modelo.”</w:t>
      </w:r>
    </w:p>
    <w:p>
      <w:pPr>
        <w:pStyle w:val="BodyText"/>
      </w:pPr>
      <w:r>
        <w:t xml:space="preserve">“Manter constante” descreve a comparação matemática entre perfis com os mesmos valores das outras variáveis. Isso não significa que pessoas reais sejam idênticas em tudo, nem que todos os fatores relevantes tenham sido medidos.</w:t>
      </w:r>
    </w:p>
    <w:bookmarkEnd w:id="45"/>
    <w:bookmarkStart w:id="46" w:name="variável-contínua-uma-unidade-de-quê"/>
    <w:p>
      <w:pPr>
        <w:pStyle w:val="Heading2"/>
      </w:pPr>
      <w:r>
        <w:t xml:space="preserve">7.2 Variável contínua: uma unidade de quê?</w:t>
      </w:r>
    </w:p>
    <w:p>
      <w:pPr>
        <w:pStyle w:val="FirstParagraph"/>
      </w:pPr>
      <w:r>
        <w:t xml:space="preserve">Suponha um coeficiente didático de 0,04 para idade em anos. Para comparar pessoas que diferem em um ano, a OR é</w:t>
      </w:r>
      <w:r>
        <w:t xml:space="preserve"> </w:t>
      </w:r>
      <m:oMath>
        <m:sSup>
          <m:e>
            <m:r>
              <m:t>e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04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041</m:t>
        </m:r>
      </m:oMath>
      <w:r>
        <w:t xml:space="preserve">: odds cerca de 4,1% maiores, mantendo as demais variáveis constantes.</w:t>
      </w:r>
      <w:r>
        <w:t xml:space="preserve"> </w:t>
      </w:r>
      <w:hyperlink w:anchor="fonte-5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Para um incremento de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unidades:</w:t>
      </w:r>
    </w:p>
    <w:p>
      <w:pPr>
        <w:pStyle w:val="BodyText"/>
        <w:spacing w:before="120" w:after="160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Δ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 uma diferença de 10 anos,</w:t>
      </w:r>
      <w: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04</m:t>
            </m:r>
            <m:r>
              <m:rPr>
                <m:sty m:val="p"/>
              </m:rPr>
              <m:t>×</m:t>
            </m:r>
            <m:r>
              <m:t>10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492</m:t>
        </m:r>
      </m:oMath>
      <w:r>
        <w:t xml:space="preserve">: odds aproximadamente 49,2% maiores.</w:t>
      </w:r>
      <w:r>
        <w:t xml:space="preserve"> </w:t>
      </w:r>
      <w:r>
        <w:rPr>
          <w:b/>
          <w:bCs/>
        </w:rPr>
        <w:t xml:space="preserve">Não se multiplica a OR de um ano por 10.</w:t>
      </w:r>
      <w:r>
        <w:t xml:space="preserve"> </w:t>
      </w:r>
      <w:r>
        <w:t xml:space="preserve">Eleva-se essa OR à décima potência, ou multiplica-se o coeficiente por 10 antes de exponenciar.</w:t>
      </w:r>
      <w:r>
        <w:t xml:space="preserve"> </w:t>
      </w:r>
      <w:hyperlink w:anchor="fonte-5">
        <w:r>
          <w:rPr>
            <w:rStyle w:val="Hyperlink"/>
          </w:rPr>
          <w:t xml:space="preserve">[5]</w:t>
        </w:r>
      </w:hyperlink>
      <w:r>
        <w:t xml:space="preserve"> </w:t>
      </w:r>
      <w:hyperlink w:anchor="fonte-9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Essa regra pressupõe o mesmo incremento na log-odds por ano ao longo do intervalo comparado. Se o modelo tiver curvatura ou interação, será necessário considerar todos os termos envolvidos na comparação.</w:t>
      </w:r>
      <w:r>
        <w:t xml:space="preserve"> </w:t>
      </w:r>
      <w:hyperlink w:anchor="fonte-5">
        <w:r>
          <w:rPr>
            <w:rStyle w:val="Hyperlink"/>
          </w:rPr>
          <w:t xml:space="preserve">[5]</w:t>
        </w:r>
      </w:hyperlink>
      <w:r>
        <w:t xml:space="preserve"> </w:t>
      </w:r>
      <w:hyperlink w:anchor="fonte-9">
        <w:r>
          <w:rPr>
            <w:rStyle w:val="Hyperlink"/>
          </w:rPr>
          <w:t xml:space="preserve">[9]</w:t>
        </w:r>
      </w:hyperlink>
    </w:p>
    <w:bookmarkEnd w:id="46"/>
    <w:bookmarkStart w:id="47" w:name="categorias-declarar-a-referência"/>
    <w:p>
      <w:pPr>
        <w:pStyle w:val="Heading2"/>
      </w:pPr>
      <w:r>
        <w:t xml:space="preserve">7.3 Categorias: declarar a referência</w:t>
      </w:r>
    </w:p>
    <w:p>
      <w:pPr>
        <w:pStyle w:val="FirstParagraph"/>
      </w:pPr>
      <w:r>
        <w:t xml:space="preserve">Uma variável com três categorias, por exemplo unidades A, B e C, pode ser representada por indicadores, tomando A como referência. Nesse caso, teremos comparações B versus A e C versus A. Os códigos 1, 2 e 3 não devem ser tratados automaticamente como uma medida numérica com distâncias iguais.</w:t>
      </w:r>
      <w:r>
        <w:t xml:space="preserve"> </w:t>
      </w:r>
      <w:hyperlink w:anchor="fonte-6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Também é necessário distinguir</w:t>
      </w:r>
      <w:r>
        <w:t xml:space="preserve"> </w:t>
      </w:r>
      <w:r>
        <w:rPr>
          <w:b/>
          <w:bCs/>
        </w:rPr>
        <w:t xml:space="preserve">idade em anos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código de faixa etária</w:t>
      </w:r>
      <w:r>
        <w:t xml:space="preserve">. Um aumento de um código de faixa não equivale a um ano de idade. Essa distinção será retomada no notebook.</w:t>
      </w:r>
    </w:p>
    <w:bookmarkEnd w:id="47"/>
    <w:bookmarkStart w:id="48" w:name="or-bruta-e-or-ajustada"/>
    <w:p>
      <w:pPr>
        <w:pStyle w:val="Heading2"/>
      </w:pPr>
      <w:r>
        <w:t xml:space="preserve">7.4 OR bruta e OR ajustada</w:t>
      </w:r>
    </w:p>
    <w:p>
      <w:pPr>
        <w:pStyle w:val="FirstParagraph"/>
      </w:pPr>
      <w:r>
        <w:t xml:space="preserve">A OR bruta da seção 4 compara os grupos usando somente a tabela. Uma OR ajustada vem de um modelo que inclui outras variáveis; sua interpretação é condicional aos valores dessas variáveis. As duas estimativas podem ser diferentes. O ajuste se refere às variáveis efetivamente incluídas no modelo.</w:t>
      </w:r>
      <w:r>
        <w:t xml:space="preserve"> </w:t>
      </w:r>
      <w:hyperlink w:anchor="fonte-5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b/>
          <w:bCs/>
        </w:rPr>
        <w:t xml:space="preserve">Aplicação ao caso:</w:t>
      </w:r>
      <w:r>
        <w:t xml:space="preserve"> </w:t>
      </w:r>
      <w:r>
        <w:t xml:space="preserve">a tabela inicial não considera idade. Um modelo com idade e internação prévia permite descrever a associação da internação prévia com o desfecho ao comparar perfis de mesma idade. Essa descrição estatística, por si só, não estabelece uma relação causal.</w:t>
      </w:r>
    </w:p>
    <w:bookmarkEnd w:id="48"/>
    <w:bookmarkEnd w:id="49"/>
    <w:bookmarkStart w:id="53" w:name="exemplo-completo-da-equação-à-frase"/>
    <w:p>
      <w:pPr>
        <w:pStyle w:val="Heading1"/>
      </w:pPr>
      <w:r>
        <w:t xml:space="preserve">8. Exemplo completo: da equação à frase</w:t>
      </w:r>
    </w:p>
    <w:p>
      <w:pPr>
        <w:pStyle w:val="FirstParagraph"/>
      </w:pPr>
      <w:r>
        <w:rPr>
          <w:b/>
          <w:bCs/>
        </w:rPr>
        <w:t xml:space="preserve">Modelo inteiramente hipotético.</w:t>
      </w:r>
      <w:r>
        <w:t xml:space="preserve"> </w:t>
      </w:r>
      <w:r>
        <w:t xml:space="preserve">Os coeficientes abaixo foram escolhidos para facilitar as contas. Eles não foram estimados a partir da tabela inicial, nem de pacientes reais. A OR de internação prévia foi fixada em 2,00 para permitir a comparação didática com o exemplo anterior.</w:t>
      </w:r>
    </w:p>
    <w:p>
      <w:pPr>
        <w:pStyle w:val="BodyText"/>
        <w:spacing w:before="120" w:after="160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3863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0400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i</m:t>
          </m:r>
          <m:r>
            <m:rPr>
              <m:sty m:val="p"/>
            </m:rPr>
            <m:t>d</m:t>
          </m:r>
          <m:r>
            <m:rPr>
              <m:sty m:val="p"/>
            </m:rPr>
            <m:t>a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−</m:t>
          </m:r>
          <m:r>
            <m:t>50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6931</m:t>
          </m:r>
          <m:r>
            <m:rPr>
              <m:sty m:val="p"/>
            </m:rPr>
            <m:t>×</m:t>
          </m:r>
          <m:r>
            <m:t>I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3567</m:t>
          </m:r>
          <m:r>
            <m:rPr>
              <m:sty m:val="p"/>
            </m:rPr>
            <m:t>×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Nesta equação,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vale 1 para presença de internação prévia e 0 para ausência;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vale 1 para acompanhamento programado na alta e 0 para ausência desse acompanhamento. O evento continua sendo reinternação em até 30 dias.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2494"/>
        <w:gridCol w:w="2438"/>
        <w:gridCol w:w="4139"/>
      </w:tblGrid>
      <w:tr>
        <w:trPr>
          <w:tblHeader w:val="on"/>
          <w:cantSplit/>
          <w:tblHeader/>
        </w:trPr>
        <w:tc>
          <w:tcPr>
            <w:tcW w:type="dxa" w:w="2494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Termo</w:t>
            </w:r>
          </w:p>
        </w:tc>
        <w:tc>
          <w:tcPr>
            <w:tcW w:type="dxa" w:w="2438"/>
            <w:shd w:fill="EAF2F6"/>
          </w:tcPr>
          <w:p>
            <w:pPr>
              <w:pStyle w:val="Compact"/>
              <w:keepNext/>
              <w:spacing w:before="60" w:after="80" w:line="250" w:lineRule="auto"/>
              <w:jc w:val="right"/>
            </w:pPr>
            <w:r>
              <w:rPr>
                <w:b/>
                <w:color w:val="005373"/>
                <w:sz w:val="20"/>
              </w:rPr>
              <w:t xml:space="preserve">Coeficiente</w:t>
            </w:r>
          </w:p>
        </w:tc>
        <w:tc>
          <w:tcPr>
            <w:tcW w:type="dxa" w:w="4139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Interpretação</w:t>
            </w:r>
          </w:p>
        </w:tc>
      </w:tr>
      <w:tr>
        <w:trPr>
          <w:cantSplit/>
        </w:trPr>
        <w:tc>
          <w:tcPr>
            <w:tcW w:type="dxa" w:w="2494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Intercepto</w:t>
            </w:r>
          </w:p>
        </w:tc>
        <w:tc>
          <w:tcPr>
            <w:tcW w:type="dxa" w:w="2438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−1,3863</w:t>
            </w:r>
          </w:p>
        </w:tc>
        <w:tc>
          <w:tcPr>
            <w:tcW w:type="dxa" w:w="4139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log-odds do perfil de 50 anos, I = 0 e A = 0</w:t>
            </w:r>
          </w:p>
        </w:tc>
      </w:tr>
      <w:tr>
        <w:trPr>
          <w:cantSplit/>
        </w:trPr>
        <w:tc>
          <w:tcPr>
            <w:tcW w:type="dxa" w:w="2494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Idade − 50</w:t>
            </w:r>
          </w:p>
        </w:tc>
        <w:tc>
          <w:tcPr>
            <w:tcW w:type="dxa" w:w="2438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+0,0400</w:t>
            </w:r>
          </w:p>
        </w:tc>
        <w:tc>
          <w:tcPr>
            <w:tcW w:type="dxa" w:w="4139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OR ≈ 1,041 por +1 ano; ≈ 1,492 por +10 anos</w:t>
            </w:r>
          </w:p>
        </w:tc>
      </w:tr>
      <w:tr>
        <w:trPr>
          <w:cantSplit/>
        </w:trPr>
        <w:tc>
          <w:tcPr>
            <w:tcW w:type="dxa" w:w="2494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Internação prévia — I</w:t>
            </w:r>
          </w:p>
        </w:tc>
        <w:tc>
          <w:tcPr>
            <w:tcW w:type="dxa" w:w="2438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+0,6931</w:t>
            </w:r>
          </w:p>
        </w:tc>
        <w:tc>
          <w:tcPr>
            <w:tcW w:type="dxa" w:w="4139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OR = 2,00 para sim versus não</w:t>
            </w:r>
          </w:p>
        </w:tc>
      </w:tr>
      <w:tr>
        <w:trPr>
          <w:cantSplit/>
        </w:trPr>
        <w:tc>
          <w:tcPr>
            <w:tcW w:type="dxa" w:w="2494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Acompanhamento — A</w:t>
            </w:r>
          </w:p>
        </w:tc>
        <w:tc>
          <w:tcPr>
            <w:tcW w:type="dxa" w:w="2438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−0,3567</w:t>
            </w:r>
          </w:p>
        </w:tc>
        <w:tc>
          <w:tcPr>
            <w:tcW w:type="dxa" w:w="4139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OR = 0,70 para sim versus não</w:t>
            </w:r>
          </w:p>
        </w:tc>
      </w:tr>
    </w:tbl>
    <w:p>
      <w:pPr>
        <w:pStyle w:val="BodyText"/>
      </w:pPr>
      <w:r>
        <w:t xml:space="preserve">As OR são condicionais: em cada comparação, mantemos as outras variáveis do modelo constantes. Os números foram arredondados na equação; os cálculos seguintes usam os valores completos escolhidos para o exemplo.</w:t>
      </w:r>
    </w:p>
    <w:bookmarkStart w:id="50" w:name="passo-a-passo-para-um-perfil"/>
    <w:p>
      <w:pPr>
        <w:pStyle w:val="Heading2"/>
      </w:pPr>
      <w:r>
        <w:t xml:space="preserve">8.1 Passo a passo para um perfil</w:t>
      </w:r>
    </w:p>
    <w:p>
      <w:pPr>
        <w:pStyle w:val="FirstParagraph"/>
      </w:pPr>
      <w:r>
        <w:t xml:space="preserve">Considere uma pessoa de</w:t>
      </w:r>
      <w:r>
        <w:t xml:space="preserve"> </w:t>
      </w:r>
      <w:r>
        <w:rPr>
          <w:b/>
          <w:bCs/>
        </w:rPr>
        <w:t xml:space="preserve">60 anos</w:t>
      </w:r>
      <w:r>
        <w:t xml:space="preserve">,</w:t>
      </w:r>
      <w:r>
        <w:t xml:space="preserve"> </w:t>
      </w:r>
      <w:r>
        <w:rPr>
          <w:b/>
          <w:bCs/>
        </w:rPr>
        <w:t xml:space="preserve">com internação prévia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sem acompanhamento programado</w:t>
      </w:r>
      <w:r>
        <w:t xml:space="preserve">. Assim, idade − 50 = 10, I = 1 e A = 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Calcule a log-odds:</w:t>
      </w:r>
      <w:r>
        <w:t xml:space="preserve"> </w:t>
      </w:r>
      <m:oMath>
        <m:r>
          <m:t>η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3863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04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6931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2931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Converta em odds: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2931</m:t>
            </m:r>
          </m:sup>
        </m:sSup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7459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Converta em probabilidade: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7459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7459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4272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Escreva a interpretação:</w:t>
      </w:r>
      <w:r>
        <w:t xml:space="preserve"> </w:t>
      </w:r>
      <w:r>
        <w:t xml:space="preserve">segundo este modelo hipotético, a probabilidade estimada de reinternação para esse perfil é aproximadamente</w:t>
      </w:r>
      <w:r>
        <w:t xml:space="preserve"> </w:t>
      </w:r>
      <w:r>
        <w:rPr>
          <w:b/>
          <w:bCs/>
        </w:rPr>
        <w:t xml:space="preserve">42,7%</w:t>
      </w:r>
      <w:r>
        <w:t xml:space="preserve">.</w:t>
      </w:r>
    </w:p>
    <w:p>
      <w:pPr>
        <w:pStyle w:val="FirstParagraph"/>
      </w:pPr>
      <w:r>
        <w:t xml:space="preserve">Observe que usamos o intercepto e todos os valores do perfil. Uma OR isolada não seria suficiente para calcular essa probabilidade.</w:t>
      </w:r>
      <w:r>
        <w:t xml:space="preserve"> </w:t>
      </w:r>
      <w:hyperlink w:anchor="fonte-1">
        <w:r>
          <w:rPr>
            <w:rStyle w:val="Hyperlink"/>
          </w:rPr>
          <w:t xml:space="preserve">[1]</w:t>
        </w:r>
      </w:hyperlink>
      <w:r>
        <w:t xml:space="preserve"> </w:t>
      </w:r>
      <w:hyperlink w:anchor="fonte-3">
        <w:r>
          <w:rPr>
            <w:rStyle w:val="Hyperlink"/>
          </w:rPr>
          <w:t xml:space="preserve">[3]</w:t>
        </w:r>
      </w:hyperlink>
    </w:p>
    <w:bookmarkEnd w:id="50"/>
    <w:bookmarkStart w:id="51" w:name="comparando-perfis"/>
    <w:p>
      <w:pPr>
        <w:pStyle w:val="Heading2"/>
      </w:pPr>
      <w:r>
        <w:t xml:space="preserve">8.2 Comparando perfis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5"/>
        <w:gridCol w:w="2038"/>
        <w:gridCol w:w="2103"/>
        <w:gridCol w:w="2235"/>
        <w:gridCol w:w="1840"/>
      </w:tblGrid>
      <w:tr>
        <w:trPr>
          <w:tblHeader w:val="on"/>
          <w:cantSplit/>
          <w:tblHeader/>
        </w:trPr>
        <w:tc>
          <w:tcPr>
            <w:tcW w:type="dxa" w:w="855"/>
            <w:shd w:fill="EAF2F6"/>
          </w:tcPr>
          <w:p>
            <w:pPr>
              <w:pStyle w:val="Compact"/>
              <w:keepNext/>
              <w:spacing w:before="60" w:after="80" w:line="250" w:lineRule="auto"/>
              <w:jc w:val="right"/>
            </w:pPr>
            <w:r>
              <w:rPr>
                <w:b/>
                <w:color w:val="005373"/>
                <w:sz w:val="20"/>
              </w:rPr>
              <w:t xml:space="preserve">Idade</w:t>
            </w:r>
          </w:p>
        </w:tc>
        <w:tc>
          <w:tcPr>
            <w:tcW w:type="dxa" w:w="2038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Internação prévia</w:t>
            </w:r>
          </w:p>
        </w:tc>
        <w:tc>
          <w:tcPr>
            <w:tcW w:type="dxa" w:w="2103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Acompanhamento</w:t>
            </w:r>
          </w:p>
        </w:tc>
        <w:tc>
          <w:tcPr>
            <w:tcW w:type="dxa" w:w="2235"/>
            <w:shd w:fill="EAF2F6"/>
          </w:tcPr>
          <w:p>
            <w:pPr>
              <w:pStyle w:val="Compact"/>
              <w:keepNext/>
              <w:spacing w:before="60" w:after="80" w:line="250" w:lineRule="auto"/>
              <w:jc w:val="right"/>
            </w:pPr>
            <w:r>
              <w:rPr>
                <w:b/>
                <w:color w:val="005373"/>
                <w:sz w:val="20"/>
              </w:rPr>
              <w:t xml:space="preserve">Odds estimadas</w:t>
            </w:r>
          </w:p>
        </w:tc>
        <w:tc>
          <w:tcPr>
            <w:tcW w:type="dxa" w:w="1840"/>
            <w:shd w:fill="EAF2F6"/>
          </w:tcPr>
          <w:p>
            <w:pPr>
              <w:pStyle w:val="Compact"/>
              <w:keepNext/>
              <w:spacing w:before="60" w:after="80" w:line="250" w:lineRule="auto"/>
              <w:jc w:val="right"/>
            </w:pPr>
            <w:r>
              <w:rPr>
                <w:b/>
                <w:color w:val="005373"/>
                <w:sz w:val="20"/>
              </w:rPr>
              <w:t xml:space="preserve">Probabilidade estimada</w:t>
            </w:r>
          </w:p>
        </w:tc>
      </w:tr>
      <w:tr>
        <w:trPr>
          <w:cantSplit/>
        </w:trPr>
        <w:tc>
          <w:tcPr>
            <w:tcW w:type="dxa" w:w="855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50</w:t>
            </w:r>
          </w:p>
        </w:tc>
        <w:tc>
          <w:tcPr>
            <w:tcW w:type="dxa" w:w="2038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Não</w:t>
            </w:r>
          </w:p>
        </w:tc>
        <w:tc>
          <w:tcPr>
            <w:tcW w:type="dxa" w:w="2103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Não</w:t>
            </w:r>
          </w:p>
        </w:tc>
        <w:tc>
          <w:tcPr>
            <w:tcW w:type="dxa" w:w="2235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0,2500</w:t>
            </w:r>
          </w:p>
        </w:tc>
        <w:tc>
          <w:tcPr>
            <w:tcW w:type="dxa" w:w="1840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20,0%</w:t>
            </w:r>
          </w:p>
        </w:tc>
      </w:tr>
      <w:tr>
        <w:trPr>
          <w:cantSplit/>
        </w:trPr>
        <w:tc>
          <w:tcPr>
            <w:tcW w:type="dxa" w:w="855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50</w:t>
            </w:r>
          </w:p>
        </w:tc>
        <w:tc>
          <w:tcPr>
            <w:tcW w:type="dxa" w:w="2038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Sim</w:t>
            </w:r>
          </w:p>
        </w:tc>
        <w:tc>
          <w:tcPr>
            <w:tcW w:type="dxa" w:w="2103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Não</w:t>
            </w:r>
          </w:p>
        </w:tc>
        <w:tc>
          <w:tcPr>
            <w:tcW w:type="dxa" w:w="2235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0,5000</w:t>
            </w:r>
          </w:p>
        </w:tc>
        <w:tc>
          <w:tcPr>
            <w:tcW w:type="dxa" w:w="1840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33,3%</w:t>
            </w:r>
          </w:p>
        </w:tc>
      </w:tr>
      <w:tr>
        <w:trPr>
          <w:cantSplit/>
        </w:trPr>
        <w:tc>
          <w:tcPr>
            <w:tcW w:type="dxa" w:w="855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60</w:t>
            </w:r>
          </w:p>
        </w:tc>
        <w:tc>
          <w:tcPr>
            <w:tcW w:type="dxa" w:w="2038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Sim</w:t>
            </w:r>
          </w:p>
        </w:tc>
        <w:tc>
          <w:tcPr>
            <w:tcW w:type="dxa" w:w="2103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Não</w:t>
            </w:r>
          </w:p>
        </w:tc>
        <w:tc>
          <w:tcPr>
            <w:tcW w:type="dxa" w:w="2235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0,7459</w:t>
            </w:r>
          </w:p>
        </w:tc>
        <w:tc>
          <w:tcPr>
            <w:tcW w:type="dxa" w:w="1840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42,7%</w:t>
            </w:r>
          </w:p>
        </w:tc>
      </w:tr>
      <w:tr>
        <w:trPr>
          <w:cantSplit/>
        </w:trPr>
        <w:tc>
          <w:tcPr>
            <w:tcW w:type="dxa" w:w="855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60</w:t>
            </w:r>
          </w:p>
        </w:tc>
        <w:tc>
          <w:tcPr>
            <w:tcW w:type="dxa" w:w="2038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Sim</w:t>
            </w:r>
          </w:p>
        </w:tc>
        <w:tc>
          <w:tcPr>
            <w:tcW w:type="dxa" w:w="2103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Sim</w:t>
            </w:r>
          </w:p>
        </w:tc>
        <w:tc>
          <w:tcPr>
            <w:tcW w:type="dxa" w:w="2235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0,5221</w:t>
            </w:r>
          </w:p>
        </w:tc>
        <w:tc>
          <w:tcPr>
            <w:tcW w:type="dxa" w:w="1840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20"/>
              </w:rPr>
              <w:t xml:space="preserve">34,3%</w:t>
            </w:r>
          </w:p>
        </w:tc>
      </w:tr>
    </w:tbl>
    <w:p>
      <w:pPr>
        <w:pStyle w:val="BodyText"/>
      </w:pPr>
      <w:r>
        <w:rPr>
          <w:b/>
          <w:bCs/>
        </w:rPr>
        <w:t xml:space="preserve">Cálculos do modelo hipotético.</w:t>
      </w:r>
      <w:r>
        <w:t xml:space="preserve"> </w:t>
      </w:r>
      <w:r>
        <w:t xml:space="preserve">Compare as duas últimas linhas: a única diferença é A. As odds são multiplicadas por 0,70, mas a probabilidade passa de 42,7% para 34,3% — aproximadamente 8,4 pontos percentuais a menos. Não se trata de uma redução de 30 pontos percentuais.</w:t>
      </w:r>
    </w:p>
    <w:bookmarkEnd w:id="51"/>
    <w:bookmarkStart w:id="52" w:name="uma-interpretação-completa"/>
    <w:p>
      <w:pPr>
        <w:pStyle w:val="Heading2"/>
      </w:pPr>
      <w:r>
        <w:t xml:space="preserve">8.3 Uma interpretação completa</w:t>
      </w:r>
    </w:p>
    <w:p>
      <w:pPr>
        <w:pStyle w:val="BlockText"/>
      </w:pPr>
      <w:r>
        <w:t xml:space="preserve">“No modelo hipotético, o acompanhamento programado está associado a odds estimadas de reinternação 30% menores, comparando presença com ausência de acompanhamento e mantendo idade e internação prévia constantes.”</w:t>
      </w:r>
    </w:p>
    <w:p>
      <w:pPr>
        <w:pStyle w:val="FirstParagraph"/>
      </w:pPr>
      <w:r>
        <w:t xml:space="preserve">Essa frase descreve direção, magnitude, evento, referência e ajuste. Para avaliar a precisão da estimativa, ainda precisamos da incerteza. A associação descrita também não demonstra que oferecer acompanhamento produziria essa mudança: a pergunta causal exigiria um estudo e hipóteses adequados.</w:t>
      </w:r>
    </w:p>
    <w:bookmarkEnd w:id="52"/>
    <w:bookmarkEnd w:id="53"/>
    <w:bookmarkStart w:id="59" w:name="X8b2b051b5d32e6c7842ab39993a6fc4c098098d"/>
    <w:p>
      <w:pPr>
        <w:pStyle w:val="Heading1"/>
      </w:pPr>
      <w:r>
        <w:t xml:space="preserve">9. Leitura complementar: OR, intervalo de confiança e valor-p</w:t>
      </w:r>
    </w:p>
    <w:p>
      <w:pPr>
        <w:pStyle w:val="FirstParagraph"/>
      </w:pPr>
      <w:r>
        <w:t xml:space="preserve">O coeficiente e a OR são estimativas. O</w:t>
      </w:r>
      <w:r>
        <w:t xml:space="preserve"> </w:t>
      </w:r>
      <w:r>
        <w:rPr>
          <w:b/>
          <w:bCs/>
        </w:rPr>
        <w:t xml:space="preserve">intervalo de confiança de 95% — IC95%</w:t>
      </w:r>
      <w:r>
        <w:t xml:space="preserve"> </w:t>
      </w:r>
      <w:r>
        <w:t xml:space="preserve">acrescenta informação sobre a incerteza amostral, sob as hipóteses do método. O</w:t>
      </w:r>
      <w:r>
        <w:t xml:space="preserve"> </w:t>
      </w:r>
      <w:r>
        <w:rPr>
          <w:b/>
          <w:bCs/>
        </w:rPr>
        <w:t xml:space="preserve">erro-padrão — EP</w:t>
      </w:r>
      <w:r>
        <w:t xml:space="preserve"> </w:t>
      </w:r>
      <w:r>
        <w:t xml:space="preserve">quantifica a incerteza da estimativa do coeficiente. No procedimento de Wald, uma aproximação comum é calcular o intervalo na escala do coeficiente e exponenciar seus limites.</w:t>
      </w:r>
      <w:r>
        <w:t xml:space="preserve"> </w:t>
      </w:r>
      <w:hyperlink w:anchor="fonte-7">
        <w:r>
          <w:rPr>
            <w:rStyle w:val="Hyperlink"/>
          </w:rPr>
          <w:t xml:space="preserve">[7]</w:t>
        </w:r>
      </w:hyperlink>
    </w:p>
    <w:p>
      <w:pPr>
        <w:pStyle w:val="BodyText"/>
        <w:spacing w:before="120" w:after="160"/>
      </w:pPr>
      <m:oMathPara>
        <m:oMathParaPr>
          <m:jc m:val="center"/>
        </m:oMathParaPr>
        <m:oMath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95</m:t>
          </m:r>
          <m:r>
            <m:rPr>
              <m:sty m:val="p"/>
            </m:rPr>
            <m:t>%</m:t>
          </m:r>
          <m:r>
            <m:rPr>
              <m:sty m:val="p"/>
            </m:rP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a</m:t>
          </m:r>
          <m:r>
            <m:rPr>
              <m:sty m:val="p"/>
            </m:rPr>
            <m:t> 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≈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96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96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bookmarkStart w:id="57" w:name="ler-uma-linha-de-cada-vez"/>
    <w:p>
      <w:pPr>
        <w:pStyle w:val="Heading2"/>
      </w:pPr>
      <w:r>
        <w:t xml:space="preserve">9.1 Ler uma linha de cada vez</w:t>
      </w:r>
    </w:p>
    <w:p>
      <w:pPr>
        <w:pStyle w:val="FirstParagraph"/>
      </w:pPr>
      <w:r>
        <w:rPr>
          <w:b/>
          <w:bCs/>
        </w:rPr>
        <w:t xml:space="preserve">Tabela didática.</w:t>
      </w:r>
      <w:r>
        <w:t xml:space="preserve"> </w:t>
      </w:r>
      <w:r>
        <w:t xml:space="preserve">Acrescentamos erros-padrão escolhidos apenas para exercitar a interpretação do modelo da seção 8. Os intervalos e valores-p foram calculados a partir desses números pelo método de Wald, com aproximação normal bilateral. Não representam inferência sobre uma amostra real.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87"/>
        <w:gridCol w:w="1019"/>
        <w:gridCol w:w="887"/>
        <w:gridCol w:w="855"/>
        <w:gridCol w:w="1972"/>
        <w:gridCol w:w="1052"/>
      </w:tblGrid>
      <w:tr>
        <w:trPr>
          <w:tblHeader w:val="on"/>
          <w:cantSplit/>
          <w:tblHeader/>
        </w:trPr>
        <w:tc>
          <w:tcPr>
            <w:tcW w:type="dxa" w:w="3287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19"/>
              </w:rPr>
              <w:t xml:space="preserve">Variável / comparação</w:t>
            </w:r>
          </w:p>
        </w:tc>
        <w:tc>
          <w:tcPr>
            <w:tcW w:type="dxa" w:w="1019"/>
            <w:shd w:fill="EAF2F6"/>
          </w:tcPr>
          <w:p>
            <w:pPr>
              <w:pStyle w:val="Compact"/>
              <w:keepNext/>
              <w:spacing w:before="60" w:after="80" w:line="250" w:lineRule="auto"/>
              <w:jc w:val="right"/>
            </w:pPr>
            <w:r>
              <w:rPr>
                <w:b/>
                <w:color w:val="005373"/>
                <w:sz w:val="19"/>
              </w:rPr>
              <w:t xml:space="preserve">b</w:t>
            </w:r>
          </w:p>
        </w:tc>
        <w:tc>
          <w:tcPr>
            <w:tcW w:type="dxa" w:w="887"/>
            <w:shd w:fill="EAF2F6"/>
          </w:tcPr>
          <w:p>
            <w:pPr>
              <w:pStyle w:val="Compact"/>
              <w:keepNext/>
              <w:spacing w:before="60" w:after="80" w:line="250" w:lineRule="auto"/>
              <w:jc w:val="right"/>
            </w:pPr>
            <w:r>
              <w:rPr>
                <w:b/>
                <w:color w:val="005373"/>
                <w:sz w:val="19"/>
              </w:rPr>
              <w:t xml:space="preserve">EP</w:t>
            </w:r>
          </w:p>
        </w:tc>
        <w:tc>
          <w:tcPr>
            <w:tcW w:type="dxa" w:w="855"/>
            <w:shd w:fill="EAF2F6"/>
          </w:tcPr>
          <w:p>
            <w:pPr>
              <w:pStyle w:val="Compact"/>
              <w:keepNext/>
              <w:spacing w:before="60" w:after="80" w:line="250" w:lineRule="auto"/>
              <w:jc w:val="right"/>
            </w:pPr>
            <w:r>
              <w:rPr>
                <w:b/>
                <w:color w:val="005373"/>
                <w:sz w:val="19"/>
              </w:rPr>
              <w:t xml:space="preserve">OR</w:t>
            </w:r>
          </w:p>
        </w:tc>
        <w:tc>
          <w:tcPr>
            <w:tcW w:type="dxa" w:w="1972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19"/>
              </w:rPr>
              <w:t xml:space="preserve">IC95% da OR</w:t>
            </w:r>
          </w:p>
        </w:tc>
        <w:tc>
          <w:tcPr>
            <w:tcW w:type="dxa" w:w="1052"/>
            <w:shd w:fill="EAF2F6"/>
          </w:tcPr>
          <w:p>
            <w:pPr>
              <w:pStyle w:val="Compact"/>
              <w:keepNext/>
              <w:spacing w:before="60" w:after="80" w:line="250" w:lineRule="auto"/>
              <w:jc w:val="right"/>
            </w:pPr>
            <w:r>
              <w:rPr>
                <w:b/>
                <w:color w:val="005373"/>
                <w:sz w:val="19"/>
              </w:rPr>
              <w:t xml:space="preserve">Valor-p</w:t>
            </w:r>
          </w:p>
        </w:tc>
      </w:tr>
      <w:tr>
        <w:trPr>
          <w:cantSplit/>
        </w:trPr>
        <w:tc>
          <w:tcPr>
            <w:tcW w:type="dxa" w:w="3287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19"/>
              </w:rPr>
              <w:t xml:space="preserve">Idade: +1 ano</w:t>
            </w:r>
          </w:p>
        </w:tc>
        <w:tc>
          <w:tcPr>
            <w:tcW w:type="dxa" w:w="1019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19"/>
              </w:rPr>
              <w:t xml:space="preserve">0,0400</w:t>
            </w:r>
          </w:p>
        </w:tc>
        <w:tc>
          <w:tcPr>
            <w:tcW w:type="dxa" w:w="887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19"/>
              </w:rPr>
              <w:t xml:space="preserve">0,025</w:t>
            </w:r>
          </w:p>
        </w:tc>
        <w:tc>
          <w:tcPr>
            <w:tcW w:type="dxa" w:w="855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19"/>
              </w:rPr>
              <w:t xml:space="preserve">1,04</w:t>
            </w:r>
          </w:p>
        </w:tc>
        <w:tc>
          <w:tcPr>
            <w:tcW w:type="dxa" w:w="1972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19"/>
              </w:rPr>
              <w:t xml:space="preserve">0,99–1,09</w:t>
            </w:r>
          </w:p>
        </w:tc>
        <w:tc>
          <w:tcPr>
            <w:tcW w:type="dxa" w:w="1052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19"/>
              </w:rPr>
              <w:t xml:space="preserve">0,110</w:t>
            </w:r>
          </w:p>
        </w:tc>
      </w:tr>
      <w:tr>
        <w:trPr>
          <w:cantSplit/>
        </w:trPr>
        <w:tc>
          <w:tcPr>
            <w:tcW w:type="dxa" w:w="3287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19"/>
              </w:rPr>
              <w:t xml:space="preserve">Internação prévia: sim versus não</w:t>
            </w:r>
          </w:p>
        </w:tc>
        <w:tc>
          <w:tcPr>
            <w:tcW w:type="dxa" w:w="1019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19"/>
              </w:rPr>
              <w:t xml:space="preserve">0,6931</w:t>
            </w:r>
          </w:p>
        </w:tc>
        <w:tc>
          <w:tcPr>
            <w:tcW w:type="dxa" w:w="887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19"/>
              </w:rPr>
              <w:t xml:space="preserve">0,250</w:t>
            </w:r>
          </w:p>
        </w:tc>
        <w:tc>
          <w:tcPr>
            <w:tcW w:type="dxa" w:w="855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19"/>
              </w:rPr>
              <w:t xml:space="preserve">2,00</w:t>
            </w:r>
          </w:p>
        </w:tc>
        <w:tc>
          <w:tcPr>
            <w:tcW w:type="dxa" w:w="1972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19"/>
              </w:rPr>
              <w:t xml:space="preserve">1,23–3,26</w:t>
            </w:r>
          </w:p>
        </w:tc>
        <w:tc>
          <w:tcPr>
            <w:tcW w:type="dxa" w:w="1052"/>
            <w:shd w:fill="F7F9FA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19"/>
              </w:rPr>
              <w:t xml:space="preserve">0,006</w:t>
            </w:r>
          </w:p>
        </w:tc>
      </w:tr>
      <w:tr>
        <w:trPr>
          <w:cantSplit/>
        </w:trPr>
        <w:tc>
          <w:tcPr>
            <w:tcW w:type="dxa" w:w="3287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19"/>
              </w:rPr>
              <w:t xml:space="preserve">Acompanhamento: sim versus não</w:t>
            </w:r>
          </w:p>
        </w:tc>
        <w:tc>
          <w:tcPr>
            <w:tcW w:type="dxa" w:w="1019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19"/>
              </w:rPr>
              <w:t xml:space="preserve">−0,3567</w:t>
            </w:r>
          </w:p>
        </w:tc>
        <w:tc>
          <w:tcPr>
            <w:tcW w:type="dxa" w:w="887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19"/>
              </w:rPr>
              <w:t xml:space="preserve">0,220</w:t>
            </w:r>
          </w:p>
        </w:tc>
        <w:tc>
          <w:tcPr>
            <w:tcW w:type="dxa" w:w="855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19"/>
              </w:rPr>
              <w:t xml:space="preserve">0,70</w:t>
            </w:r>
          </w:p>
        </w:tc>
        <w:tc>
          <w:tcPr>
            <w:tcW w:type="dxa" w:w="1972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19"/>
              </w:rPr>
              <w:t xml:space="preserve">0,45–1,08</w:t>
            </w:r>
          </w:p>
        </w:tc>
        <w:tc>
          <w:tcPr>
            <w:tcW w:type="dxa" w:w="1052"/>
            <w:shd w:fill="FFFFFF"/>
          </w:tcPr>
          <w:p>
            <w:pPr>
              <w:pStyle w:val="Compact"/>
              <w:keepNext w:val="0"/>
              <w:spacing w:before="60" w:after="80" w:line="250" w:lineRule="auto"/>
              <w:jc w:val="right"/>
            </w:pPr>
            <w:r>
              <w:rPr>
                <w:sz w:val="19"/>
              </w:rPr>
              <w:t xml:space="preserve">0,105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Internação prévia:</w:t>
      </w:r>
      <w:r>
        <w:t xml:space="preserve"> </w:t>
      </w:r>
      <w:r>
        <w:t xml:space="preserve">a estimativa aponta odds duas vezes maiores; o intervalo vai de aproximadamente 1,23 a 3,26. O IC95% exclui 1 e o valor-p é menor que 0,05. Nesse teste, há evidência contra a hipótese de OR = 1.</w:t>
      </w:r>
    </w:p>
    <w:p>
      <w:pPr>
        <w:pStyle w:val="BodyText"/>
      </w:pPr>
      <w:r>
        <w:rPr>
          <w:b/>
          <w:bCs/>
        </w:rPr>
        <w:t xml:space="preserve">Acompanhamento:</w:t>
      </w:r>
      <w:r>
        <w:t xml:space="preserve"> </w:t>
      </w:r>
      <w:r>
        <w:t xml:space="preserve">a estimativa pontual aponta odds 30% menores, mas o intervalo inclui 1. Os números são compatíveis com odds menores e também com uma pequena elevação. A evidência é insuficiente para rejeitar OR = 1 a 5%; isso não prova ausência de associação.</w:t>
      </w:r>
    </w:p>
    <w:p>
      <w:pPr>
        <w:pStyle w:val="CaptionedFigure"/>
        <w:keepNext/>
      </w:pPr>
      <w:r>
        <w:drawing>
          <wp:inline>
            <wp:extent cx="5399999" cy="2102758"/>
            <wp:effectExtent b="0" l="0" r="0" t="0"/>
            <wp:docPr descr="Figura 3 — OR e IC95% do exemplo hipotético. O ponto representa a estimativa e a linha horizontal representa o intervalo. A linha vertical marca OR = 1; o eixo é logarítmico para representar razões." title="" id="55" name="Picture"/>
            <a:graphic>
              <a:graphicData uri="http://schemas.openxmlformats.org/drawingml/2006/picture">
                <pic:pic>
                  <pic:nvPicPr>
                    <pic:cNvPr descr="figuras/regressao_logistica/or_intervalo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102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 — OR e IC95% do exemplo hipotético. O ponto representa a estimativa e a linha horizontal representa o intervalo. A linha vertical marca OR = 1; o eixo é logarítmico para representar razões.</w:t>
      </w:r>
    </w:p>
    <w:bookmarkEnd w:id="57"/>
    <w:bookmarkStart w:id="58" w:name="o-que-cada-informação-responde"/>
    <w:p>
      <w:pPr>
        <w:pStyle w:val="Heading2"/>
      </w:pPr>
      <w:r>
        <w:t xml:space="preserve">9.2 O que cada informação responde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35"/>
        <w:gridCol w:w="6236"/>
      </w:tblGrid>
      <w:tr>
        <w:trPr>
          <w:tblHeader w:val="on"/>
          <w:cantSplit/>
          <w:tblHeader/>
        </w:trPr>
        <w:tc>
          <w:tcPr>
            <w:tcW w:type="dxa" w:w="2835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Informação</w:t>
            </w:r>
          </w:p>
        </w:tc>
        <w:tc>
          <w:tcPr>
            <w:tcW w:type="dxa" w:w="6236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Pergunta que ajuda a responder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Sinal de b</w:t>
            </w:r>
          </w:p>
        </w:tc>
        <w:tc>
          <w:tcPr>
            <w:tcW w:type="dxa" w:w="6236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Qual é a direção da associação no modelo?</w:t>
            </w:r>
          </w:p>
        </w:tc>
      </w:tr>
      <w:tr>
        <w:trPr>
          <w:cantSplit/>
        </w:trPr>
        <w:tc>
          <w:tcPr>
            <w:tcW w:type="dxa" w:w="2835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OR e comparação</w:t>
            </w:r>
          </w:p>
        </w:tc>
        <w:tc>
          <w:tcPr>
            <w:tcW w:type="dxa" w:w="6236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Por quanto as odds são multiplicadas?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IC95%</w:t>
            </w:r>
          </w:p>
        </w:tc>
        <w:tc>
          <w:tcPr>
            <w:tcW w:type="dxa" w:w="6236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Qual é a incerteza da estimativa sob o método adotado?</w:t>
            </w:r>
          </w:p>
        </w:tc>
      </w:tr>
      <w:tr>
        <w:trPr>
          <w:cantSplit/>
        </w:trPr>
        <w:tc>
          <w:tcPr>
            <w:tcW w:type="dxa" w:w="2835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Valor-p</w:t>
            </w:r>
          </w:p>
        </w:tc>
        <w:tc>
          <w:tcPr>
            <w:tcW w:type="dxa" w:w="6236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Quão incompatíveis são os dados com a hipótese nula, segundo o teste?</w:t>
            </w:r>
          </w:p>
        </w:tc>
      </w:tr>
    </w:tbl>
    <w:p>
      <w:pPr>
        <w:pStyle w:val="BodyText"/>
      </w:pPr>
      <w:r>
        <w:t xml:space="preserve">Na interpretação frequentista, o procedimento de construção de IC95% cobre o parâmetro em cerca de 95% das repetições do estudo sob suas hipóteses.</w:t>
      </w:r>
      <w:r>
        <w:t xml:space="preserve"> </w:t>
      </w:r>
      <w:r>
        <w:rPr>
          <w:b/>
          <w:bCs/>
        </w:rPr>
        <w:t xml:space="preserve">O intervalo calculado não significa que 95% dos pacientes estejam entre seus limites.</w:t>
      </w:r>
      <w:r>
        <w:t xml:space="preserve"> </w:t>
      </w:r>
      <w:r>
        <w:t xml:space="preserve">Tampouco o valor-p representa a probabilidade de a hipótese nula ser verdadeira.</w:t>
      </w:r>
    </w:p>
    <w:p>
      <w:pPr>
        <w:pStyle w:val="BodyText"/>
      </w:pPr>
      <w:r>
        <w:t xml:space="preserve">No teste de Wald bilateral correspondente, IC95% excluindo 1 acompanha valor-p menor que 0,05, salvo diferenças de arredondamento. Significância estatística não informa sozinha a importância clínica, a qualidade das previsões ou a causalidade. A leitura da tabela deve reunir magnitude, incerteza e contexto.</w:t>
      </w:r>
      <w:r>
        <w:t xml:space="preserve"> </w:t>
      </w:r>
      <w:hyperlink w:anchor="fonte-7">
        <w:r>
          <w:rPr>
            <w:rStyle w:val="Hyperlink"/>
          </w:rPr>
          <w:t xml:space="preserve">[7]</w:t>
        </w:r>
      </w:hyperlink>
      <w:r>
        <w:t xml:space="preserve"> </w:t>
      </w:r>
      <w:hyperlink w:anchor="fonte-8">
        <w:r>
          <w:rPr>
            <w:rStyle w:val="Hyperlink"/>
          </w:rPr>
          <w:t xml:space="preserve">[8]</w:t>
        </w:r>
      </w:hyperlink>
    </w:p>
    <w:bookmarkEnd w:id="58"/>
    <w:bookmarkEnd w:id="59"/>
    <w:bookmarkStart w:id="62" w:name="ponte-opcional-com-o-notebook-do-projeto"/>
    <w:p>
      <w:pPr>
        <w:pStyle w:val="Heading1"/>
      </w:pPr>
      <w:r>
        <w:t xml:space="preserve">10. Ponte opcional com o notebook do projeto</w:t>
      </w:r>
    </w:p>
    <w:p>
      <w:pPr>
        <w:pStyle w:val="FirstParagraph"/>
      </w:pPr>
      <w:r>
        <w:t xml:space="preserve">O notebook</w:t>
      </w:r>
      <w:r>
        <w:t xml:space="preserve"> </w:t>
      </w:r>
      <w:r>
        <w:rPr>
          <w:b/>
          <w:bCs/>
        </w:rPr>
        <w:t xml:space="preserve">02 — Regressão logística: versão mínima</w:t>
      </w:r>
      <w:r>
        <w:t xml:space="preserve"> </w:t>
      </w:r>
      <w:r>
        <w:t xml:space="preserve">trabalha com outro desfecho e outros dados. Conforme documentado nele, a classe 1 reúne pré-diabetes/diabetes; a classe 0 corresponde à ausência de diabetes. Portanto, ao passar desta apostila ao notebook, substitua o evento da frase de interpretação.</w:t>
      </w:r>
      <w:r>
        <w:t xml:space="preserve"> </w:t>
      </w:r>
      <w:hyperlink w:anchor="fonte-8">
        <w:r>
          <w:rPr>
            <w:rStyle w:val="Hyperlink"/>
          </w:rPr>
          <w:t xml:space="preserve">[8]</w:t>
        </w:r>
      </w:hyperlink>
    </w:p>
    <w:bookmarkStart w:id="60" w:name="X14880ed5658b3915f877ccf068a1a546df24298"/>
    <w:p>
      <w:pPr>
        <w:pStyle w:val="Heading2"/>
      </w:pPr>
      <w:r>
        <w:t xml:space="preserve">10.1 O coeficiente pode estar em uma escala padronizada</w:t>
      </w:r>
    </w:p>
    <w:p>
      <w:pPr>
        <w:pStyle w:val="FirstParagraph"/>
      </w:pPr>
      <w:r>
        <w:t xml:space="preserve">No notebook, as variáveis do modelo preditivo passam por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. Para uma variável não constante, a transformação é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, em que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são aprendidos nos dados de treino. Um coeficiente</w:t>
      </w:r>
      <w:r>
        <w:t xml:space="preserve"> </w:t>
      </w:r>
      <m:oMath>
        <m:sSub>
          <m:e>
            <m:r>
              <m:t>b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se refere a</w:t>
      </w:r>
      <w:r>
        <w:t xml:space="preserve"> </w:t>
      </w:r>
      <w:r>
        <w:rPr>
          <w:b/>
          <w:bCs/>
        </w:rPr>
        <w:t xml:space="preserve">uma unidade de z</w:t>
      </w:r>
      <w:r>
        <w:t xml:space="preserve">, correspondente à escala de um desvio-padrão do treino.</w:t>
      </w:r>
      <w:r>
        <w:t xml:space="preserve"> </w:t>
      </w:r>
      <w:hyperlink w:anchor="fonte-8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Para voltar à unidade original, usamos:</w:t>
      </w:r>
    </w:p>
    <w:p>
      <w:pPr>
        <w:pStyle w:val="BodyText"/>
        <w:spacing w:before="120" w:after="160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s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Δ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b</m:t>
                      </m:r>
                    </m:e>
                    <m:sub>
                      <m:r>
                        <m:t>z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Δ</m:t>
              </m:r>
              <m:r>
                <m:t>x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Exemplo hipotético:</w:t>
      </w:r>
      <w:r>
        <w:t xml:space="preserve"> </w:t>
      </w:r>
      <w:r>
        <w:t xml:space="preserve">se o coeficiente padronizado do IMC for 0,40 e a escala for 5 kg/m², então:</w:t>
      </w:r>
    </w:p>
    <w:p>
      <w:pPr>
        <w:pStyle w:val="Compact"/>
        <w:numPr>
          <w:ilvl w:val="0"/>
          <w:numId w:val="1003"/>
        </w:numPr>
      </w:pPr>
      <w:r>
        <w:t xml:space="preserve">por +5 kg/m², a OR é</w:t>
      </w:r>
      <w:r>
        <w:t xml:space="preserve"> </w:t>
      </w:r>
      <m:oMath>
        <m:sSup>
          <m:e>
            <m:r>
              <m:t>e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40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49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por +1 kg/m², a OR é</w:t>
      </w:r>
      <w:r>
        <w:t xml:space="preserve"> </w:t>
      </w:r>
      <m:oMath>
        <m:sSup>
          <m:e>
            <m:r>
              <m:t>e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40</m:t>
            </m:r>
            <m:r>
              <m:rPr>
                <m:sty m:val="p"/>
              </m:rPr>
              <m:t>/</m:t>
            </m:r>
            <m:r>
              <m:t>5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083</m:t>
        </m:r>
      </m:oMath>
      <w:r>
        <w:t xml:space="preserve">.</w:t>
      </w:r>
    </w:p>
    <w:p>
      <w:pPr>
        <w:pStyle w:val="FirstParagraph"/>
      </w:pPr>
      <w:r>
        <w:t xml:space="preserve">As duas OR descrevem o mesmo coeficiente em incrementos diferentes. Não escolha uma delas sem declarar a unidade.</w:t>
      </w:r>
    </w:p>
    <w:bookmarkEnd w:id="60"/>
    <w:bookmarkStart w:id="61" w:name="três-cuidados-ao-ler-as-tabelas"/>
    <w:p>
      <w:pPr>
        <w:pStyle w:val="Heading2"/>
      </w:pPr>
      <w:r>
        <w:t xml:space="preserve">10.2 Três cuidados ao ler as tabelas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Variáveis binárias padronizadas:</w:t>
      </w:r>
      <w:r>
        <w:t xml:space="preserve"> </w:t>
      </w:r>
      <w:r>
        <w:t xml:space="preserve">um desvio-padrão não equivale à mudança de 0 para 1. Para</w:t>
      </w:r>
      <w:r>
        <w:t xml:space="preserve"> </w:t>
      </w:r>
      <w:r>
        <w:rPr>
          <w:rStyle w:val="VerbatimChar"/>
        </w:rPr>
        <w:t xml:space="preserve">HighBP</w:t>
      </w:r>
      <w:r>
        <w:t xml:space="preserve">, interprete a comparação 1 versus 0 usando o coeficiente convertido à escala original.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Variáveis ordinais: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é um código de faixa etária. Um passo no código não significa um ano. O notebook também mantém</w:t>
      </w:r>
      <w:r>
        <w:t xml:space="preserve"> </w:t>
      </w:r>
      <w:r>
        <w:rPr>
          <w:rStyle w:val="VerbatimChar"/>
        </w:rPr>
        <w:t xml:space="preserve">GenHlth</w:t>
      </w:r>
      <w:r>
        <w:t xml:space="preserve">,</w:t>
      </w:r>
      <w:r>
        <w:t xml:space="preserve"> </w:t>
      </w:r>
      <w:r>
        <w:rPr>
          <w:rStyle w:val="VerbatimChar"/>
        </w:rPr>
        <w:t xml:space="preserve">Education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Income</w:t>
      </w:r>
      <w:r>
        <w:t xml:space="preserve"> </w:t>
      </w:r>
      <w:r>
        <w:t xml:space="preserve">como códigos numéricos, assumindo incremento constante na log-odds por passo.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Dois ajustes diferentes:</w:t>
      </w:r>
      <w:r>
        <w:t xml:space="preserve"> </w:t>
      </w:r>
      <w:r>
        <w:t xml:space="preserve">as probabilidades do pipeline vêm de um modelo regularizado. A tabela final com IC95% e valores-p vem de um ajuste sem penalização. Cada OR deve ser lida com o intervalo e o valor-p do próprio ajuste.</w:t>
      </w:r>
      <w:r>
        <w:t xml:space="preserve"> </w:t>
      </w:r>
      <w:hyperlink w:anchor="fonte-8">
        <w:r>
          <w:rPr>
            <w:rStyle w:val="Hyperlink"/>
          </w:rPr>
          <w:t xml:space="preserve">[8]</w:t>
        </w:r>
      </w:hyperlink>
    </w:p>
    <w:p>
      <w:pPr>
        <w:pStyle w:val="FirstParagraph"/>
      </w:pPr>
      <w:r>
        <w:t xml:space="preserve">Para reconstruir probabilidades na escala original, também é necessário converter o intercepto. O notebook já faz essa conversão. Dividir os coeficientes pela escala não remove a regularização do modelo.</w:t>
      </w:r>
    </w:p>
    <w:p>
      <w:pPr>
        <w:pStyle w:val="BodyText"/>
      </w:pPr>
      <w:r>
        <w:rPr>
          <w:b/>
          <w:bCs/>
        </w:rPr>
        <w:t xml:space="preserve">Limite registrado no notebook:</w:t>
      </w:r>
      <w:r>
        <w:t xml:space="preserve"> </w:t>
      </w:r>
      <w:r>
        <w:t xml:space="preserve">o ajuste inferencial usa erros-padrão HC0 e não incorpora pesos, estratos ou conglomerados do inquérito de origem. Seus testes são exploratórios e não substituem uma análise do desenho amostral.</w:t>
      </w:r>
      <w:r>
        <w:t xml:space="preserve"> </w:t>
      </w:r>
      <w:hyperlink w:anchor="fonte-8">
        <w:r>
          <w:rPr>
            <w:rStyle w:val="Hyperlink"/>
          </w:rPr>
          <w:t xml:space="preserve">[8]</w:t>
        </w:r>
      </w:hyperlink>
    </w:p>
    <w:bookmarkEnd w:id="61"/>
    <w:bookmarkEnd w:id="62"/>
    <w:bookmarkStart w:id="71" w:name="oficina-interpretar-antes-de-concluir"/>
    <w:p>
      <w:pPr>
        <w:pStyle w:val="Heading1"/>
        <w:pageBreakBefore/>
      </w:pPr>
      <w:r>
        <w:t xml:space="preserve">11. Oficina: interpretar antes de concluir</w:t>
      </w:r>
    </w:p>
    <w:p>
      <w:pPr>
        <w:pStyle w:val="FirstParagraph"/>
      </w:pPr>
      <w:r>
        <w:rPr>
          <w:b/>
          <w:bCs/>
        </w:rPr>
        <w:t xml:space="preserve">Proposta pedagógica.</w:t>
      </w:r>
      <w:r>
        <w:t xml:space="preserve"> </w:t>
      </w:r>
      <w:r>
        <w:t xml:space="preserve">Trabalhe em duplas por 20 minutos. Use calculadora apenas depois de prever a direção do resultado. Registre as respostas em frases completas e consulte o gabarito ao final.</w:t>
      </w:r>
    </w:p>
    <w:bookmarkStart w:id="63" w:name="atividade-1-qual-é-o-denominador"/>
    <w:p>
      <w:pPr>
        <w:pStyle w:val="Heading2"/>
      </w:pPr>
      <w:r>
        <w:t xml:space="preserve">Atividade 1 — Qual é o denominador?</w:t>
      </w:r>
    </w:p>
    <w:p>
      <w:pPr>
        <w:pStyle w:val="FirstParagraph"/>
      </w:pPr>
      <w:r>
        <w:t xml:space="preserve">Em um grupo fictício de 100 pessoas, 30 apresentam o evento e 70 não. Calcule a proporção de eventos e as odds. Explique por que os resultados são diferentes.</w:t>
      </w:r>
    </w:p>
    <w:bookmarkEnd w:id="63"/>
    <w:bookmarkStart w:id="64" w:name="atividade-2-comparando-grupos"/>
    <w:p>
      <w:pPr>
        <w:pStyle w:val="Heading2"/>
      </w:pPr>
      <w:r>
        <w:t xml:space="preserve">Atividade 2 — Comparando grupos</w:t>
      </w:r>
    </w:p>
    <w:p>
      <w:pPr>
        <w:pStyle w:val="FirstParagraph"/>
      </w:pPr>
      <w:r>
        <w:t xml:space="preserve">O grupo A tem 15 eventos e 45 não eventos. O grupo B tem 10 eventos e 60 não eventos. Use B como referência. Calcule a OR e escreva uma frase sem usar “probabilidade duas vezes maior”.</w:t>
      </w:r>
    </w:p>
    <w:bookmarkEnd w:id="64"/>
    <w:bookmarkStart w:id="65" w:name="atividade-3-traduzindo-um-coeficiente"/>
    <w:p>
      <w:pPr>
        <w:pStyle w:val="Heading2"/>
      </w:pPr>
      <w:r>
        <w:t xml:space="preserve">Atividade 3 — Traduzindo um coeficiente</w:t>
      </w:r>
    </w:p>
    <w:p>
      <w:pPr>
        <w:pStyle w:val="FirstParagraph"/>
      </w:pPr>
      <w:r>
        <w:t xml:space="preserve">Uma variável binária, codificada como 1 = presente e 0 = ausente, tem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6931</m:t>
        </m:r>
      </m:oMath>
      <w:r>
        <w:t xml:space="preserve">. Calcule a OR e a variação percentual das odds. A OR pode ser negativa?</w:t>
      </w:r>
    </w:p>
    <w:bookmarkEnd w:id="65"/>
    <w:bookmarkStart w:id="66" w:name="X87999c0b9a77ef011c1c8a6ccfc8663fd15d7e9"/>
    <w:p>
      <w:pPr>
        <w:pStyle w:val="Heading2"/>
      </w:pPr>
      <w:r>
        <w:t xml:space="preserve">Atividade 4 — Interpretando uma unidade maior</w:t>
      </w:r>
    </w:p>
    <w:p>
      <w:pPr>
        <w:pStyle w:val="FirstParagraph"/>
      </w:pPr>
      <w:r>
        <w:t xml:space="preserve">Em um modelo hipotético, o coeficiente do IMC é 0,08 por kg/m². Qual é a OR para +1 kg/m²? E para +5 kg/m²? Explicite o ajuste pelas demais variáveis na sua frase.</w:t>
      </w:r>
    </w:p>
    <w:bookmarkEnd w:id="66"/>
    <w:bookmarkStart w:id="67" w:name="atividade-5-a-or-basta"/>
    <w:p>
      <w:pPr>
        <w:pStyle w:val="Heading2"/>
      </w:pPr>
      <w:r>
        <w:t xml:space="preserve">Atividade 5 — A OR basta?</w:t>
      </w:r>
    </w:p>
    <w:p>
      <w:pPr>
        <w:pStyle w:val="FirstParagraph"/>
      </w:pPr>
      <w:r>
        <w:t xml:space="preserve">Uma comparação tem OR = 3,00 e probabilidade de referência de 10%. Calcule a probabilidade da situação comparada. Ela é 30%?</w:t>
      </w:r>
    </w:p>
    <w:bookmarkEnd w:id="67"/>
    <w:bookmarkStart w:id="68" w:name="atividade-6-lendo-a-incerteza"/>
    <w:p>
      <w:pPr>
        <w:pStyle w:val="Heading2"/>
      </w:pPr>
      <w:r>
        <w:t xml:space="preserve">Atividade 6 — Lendo a incerteza</w:t>
      </w:r>
    </w:p>
    <w:p>
      <w:pPr>
        <w:pStyle w:val="FirstParagraph"/>
      </w:pPr>
      <w:r>
        <w:t xml:space="preserve">Uma tabela informa OR = 0,80 e IC95% de 0,55 a 1,16. Um colega conclui: “Foi demonstrada uma redução das odds”. Reescreva a conclusão considerando a estimativa pontual e o intervalo.</w:t>
      </w:r>
    </w:p>
    <w:bookmarkEnd w:id="68"/>
    <w:bookmarkStart w:id="69" w:name="atividade-7-retorno-ao-modelo-de-ana"/>
    <w:p>
      <w:pPr>
        <w:pStyle w:val="Heading2"/>
      </w:pPr>
      <w:r>
        <w:t xml:space="preserve">Atividade 7 — Retorno ao modelo de Ana</w:t>
      </w:r>
    </w:p>
    <w:p>
      <w:pPr>
        <w:pStyle w:val="FirstParagraph"/>
      </w:pPr>
      <w:r>
        <w:t xml:space="preserve">Use a seção 8 para comparar os perfis de 50 anos com e sem internação prévia, ambos sem acompanhamento. Informe: evento, comparação, OR, probabilidades e diferença em pontos percentuais. Termine com uma frase sobre o que esses números não demonstram.</w:t>
      </w:r>
    </w:p>
    <w:bookmarkEnd w:id="69"/>
    <w:bookmarkStart w:id="70" w:name="atividade-8-coeficiente-padronizado"/>
    <w:p>
      <w:pPr>
        <w:pStyle w:val="Heading2"/>
      </w:pPr>
      <w:r>
        <w:t xml:space="preserve">Atividade 8 — Coeficiente padronizado</w:t>
      </w:r>
    </w:p>
    <w:p>
      <w:pPr>
        <w:pStyle w:val="FirstParagraph"/>
      </w:pPr>
      <w:r>
        <w:t xml:space="preserve">Uma variável binária padronizada tem coeficiente 0,35 e escala de treino 0,50. Qual é a OR para a mudança de 0 para 1 na variável original? Por que</w:t>
      </w:r>
      <w:r>
        <w:t xml:space="preserve"> </w:t>
      </w:r>
      <m:oMath>
        <m:sSup>
          <m:e>
            <m:r>
              <m:t>e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35</m:t>
            </m:r>
          </m:sup>
        </m:sSup>
      </m:oMath>
      <w:r>
        <w:t xml:space="preserve"> </w:t>
      </w:r>
      <w:r>
        <w:t xml:space="preserve">responderia a outra comparação?</w:t>
      </w:r>
    </w:p>
    <w:bookmarkEnd w:id="70"/>
    <w:bookmarkEnd w:id="71"/>
    <w:bookmarkStart w:id="72" w:name="gabarito-comentado"/>
    <w:p>
      <w:pPr>
        <w:pStyle w:val="Heading1"/>
        <w:pageBreakBefore/>
      </w:pPr>
      <w:r>
        <w:t xml:space="preserve">12. Gabarito comentado</w:t>
      </w:r>
    </w:p>
    <w:p>
      <w:pPr>
        <w:pStyle w:val="FirstParagraph"/>
      </w:pPr>
      <w:r>
        <w:rPr>
          <w:b/>
          <w:bCs/>
        </w:rPr>
        <w:t xml:space="preserve">1. Denominador.</w:t>
      </w:r>
      <w:r>
        <w:t xml:space="preserve"> </w:t>
      </w:r>
      <w:r>
        <w:t xml:space="preserve">Proporção =</w:t>
      </w:r>
      <w:r>
        <w:t xml:space="preserve"> </w:t>
      </w:r>
      <m:oMath>
        <m:r>
          <m:t>30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%</m:t>
        </m:r>
      </m:oMath>
      <w:r>
        <w:t xml:space="preserve">. Odds =</w:t>
      </w:r>
      <w:r>
        <w:t xml:space="preserve"> </w:t>
      </w:r>
      <m:oMath>
        <m:r>
          <m:t>30</m:t>
        </m:r>
        <m:r>
          <m:rPr>
            <m:sty m:val="p"/>
          </m:rPr>
          <m:t>/</m:t>
        </m:r>
        <m:r>
          <m:t>70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429</m:t>
        </m:r>
      </m:oMath>
      <w:r>
        <w:t xml:space="preserve">. A proporção usa todas as pessoas no denominador; as odds usam apenas os não eventos. Odds de 0,429 não significam probabilidade de 42,9%.</w:t>
      </w:r>
    </w:p>
    <w:p>
      <w:pPr>
        <w:pStyle w:val="BodyText"/>
      </w:pPr>
      <w:r>
        <w:rPr>
          <w:b/>
          <w:bCs/>
        </w:rPr>
        <w:t xml:space="preserve">2. Comparação.</w:t>
      </w:r>
      <w:r>
        <w:t xml:space="preserve"> </w:t>
      </w:r>
      <w:r>
        <w:t xml:space="preserve">Odds de A =</w:t>
      </w:r>
      <w:r>
        <w:t xml:space="preserve"> </w:t>
      </w:r>
      <m:oMath>
        <m:r>
          <m:t>15</m:t>
        </m:r>
        <m:r>
          <m:rPr>
            <m:sty m:val="p"/>
          </m:rPr>
          <m:t>/</m:t>
        </m:r>
        <m:r>
          <m:t>45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; odds de B =</w:t>
      </w:r>
      <w:r>
        <w:t xml:space="preserve"> </w:t>
      </w:r>
      <m:oMath>
        <m:r>
          <m:t>10</m:t>
        </m:r>
        <m:r>
          <m:rPr>
            <m:sty m:val="p"/>
          </m:rPr>
          <m:t>/</m:t>
        </m:r>
        <m:r>
          <m:t>60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 A OR de A em relação a B é 2,00. “As odds observadas do evento em A são duas vezes as de B.” A comparação é bruta. As proporções são 25% e aproximadamente 14,3%, cuja razão é 1,75.</w:t>
      </w:r>
    </w:p>
    <w:p>
      <w:pPr>
        <w:pStyle w:val="BodyText"/>
      </w:pPr>
      <w:r>
        <w:rPr>
          <w:b/>
          <w:bCs/>
        </w:rPr>
        <w:t xml:space="preserve">3. Coeficiente negativo.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6931</m:t>
            </m:r>
          </m:sup>
        </m:sSup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50</m:t>
        </m:r>
      </m:oMath>
      <w:r>
        <w:t xml:space="preserve">. A presença da característica está associada a odds aproximadamente 50% menores, comparada à ausência, mantendo as demais variáveis constantes. A OR é positiva; negativo é o coeficiente na escala da log-odds.</w:t>
      </w:r>
    </w:p>
    <w:p>
      <w:pPr>
        <w:pStyle w:val="BodyText"/>
      </w:pPr>
      <w:r>
        <w:rPr>
          <w:b/>
          <w:bCs/>
        </w:rPr>
        <w:t xml:space="preserve">4. IMC.</w:t>
      </w:r>
      <w:r>
        <w:t xml:space="preserve"> </w:t>
      </w:r>
      <w:r>
        <w:t xml:space="preserve">Para +1 kg/m²,</w:t>
      </w:r>
      <w:r>
        <w:t xml:space="preserve"> </w:t>
      </w:r>
      <m:oMath>
        <m:sSup>
          <m:e>
            <m:r>
              <m:t>e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08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083</m:t>
        </m:r>
      </m:oMath>
      <w:r>
        <w:t xml:space="preserve">: odds 8,3% maiores. Para +5 kg/m²,</w:t>
      </w:r>
      <w:r>
        <w:t xml:space="preserve"> </w:t>
      </w:r>
      <m:oMath>
        <m:sSup>
          <m:e>
            <m:r>
              <m:t>e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40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492</m:t>
        </m:r>
      </m:oMath>
      <w:r>
        <w:t xml:space="preserve">: odds 49,2% maiores. As interpretações mantêm as demais variáveis constantes e pressupõem linearidade do termo de IMC na log-odds, sem interação que altere esse contraste.</w:t>
      </w:r>
    </w:p>
    <w:p>
      <w:pPr>
        <w:pStyle w:val="BodyText"/>
      </w:pPr>
      <w:r>
        <w:rPr>
          <w:b/>
          <w:bCs/>
        </w:rPr>
        <w:t xml:space="preserve">5. Probabilidade.</w:t>
      </w:r>
      <w:r>
        <w:t xml:space="preserve"> </w:t>
      </w:r>
      <w:r>
        <w:t xml:space="preserve">As odds de referência são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/</m:t>
        </m:r>
        <m:r>
          <m:t>0</m:t>
        </m:r>
        <m:r>
          <m:rPr>
            <m:sty m:val="p"/>
          </m:rPr>
          <m:t>,</m:t>
        </m:r>
        <m:r>
          <m:t>90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9</m:t>
        </m:r>
      </m:oMath>
      <w:r>
        <w:t xml:space="preserve">. Multiplicando por 3, obtemos odds de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 A probabilidade é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%</m:t>
        </m:r>
      </m:oMath>
      <w:r>
        <w:t xml:space="preserve">. Triplicar as odds não triplica a probabilidade.</w:t>
      </w:r>
    </w:p>
    <w:p>
      <w:pPr>
        <w:pStyle w:val="BodyText"/>
      </w:pPr>
      <w:r>
        <w:rPr>
          <w:b/>
          <w:bCs/>
        </w:rPr>
        <w:t xml:space="preserve">6. Incerteza.</w:t>
      </w:r>
      <w:r>
        <w:t xml:space="preserve"> </w:t>
      </w:r>
      <w:r>
        <w:t xml:space="preserve">“A estimativa pontual sugere odds 20% menores, mas o IC95% inclui 1 e vai de odds 45% menores a 16% maiores. A evidência é insuficiente para rejeitar OR = 1 a 5% no teste bilateral correspondente.” Não se conclui ausência de associação nem redução estabelecida.</w:t>
      </w:r>
    </w:p>
    <w:p>
      <w:pPr>
        <w:pStyle w:val="BodyText"/>
      </w:pPr>
      <w:r>
        <w:rPr>
          <w:b/>
          <w:bCs/>
        </w:rPr>
        <w:t xml:space="preserve">7. Modelo de Ana.</w:t>
      </w:r>
      <w:r>
        <w:t xml:space="preserve"> </w:t>
      </w:r>
      <w:r>
        <w:t xml:space="preserve">Evento: reinternação em até 30 dias. Comparação: presença versus ausência de internação prévia, mantendo idade em 50 anos e acompanhamento ausente. OR = 2,00. Probabilidades: 33,3% versus 20,0%; diferença ≈ 13,3 pontos percentuais. São resultados de um modelo fictício e não demonstram causalidade.</w:t>
      </w:r>
    </w:p>
    <w:p>
      <w:pPr>
        <w:pStyle w:val="BodyText"/>
      </w:pPr>
      <w:r>
        <w:rPr>
          <w:b/>
          <w:bCs/>
        </w:rPr>
        <w:t xml:space="preserve">8. Padronização.</w:t>
      </w:r>
      <w:r>
        <w:t xml:space="preserve"> </w:t>
      </w:r>
      <w:r>
        <w:t xml:space="preserve">O coeficiente original é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35</m:t>
        </m:r>
        <m:r>
          <m:rPr>
            <m:sty m:val="p"/>
          </m:rPr>
          <m:t>/</m:t>
        </m:r>
        <m:r>
          <m:t>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70</m:t>
        </m:r>
      </m:oMath>
      <w:r>
        <w:t xml:space="preserve">. Para 0 → 1, a OR é</w:t>
      </w:r>
      <w:r>
        <w:t xml:space="preserve"> </w:t>
      </w:r>
      <m:oMath>
        <m:sSup>
          <m:e>
            <m:r>
              <m:t>e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70</m:t>
            </m:r>
          </m:sup>
        </m:sSup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014</m:t>
        </m:r>
      </m:oMath>
      <w:r>
        <w:t xml:space="preserve">: odds cerca de 101,4% maiores. Já</w:t>
      </w:r>
      <w:r>
        <w:t xml:space="preserve"> </w:t>
      </w:r>
      <m:oMath>
        <m:sSup>
          <m:e>
            <m:r>
              <m:t>e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35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419</m:t>
        </m:r>
      </m:oMath>
      <w:r>
        <w:t xml:space="preserve"> </w:t>
      </w:r>
      <w:r>
        <w:t xml:space="preserve">corresponde a uma unidade padronizada, equivalente a 0,50 unidade original nesse exemplo.</w:t>
      </w:r>
    </w:p>
    <w:bookmarkEnd w:id="72"/>
    <w:bookmarkStart w:id="78" w:name="folha-de-consulta-rápida"/>
    <w:p>
      <w:pPr>
        <w:pStyle w:val="Heading1"/>
        <w:pageBreakBefore/>
      </w:pPr>
      <w:r>
        <w:t xml:space="preserve">13. Folha de consulta rápida</w:t>
      </w:r>
    </w:p>
    <w:bookmarkStart w:id="73" w:name="cinco-perguntas-antes-de-escrever"/>
    <w:p>
      <w:pPr>
        <w:pStyle w:val="Heading2"/>
      </w:pPr>
      <w:r>
        <w:t xml:space="preserve">Cinco perguntas antes de escrever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Evento:</w:t>
      </w:r>
      <w:r>
        <w:t xml:space="preserve"> </w:t>
      </w:r>
      <w:r>
        <w:t xml:space="preserve">qual resultado foi codificado como 1?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Comparação:</w:t>
      </w:r>
      <w:r>
        <w:t xml:space="preserve"> </w:t>
      </w:r>
      <w:r>
        <w:t xml:space="preserve">qual grupo ou valor é comparado com qual referência?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Unidade:</w:t>
      </w:r>
      <w:r>
        <w:t xml:space="preserve"> </w:t>
      </w:r>
      <w:r>
        <w:t xml:space="preserve">+1 ano, +10 anos, +1 código, 0 → 1 ou +1 desvio-padrão?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Ajuste:</w:t>
      </w:r>
      <w:r>
        <w:t xml:space="preserve"> </w:t>
      </w:r>
      <w:r>
        <w:t xml:space="preserve">quais outras variáveis são mantidas constantes no modelo?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Resultado:</w:t>
      </w:r>
      <w:r>
        <w:t xml:space="preserve"> </w:t>
      </w:r>
      <w:r>
        <w:t xml:space="preserve">qual é a OR, qual é a incerteza e até onde a conclusão pode ir?</w:t>
      </w:r>
    </w:p>
    <w:bookmarkEnd w:id="73"/>
    <w:bookmarkStart w:id="74" w:name="fórmulas-essenciais"/>
    <w:p>
      <w:pPr>
        <w:pStyle w:val="Heading2"/>
      </w:pPr>
      <w:r>
        <w:t xml:space="preserve">Fórmulas essenciais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2835"/>
        <w:gridCol w:w="6236"/>
      </w:tblGrid>
      <w:tr>
        <w:trPr>
          <w:tblHeader w:val="on"/>
          <w:cantSplit/>
          <w:tblHeader/>
        </w:trPr>
        <w:tc>
          <w:tcPr>
            <w:tcW w:type="dxa" w:w="2835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Para obter…</w:t>
            </w:r>
          </w:p>
        </w:tc>
        <w:tc>
          <w:tcPr>
            <w:tcW w:type="dxa" w:w="6236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Use…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Odds a partir de p</w:t>
            </w:r>
          </w:p>
        </w:tc>
        <w:tc>
          <w:tcPr>
            <w:tcW w:type="dxa" w:w="6236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</w:tr>
      <w:tr>
        <w:trPr>
          <w:cantSplit/>
        </w:trPr>
        <w:tc>
          <w:tcPr>
            <w:tcW w:type="dxa" w:w="2835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Probabilidade a partir das odds</w:t>
            </w:r>
          </w:p>
        </w:tc>
        <w:tc>
          <w:tcPr>
            <w:tcW w:type="dxa" w:w="6236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m:oMath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OR entre dois grupos</w:t>
            </w:r>
          </w:p>
        </w:tc>
        <w:tc>
          <w:tcPr>
            <w:tcW w:type="dxa" w:w="6236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odds do comparado / odds da referência</w:t>
            </w:r>
          </w:p>
        </w:tc>
      </w:tr>
      <w:tr>
        <w:trPr>
          <w:cantSplit/>
        </w:trPr>
        <w:tc>
          <w:tcPr>
            <w:tcW w:type="dxa" w:w="2835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OR para +1 unidade</w:t>
            </w:r>
          </w:p>
        </w:tc>
        <w:tc>
          <w:tcPr>
            <w:tcW w:type="dxa" w:w="6236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m:oMath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OR para um incremento</w:t>
            </w:r>
            <w:r>
              <w:rPr>
                <w:sz w:val="20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x</m:t>
              </m:r>
            </m:oMath>
          </w:p>
        </w:tc>
        <w:tc>
          <w:tcPr>
            <w:tcW w:type="dxa" w:w="6236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m:oMath>
              <m:sSup>
                <m:e>
                  <m:r>
                    <m:t>e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2835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Variação percentual das odds</w:t>
            </w:r>
          </w:p>
        </w:tc>
        <w:tc>
          <w:tcPr>
            <w:tcW w:type="dxa" w:w="6236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m:oMath>
              <m:r>
                <m:t>100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Odds de um perfil</w:t>
            </w:r>
          </w:p>
        </w:tc>
        <w:tc>
          <w:tcPr>
            <w:tcW w:type="dxa" w:w="6236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m:oMath>
              <m:sSup>
                <m:e>
                  <m:r>
                    <m:t>e</m:t>
                  </m:r>
                </m:e>
                <m:sup>
                  <m:r>
                    <m:t>η</m:t>
                  </m:r>
                </m:sup>
              </m:sSup>
            </m:oMath>
            <w:r>
              <w:rPr>
                <w:sz w:val="20"/>
              </w:rPr>
              <w:t xml:space="preserve">, usando a equação completa</w:t>
            </w:r>
          </w:p>
        </w:tc>
      </w:tr>
    </w:tbl>
    <w:p>
      <w:pPr>
        <w:pStyle w:val="BodyText"/>
      </w:pPr>
      <w:r>
        <w:t xml:space="preserve">As fórmulas de OR baseadas em um único coeficiente pressupõem que ele represente todo o contraste, sem outros termos de interação ou curvatura envolvidos.</w:t>
      </w:r>
      <w:r>
        <w:t xml:space="preserve"> </w:t>
      </w:r>
      <w:hyperlink w:anchor="fonte-4">
        <w:r>
          <w:rPr>
            <w:rStyle w:val="Hyperlink"/>
          </w:rPr>
          <w:t xml:space="preserve">[4]</w:t>
        </w:r>
      </w:hyperlink>
      <w:r>
        <w:t xml:space="preserve"> </w:t>
      </w:r>
      <w:hyperlink w:anchor="fonte-5">
        <w:r>
          <w:rPr>
            <w:rStyle w:val="Hyperlink"/>
          </w:rPr>
          <w:t xml:space="preserve">[5]</w:t>
        </w:r>
      </w:hyperlink>
      <w:r>
        <w:t xml:space="preserve"> </w:t>
      </w:r>
      <w:hyperlink w:anchor="fonte-9">
        <w:r>
          <w:rPr>
            <w:rStyle w:val="Hyperlink"/>
          </w:rPr>
          <w:t xml:space="preserve">[9]</w:t>
        </w:r>
      </w:hyperlink>
    </w:p>
    <w:bookmarkEnd w:id="74"/>
    <w:bookmarkStart w:id="75" w:name="frase-para-preencher"/>
    <w:p>
      <w:pPr>
        <w:pStyle w:val="Heading2"/>
      </w:pPr>
      <w:r>
        <w:t xml:space="preserve">Frase para preencher</w:t>
      </w:r>
    </w:p>
    <w:p>
      <w:pPr>
        <w:pStyle w:val="BlockText"/>
      </w:pPr>
      <w:r>
        <w:t xml:space="preserve">“Mantendo</w:t>
      </w:r>
      <w:r>
        <w:t xml:space="preserve"> </w:t>
      </w:r>
      <w:r>
        <w:rPr>
          <w:b/>
          <w:bCs/>
        </w:rPr>
        <w:t xml:space="preserve">[variáveis de ajuste]</w:t>
      </w:r>
      <w:r>
        <w:t xml:space="preserve"> </w:t>
      </w:r>
      <w:r>
        <w:t xml:space="preserve">constantes,</w:t>
      </w:r>
      <w:r>
        <w:t xml:space="preserve"> </w:t>
      </w:r>
      <w:r>
        <w:rPr>
          <w:b/>
          <w:bCs/>
        </w:rPr>
        <w:t xml:space="preserve">[comparação e unidade]</w:t>
      </w:r>
      <w:r>
        <w:t xml:space="preserve"> </w:t>
      </w:r>
      <w:r>
        <w:t xml:space="preserve">está associada a odds estimadas de</w:t>
      </w:r>
      <w:r>
        <w:t xml:space="preserve"> </w:t>
      </w:r>
      <w:r>
        <w:rPr>
          <w:b/>
          <w:bCs/>
        </w:rPr>
        <w:t xml:space="preserve">[evento]</w:t>
      </w:r>
      <w:r>
        <w:t xml:space="preserve"> </w:t>
      </w:r>
      <w:r>
        <w:t xml:space="preserve">multiplicadas por</w:t>
      </w:r>
      <w:r>
        <w:t xml:space="preserve"> </w:t>
      </w:r>
      <w:r>
        <w:rPr>
          <w:b/>
          <w:bCs/>
        </w:rPr>
        <w:t xml:space="preserve">[OR]</w:t>
      </w:r>
      <w:r>
        <w:t xml:space="preserve">, ou</w:t>
      </w:r>
      <w:r>
        <w:t xml:space="preserve"> </w:t>
      </w:r>
      <w:r>
        <w:rPr>
          <w:b/>
          <w:bCs/>
        </w:rPr>
        <w:t xml:space="preserve">[percentual]</w:t>
      </w:r>
      <w:r>
        <w:t xml:space="preserve"> </w:t>
      </w:r>
      <w:r>
        <w:t xml:space="preserve">maiores/menores, segundo este modelo. O IC95% é</w:t>
      </w:r>
      <w:r>
        <w:t xml:space="preserve"> </w:t>
      </w:r>
      <w:r>
        <w:rPr>
          <w:b/>
          <w:bCs/>
        </w:rPr>
        <w:t xml:space="preserve">[limites]</w:t>
      </w:r>
      <w:r>
        <w:t xml:space="preserve">, indicando</w:t>
      </w:r>
      <w:r>
        <w:t xml:space="preserve"> </w:t>
      </w:r>
      <w:r>
        <w:rPr>
          <w:b/>
          <w:bCs/>
        </w:rPr>
        <w:t xml:space="preserve">[leitura da incerteza]</w:t>
      </w:r>
      <w:r>
        <w:t xml:space="preserve">.”</w:t>
      </w:r>
    </w:p>
    <w:p>
      <w:pPr>
        <w:pStyle w:val="FirstParagraph"/>
      </w:pPr>
      <w:r>
        <w:t xml:space="preserve">Se a OR for 1, substitua a variação percentual por “odds estimadas iguais no contraste considerado”. Se não houver intervalo disponível, registre essa ausência.</w:t>
      </w:r>
    </w:p>
    <w:bookmarkEnd w:id="75"/>
    <w:bookmarkStart w:id="76" w:name="pequeno-glossário"/>
    <w:p>
      <w:pPr>
        <w:pStyle w:val="Heading2"/>
      </w:pPr>
      <w:r>
        <w:t xml:space="preserve">Pequeno glossário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35"/>
        <w:gridCol w:w="6236"/>
      </w:tblGrid>
      <w:tr>
        <w:trPr>
          <w:tblHeader w:val="on"/>
          <w:cantSplit/>
          <w:tblHeader/>
        </w:trPr>
        <w:tc>
          <w:tcPr>
            <w:tcW w:type="dxa" w:w="2835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Termo</w:t>
            </w:r>
          </w:p>
        </w:tc>
        <w:tc>
          <w:tcPr>
            <w:tcW w:type="dxa" w:w="6236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Significado nesta apostila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Desfecho</w:t>
            </w:r>
          </w:p>
        </w:tc>
        <w:tc>
          <w:tcPr>
            <w:tcW w:type="dxa" w:w="6236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resultado que o modelo procura descrever ou prever</w:t>
            </w:r>
          </w:p>
        </w:tc>
      </w:tr>
      <w:tr>
        <w:trPr>
          <w:cantSplit/>
        </w:trPr>
        <w:tc>
          <w:tcPr>
            <w:tcW w:type="dxa" w:w="2835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Preditor</w:t>
            </w:r>
          </w:p>
        </w:tc>
        <w:tc>
          <w:tcPr>
            <w:tcW w:type="dxa" w:w="6236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característica usada na equação do modelo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Probabilidade</w:t>
            </w:r>
          </w:p>
        </w:tc>
        <w:tc>
          <w:tcPr>
            <w:tcW w:type="dxa" w:w="6236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possibilidade de evento na escala de 0 a 1</w:t>
            </w:r>
          </w:p>
        </w:tc>
      </w:tr>
      <w:tr>
        <w:trPr>
          <w:cantSplit/>
        </w:trPr>
        <w:tc>
          <w:tcPr>
            <w:tcW w:type="dxa" w:w="2835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Odds</w:t>
            </w:r>
          </w:p>
        </w:tc>
        <w:tc>
          <w:tcPr>
            <w:tcW w:type="dxa" w:w="6236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razão entre probabilidade de evento e de não evento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OR</w:t>
            </w:r>
          </w:p>
        </w:tc>
        <w:tc>
          <w:tcPr>
            <w:tcW w:type="dxa" w:w="6236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razão entre duas odds</w:t>
            </w:r>
          </w:p>
        </w:tc>
      </w:tr>
      <w:tr>
        <w:trPr>
          <w:cantSplit/>
        </w:trPr>
        <w:tc>
          <w:tcPr>
            <w:tcW w:type="dxa" w:w="2835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Logit / log-odds</w:t>
            </w:r>
          </w:p>
        </w:tc>
        <w:tc>
          <w:tcPr>
            <w:tcW w:type="dxa" w:w="6236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logaritmo natural das odds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Coeficiente</w:t>
            </w:r>
          </w:p>
        </w:tc>
        <w:tc>
          <w:tcPr>
            <w:tcW w:type="dxa" w:w="6236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mudança na log-odds por unidade, nas condições do modelo</w:t>
            </w:r>
          </w:p>
        </w:tc>
      </w:tr>
      <w:tr>
        <w:trPr>
          <w:cantSplit/>
        </w:trPr>
        <w:tc>
          <w:tcPr>
            <w:tcW w:type="dxa" w:w="2835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Intercepto</w:t>
            </w:r>
          </w:p>
        </w:tc>
        <w:tc>
          <w:tcPr>
            <w:tcW w:type="dxa" w:w="6236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log-odds do perfil em que os preditores valem zero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Ajuste</w:t>
            </w:r>
          </w:p>
        </w:tc>
        <w:tc>
          <w:tcPr>
            <w:tcW w:type="dxa" w:w="6236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consideração conjunta das variáveis incluídas no modelo</w:t>
            </w:r>
          </w:p>
        </w:tc>
      </w:tr>
      <w:tr>
        <w:trPr>
          <w:cantSplit/>
        </w:trPr>
        <w:tc>
          <w:tcPr>
            <w:tcW w:type="dxa" w:w="2835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IC95%</w:t>
            </w:r>
          </w:p>
        </w:tc>
        <w:tc>
          <w:tcPr>
            <w:tcW w:type="dxa" w:w="6236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intervalo que expressa incerteza pelo procedimento adotado</w:t>
            </w:r>
          </w:p>
        </w:tc>
      </w:tr>
    </w:tbl>
    <w:bookmarkEnd w:id="76"/>
    <w:bookmarkStart w:id="77" w:name="autoavaliação"/>
    <w:p>
      <w:pPr>
        <w:pStyle w:val="Heading2"/>
      </w:pPr>
      <w:r>
        <w:t xml:space="preserve">Autoavaliação</w:t>
      </w:r>
    </w:p>
    <w:p>
      <w:pPr>
        <w:pStyle w:val="FirstParagraph"/>
      </w:pPr>
      <w:r>
        <w:t xml:space="preserve">Antes de encerrar, tente explicar sem fórmulas:</w:t>
      </w:r>
      <w:r>
        <w:t xml:space="preserve"> </w:t>
      </w:r>
      <w:r>
        <w:rPr>
          <w:b/>
          <w:bCs/>
        </w:rPr>
        <w:t xml:space="preserve">por que odds de 0,25 equivalem a probabilidade de 20%? Por que OR = 2 não significa probabilidade duas vezes maior? Por que o mesmo coeficiente pode gerar OR diferentes quando mudamos a unidade da comparação?</w:t>
      </w:r>
    </w:p>
    <w:bookmarkEnd w:id="77"/>
    <w:bookmarkEnd w:id="78"/>
    <w:bookmarkStart w:id="90" w:name="fontes-citadas"/>
    <w:p>
      <w:pPr>
        <w:pStyle w:val="Heading1"/>
        <w:pageBreakBefore/>
      </w:pPr>
      <w:r>
        <w:t xml:space="preserve">Fontes citadas</w:t>
      </w:r>
    </w:p>
    <w:p>
      <w:pPr>
        <w:pStyle w:val="FirstParagraph"/>
      </w:pPr>
      <w:r>
        <w:t xml:space="preserve">As referências abaixo identificam as páginas efetivamente consultadas. Em Hosmer e Lemeshow, a página impressa difere do contador do PDF:</w:t>
      </w:r>
      <w:r>
        <w:t xml:space="preserve"> </w:t>
      </w:r>
      <w:r>
        <w:rPr>
          <w:b/>
          <w:bCs/>
        </w:rPr>
        <w:t xml:space="preserve">página do PDF = página impressa + 21</w:t>
      </w:r>
      <w:r>
        <w:t xml:space="preserve">, nos trechos citados. Em Garson, as páginas citadas coincidem com o contador do arquivo.</w:t>
      </w:r>
    </w:p>
    <w:p>
      <w:pPr>
        <w:pStyle w:val="BodyText"/>
      </w:pPr>
      <w:r>
        <w:rPr>
          <w:b/>
          <w:bCs/>
        </w:rPr>
        <w:t xml:space="preserve">Obras fornecidas.</w:t>
      </w:r>
      <w:r>
        <w:t xml:space="preserve"> </w:t>
      </w:r>
      <w:r>
        <w:t xml:space="preserve">HOSMER, David W.; LEMESHOW, Stanley.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2. ed. Wiley,</w:t>
      </w:r>
      <w:r>
        <w:t xml:space="preserve"> </w:t>
      </w:r>
      <w:r>
        <w:rPr>
          <w:b/>
          <w:bCs/>
        </w:rPr>
        <w:t xml:space="preserve">2000</w:t>
      </w:r>
      <w:r>
        <w:t xml:space="preserve">. O nome do arquivo contém “2009”, mas a ficha editorial do livro, na página 5 do PDF, registra copyright de 2000. GARSON, G. David.</w:t>
      </w:r>
      <w:r>
        <w:t xml:space="preserve"> </w:t>
      </w:r>
      <w:r>
        <w:rPr>
          <w:i/>
          <w:iCs/>
        </w:rPr>
        <w:t xml:space="preserve">Logistic Regression: Binary and Multinomial</w:t>
      </w:r>
      <w:r>
        <w:t xml:space="preserve">. Statistical Associates Publishing,</w:t>
      </w:r>
      <w:r>
        <w:t xml:space="preserve"> </w:t>
      </w:r>
      <w:r>
        <w:rPr>
          <w:b/>
          <w:bCs/>
        </w:rPr>
        <w:t xml:space="preserve">2014</w:t>
      </w:r>
      <w:r>
        <w:t xml:space="preserve">. ISBN 978-1-62638-024-0.</w:t>
      </w:r>
    </w:p>
    <w:p>
      <w:pPr>
        <w:pStyle w:val="Compact"/>
        <w:numPr>
          <w:ilvl w:val="0"/>
          <w:numId w:val="1006"/>
        </w:numPr>
      </w:pPr>
      <w:bookmarkStart w:id="79" w:name="fonte-1"/>
      <w:bookmarkEnd w:id="79"/>
      <w:r>
        <w:t xml:space="preserve"> </w:t>
      </w:r>
      <w:r>
        <w:rPr>
          <w:b/>
          <w:bCs/>
        </w:rPr>
        <w:t xml:space="preserve">Hosmer e Lemeshow (2000), p. 5–7; PDF p. 26–28.</w:t>
      </w:r>
      <w:r>
        <w:t xml:space="preserve"> </w:t>
      </w:r>
      <w:r>
        <w:t xml:space="preserve">Limites da probabilidade, função logística, transformação logit e desfecho codificado em 0/1. Complemento:</w:t>
      </w:r>
      <w:r>
        <w:t xml:space="preserve"> </w:t>
      </w:r>
      <w:r>
        <w:rPr>
          <w:b/>
          <w:bCs/>
        </w:rPr>
        <w:t xml:space="preserve">Garson (2014), p. 12 e 15–16</w:t>
      </w:r>
      <w:r>
        <w:t xml:space="preserve">, regressão logística binária e tipos de variáveis.</w:t>
      </w:r>
    </w:p>
    <w:p>
      <w:pPr>
        <w:pStyle w:val="Compact"/>
        <w:numPr>
          <w:ilvl w:val="0"/>
          <w:numId w:val="1006"/>
        </w:numPr>
      </w:pPr>
      <w:bookmarkStart w:id="80" w:name="fonte-2"/>
      <w:bookmarkEnd w:id="80"/>
      <w:r>
        <w:t xml:space="preserve"> </w:t>
      </w:r>
      <w:r>
        <w:rPr>
          <w:b/>
          <w:bCs/>
        </w:rPr>
        <w:t xml:space="preserve">Garson (2014), p. 17–18 e 158.</w:t>
      </w:r>
      <w:r>
        <w:t xml:space="preserve"> </w:t>
      </w:r>
      <w:r>
        <w:t xml:space="preserve">Probabilidade, odds, log-odds, equação e intercepto. As conversões numéricas são derivações algébricas dessas definições.</w:t>
      </w:r>
    </w:p>
    <w:p>
      <w:pPr>
        <w:pStyle w:val="Compact"/>
        <w:numPr>
          <w:ilvl w:val="0"/>
          <w:numId w:val="1006"/>
        </w:numPr>
      </w:pPr>
      <w:bookmarkStart w:id="81" w:name="fonte-3"/>
      <w:bookmarkEnd w:id="81"/>
      <w:r>
        <w:t xml:space="preserve"> </w:t>
      </w:r>
      <w:r>
        <w:rPr>
          <w:b/>
          <w:bCs/>
        </w:rPr>
        <w:t xml:space="preserve">Hosmer e Lemeshow (2000), p. 49–52; PDF p. 70–73.</w:t>
      </w:r>
      <w:r>
        <w:t xml:space="preserve"> </w:t>
      </w:r>
      <w:r>
        <w:t xml:space="preserve">Definição de OR, comparação de odds, tabela 2 × 2, relação com coeficiente e distinção entre OR e risco relativo.</w:t>
      </w:r>
    </w:p>
    <w:p>
      <w:pPr>
        <w:pStyle w:val="Compact"/>
        <w:numPr>
          <w:ilvl w:val="0"/>
          <w:numId w:val="1006"/>
        </w:numPr>
      </w:pPr>
      <w:bookmarkStart w:id="82" w:name="fonte-4"/>
      <w:bookmarkEnd w:id="82"/>
      <w:r>
        <w:t xml:space="preserve"> </w:t>
      </w:r>
      <w:r>
        <w:rPr>
          <w:b/>
          <w:bCs/>
        </w:rPr>
        <w:t xml:space="preserve">Hosmer e Lemeshow (2000), p. 48–50; PDF p. 69–71.</w:t>
      </w:r>
      <w:r>
        <w:t xml:space="preserve"> </w:t>
      </w:r>
      <w:r>
        <w:t xml:space="preserve">Coeficiente como diferença de logits e OR = exp(b). Complemento:</w:t>
      </w:r>
      <w:r>
        <w:t xml:space="preserve"> </w:t>
      </w:r>
      <w:r>
        <w:rPr>
          <w:b/>
          <w:bCs/>
        </w:rPr>
        <w:t xml:space="preserve">Garson (2014), p. 20 e 156</w:t>
      </w:r>
      <w:r>
        <w:t xml:space="preserve">, sinal e conversão entre b e OR.</w:t>
      </w:r>
    </w:p>
    <w:p>
      <w:pPr>
        <w:pStyle w:val="Compact"/>
        <w:numPr>
          <w:ilvl w:val="0"/>
          <w:numId w:val="1006"/>
        </w:numPr>
      </w:pPr>
      <w:bookmarkStart w:id="83" w:name="fonte-5"/>
      <w:bookmarkEnd w:id="83"/>
      <w:r>
        <w:t xml:space="preserve"> </w:t>
      </w:r>
      <w:r>
        <w:rPr>
          <w:b/>
          <w:bCs/>
        </w:rPr>
        <w:t xml:space="preserve">Hosmer e Lemeshow (2000), p. 63–65; PDF p. 84–86.</w:t>
      </w:r>
      <w:r>
        <w:t xml:space="preserve"> </w:t>
      </w:r>
      <w:r>
        <w:t xml:space="preserve">Unidade de variáveis contínuas, OR para incrementos e interpretação em modelos com múltiplas variáveis.</w:t>
      </w:r>
    </w:p>
    <w:p>
      <w:pPr>
        <w:pStyle w:val="Compact"/>
        <w:numPr>
          <w:ilvl w:val="0"/>
          <w:numId w:val="1006"/>
        </w:numPr>
      </w:pPr>
      <w:bookmarkStart w:id="84" w:name="fonte-6"/>
      <w:bookmarkEnd w:id="84"/>
      <w:r>
        <w:t xml:space="preserve"> </w:t>
      </w:r>
      <w:r>
        <w:rPr>
          <w:b/>
          <w:bCs/>
        </w:rPr>
        <w:t xml:space="preserve">Hosmer e Lemeshow (2000), p. 56; PDF p. 77.</w:t>
      </w:r>
      <w:r>
        <w:t xml:space="preserve"> </w:t>
      </w:r>
      <w:r>
        <w:t xml:space="preserve">Variáveis explicativas com múltiplas categorias, indicadores e referência.</w:t>
      </w:r>
    </w:p>
    <w:p>
      <w:pPr>
        <w:pStyle w:val="Compact"/>
        <w:numPr>
          <w:ilvl w:val="0"/>
          <w:numId w:val="1006"/>
        </w:numPr>
      </w:pPr>
      <w:bookmarkStart w:id="85" w:name="fonte-7"/>
      <w:bookmarkEnd w:id="85"/>
      <w:r>
        <w:t xml:space="preserve"> </w:t>
      </w:r>
      <w:r>
        <w:rPr>
          <w:b/>
          <w:bCs/>
        </w:rPr>
        <w:t xml:space="preserve">Hosmer e Lemeshow (2000), p. 17–18, 52 e 63; PDF p. 38–39, 73 e 84.</w:t>
      </w:r>
      <w:r>
        <w:t xml:space="preserve"> </w:t>
      </w:r>
      <w:r>
        <w:t xml:space="preserve">Intervalos para coeficientes, incerteza na OR e exponenciação dos limites. Complemento:</w:t>
      </w:r>
      <w:r>
        <w:t xml:space="preserve"> </w:t>
      </w:r>
      <w:r>
        <w:rPr>
          <w:b/>
          <w:bCs/>
        </w:rPr>
        <w:t xml:space="preserve">notebook do projeto, seção 5.3</w:t>
      </w:r>
      <w:r>
        <w:t xml:space="preserve">, leitura de valor-p e IC95%.</w:t>
      </w:r>
    </w:p>
    <w:p>
      <w:pPr>
        <w:pStyle w:val="Compact"/>
        <w:numPr>
          <w:ilvl w:val="0"/>
          <w:numId w:val="1006"/>
        </w:numPr>
      </w:pPr>
      <w:bookmarkStart w:id="86" w:name="fonte-8"/>
      <w:bookmarkEnd w:id="86"/>
      <w:r>
        <w:t xml:space="preserve"> </w:t>
      </w:r>
      <w:r>
        <w:rPr>
          <w:b/>
          <w:bCs/>
        </w:rPr>
        <w:t xml:space="preserve">Material local do projeto:</w:t>
      </w:r>
      <w:r>
        <w:t xml:space="preserve"> </w:t>
      </w:r>
      <w:hyperlink r:id="rId87">
        <w:r>
          <w:rPr>
            <w:rStyle w:val="Hyperlink"/>
          </w:rPr>
          <w:t xml:space="preserve">02 — Regressão logística: versão mínima</w:t>
        </w:r>
      </w:hyperlink>
      <w:r>
        <w:t xml:space="preserve">, apresentação e seções 4, 5.1, 5.2 e 5.3, versão consultada em 14/09/2026. Fonte da ponte com a atividade prática: alvo, padronização, conversão de escala, regularização, ajuste inferencial e limites. Nenhum resultado desse notebook foi apresentado como se tivesse sido calculado nesta apostila.</w:t>
      </w:r>
    </w:p>
    <w:p>
      <w:pPr>
        <w:pStyle w:val="Compact"/>
        <w:numPr>
          <w:ilvl w:val="0"/>
          <w:numId w:val="1006"/>
        </w:numPr>
      </w:pPr>
      <w:bookmarkStart w:id="88" w:name="fonte-9"/>
      <w:bookmarkEnd w:id="88"/>
      <w:r>
        <w:t xml:space="preserve"> </w:t>
      </w:r>
      <w:r>
        <w:rPr>
          <w:b/>
          <w:bCs/>
        </w:rPr>
        <w:t xml:space="preserve">Garson (2014), p. 157–158</w:t>
      </w:r>
      <w:r>
        <w:t xml:space="preserve">, incrementos e interações.</w:t>
      </w:r>
      <w:r>
        <w:t xml:space="preserve"> </w:t>
      </w:r>
      <w:r>
        <w:rPr>
          <w:b/>
          <w:bCs/>
        </w:rPr>
        <w:t xml:space="preserve">Hosmer e Lemeshow (2000), p. 70–71; PDF p. 91–92</w:t>
      </w:r>
      <w:r>
        <w:t xml:space="preserve">, dependência da associação em relação a outra variável quando há interação.</w:t>
      </w:r>
    </w:p>
    <w:p>
      <w:pPr>
        <w:pStyle w:val="Compact"/>
        <w:numPr>
          <w:ilvl w:val="0"/>
          <w:numId w:val="1006"/>
        </w:numPr>
      </w:pPr>
      <w:bookmarkStart w:id="89" w:name="fonte-10"/>
      <w:bookmarkEnd w:id="89"/>
      <w:r>
        <w:t xml:space="preserve"> </w:t>
      </w:r>
      <w:r>
        <w:rPr>
          <w:b/>
          <w:bCs/>
        </w:rPr>
        <w:t xml:space="preserve">Garson (2014), p. 43</w:t>
      </w:r>
      <w:r>
        <w:t xml:space="preserve">, estimação por máxima verossimilhança.</w:t>
      </w:r>
    </w:p>
    <w:bookmarkEnd w:id="90"/>
    <w:bookmarkStart w:id="94" w:name="X9ff7f629d9cd12d74434c2b2bdeebe21dff72fb"/>
    <w:p>
      <w:pPr>
        <w:pStyle w:val="Heading1"/>
        <w:pageBreakBefore/>
      </w:pPr>
      <w:r>
        <w:t xml:space="preserve">Apêndice — Proposta de uso em aula e rastreabilidade</w:t>
      </w:r>
    </w:p>
    <w:bookmarkStart w:id="91" w:name="roteiro-sugerido-de-120-minutos"/>
    <w:p>
      <w:pPr>
        <w:pStyle w:val="Heading2"/>
      </w:pPr>
      <w:r>
        <w:t xml:space="preserve">Roteiro sugerido de 120 minutos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94"/>
        <w:gridCol w:w="2438"/>
        <w:gridCol w:w="4139"/>
      </w:tblGrid>
      <w:tr>
        <w:trPr>
          <w:tblHeader w:val="on"/>
          <w:cantSplit/>
          <w:tblHeader/>
        </w:trPr>
        <w:tc>
          <w:tcPr>
            <w:tcW w:type="dxa" w:w="2494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Tempo</w:t>
            </w:r>
          </w:p>
        </w:tc>
        <w:tc>
          <w:tcPr>
            <w:tcW w:type="dxa" w:w="2438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Percurso</w:t>
            </w:r>
          </w:p>
        </w:tc>
        <w:tc>
          <w:tcPr>
            <w:tcW w:type="dxa" w:w="4139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Produto do estudante</w:t>
            </w:r>
          </w:p>
        </w:tc>
      </w:tr>
      <w:tr>
        <w:trPr>
          <w:cantSplit/>
        </w:trPr>
        <w:tc>
          <w:tcPr>
            <w:tcW w:type="dxa" w:w="2494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0–10 min</w:t>
            </w:r>
          </w:p>
        </w:tc>
        <w:tc>
          <w:tcPr>
            <w:tcW w:type="dxa" w:w="2438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Caso de abertura</w:t>
            </w:r>
          </w:p>
        </w:tc>
        <w:tc>
          <w:tcPr>
            <w:tcW w:type="dxa" w:w="4139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interpretação inicial de “duas vezes”</w:t>
            </w:r>
          </w:p>
        </w:tc>
      </w:tr>
      <w:tr>
        <w:trPr>
          <w:cantSplit/>
        </w:trPr>
        <w:tc>
          <w:tcPr>
            <w:tcW w:type="dxa" w:w="2494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10–35 min</w:t>
            </w:r>
          </w:p>
        </w:tc>
        <w:tc>
          <w:tcPr>
            <w:tcW w:type="dxa" w:w="2438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Probabilidade, odds e OR</w:t>
            </w:r>
          </w:p>
        </w:tc>
        <w:tc>
          <w:tcPr>
            <w:tcW w:type="dxa" w:w="4139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contas das seções 2 a 4</w:t>
            </w:r>
          </w:p>
        </w:tc>
      </w:tr>
      <w:tr>
        <w:trPr>
          <w:cantSplit/>
        </w:trPr>
        <w:tc>
          <w:tcPr>
            <w:tcW w:type="dxa" w:w="2494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35–60 min</w:t>
            </w:r>
          </w:p>
        </w:tc>
        <w:tc>
          <w:tcPr>
            <w:tcW w:type="dxa" w:w="2438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Modelo e coeficientes</w:t>
            </w:r>
          </w:p>
        </w:tc>
        <w:tc>
          <w:tcPr>
            <w:tcW w:type="dxa" w:w="4139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tradução de b em OR</w:t>
            </w:r>
          </w:p>
        </w:tc>
      </w:tr>
      <w:tr>
        <w:trPr>
          <w:cantSplit/>
        </w:trPr>
        <w:tc>
          <w:tcPr>
            <w:tcW w:type="dxa" w:w="2494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60–80 min</w:t>
            </w:r>
          </w:p>
        </w:tc>
        <w:tc>
          <w:tcPr>
            <w:tcW w:type="dxa" w:w="2438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Unidade, referência e exemplo completo</w:t>
            </w:r>
          </w:p>
        </w:tc>
        <w:tc>
          <w:tcPr>
            <w:tcW w:type="dxa" w:w="4139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uma interpretação escrita</w:t>
            </w:r>
          </w:p>
        </w:tc>
      </w:tr>
      <w:tr>
        <w:trPr>
          <w:cantSplit/>
        </w:trPr>
        <w:tc>
          <w:tcPr>
            <w:tcW w:type="dxa" w:w="2494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80–90 min</w:t>
            </w:r>
          </w:p>
        </w:tc>
        <w:tc>
          <w:tcPr>
            <w:tcW w:type="dxa" w:w="2438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Introdução ao IC95%</w:t>
            </w:r>
          </w:p>
        </w:tc>
        <w:tc>
          <w:tcPr>
            <w:tcW w:type="dxa" w:w="4139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leitura de uma linha da tabela</w:t>
            </w:r>
          </w:p>
        </w:tc>
      </w:tr>
      <w:tr>
        <w:trPr>
          <w:cantSplit/>
        </w:trPr>
        <w:tc>
          <w:tcPr>
            <w:tcW w:type="dxa" w:w="2494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90–110 min</w:t>
            </w:r>
          </w:p>
        </w:tc>
        <w:tc>
          <w:tcPr>
            <w:tcW w:type="dxa" w:w="2438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Oficina em duplas</w:t>
            </w:r>
          </w:p>
        </w:tc>
        <w:tc>
          <w:tcPr>
            <w:tcW w:type="dxa" w:w="4139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respostas às atividades 1 a 7</w:t>
            </w:r>
          </w:p>
        </w:tc>
      </w:tr>
      <w:tr>
        <w:trPr>
          <w:cantSplit/>
        </w:trPr>
        <w:tc>
          <w:tcPr>
            <w:tcW w:type="dxa" w:w="2494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110–120 min</w:t>
            </w:r>
          </w:p>
        </w:tc>
        <w:tc>
          <w:tcPr>
            <w:tcW w:type="dxa" w:w="2438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Discussão e autoavaliação</w:t>
            </w:r>
          </w:p>
        </w:tc>
        <w:tc>
          <w:tcPr>
            <w:tcW w:type="dxa" w:w="4139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revisão da frase inicial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Extensão opcional:</w:t>
      </w:r>
      <w:r>
        <w:t xml:space="preserve"> </w:t>
      </w:r>
      <w:r>
        <w:t xml:space="preserve">usar a seção 10 e a atividade 8 junto ao notebook. O roteiro e os tempos são propostas pedagógicas; podem ser ajustados à familiaridade da turma com porcentagens.</w:t>
      </w:r>
    </w:p>
    <w:bookmarkEnd w:id="91"/>
    <w:bookmarkStart w:id="92" w:name="Xd375fcb56b1c8d2af7aad6ba5f1a206bedd69f3"/>
    <w:p>
      <w:pPr>
        <w:pStyle w:val="Heading2"/>
      </w:pPr>
      <w:r>
        <w:t xml:space="preserve">Critérios para revisar a resposta do estudante</w:t>
      </w:r>
    </w:p>
    <w:p>
      <w:pPr>
        <w:pStyle w:val="FirstParagraph"/>
      </w:pPr>
      <w:r>
        <w:t xml:space="preserve">Uma resposta satisfatória identifica o evento e a referência, usa a unidade correta, distingue odds de probabilidade, explicita as variáveis de ajuste quando cabível e considera a incerteza disponível. Uma resposta com a conta correta, mas que chama OR de risco relativo sem justificativa, precisa ser revisada.</w:t>
      </w:r>
    </w:p>
    <w:bookmarkEnd w:id="92"/>
    <w:bookmarkStart w:id="93" w:name="matriz-de-rastreabilidade"/>
    <w:p>
      <w:pPr>
        <w:pStyle w:val="Heading2"/>
      </w:pPr>
      <w:r>
        <w:t xml:space="preserve">Matriz de rastreabilidade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94"/>
        <w:gridCol w:w="2438"/>
        <w:gridCol w:w="4139"/>
      </w:tblGrid>
      <w:tr>
        <w:trPr>
          <w:tblHeader w:val="on"/>
          <w:cantSplit/>
          <w:tblHeader/>
        </w:trPr>
        <w:tc>
          <w:tcPr>
            <w:tcW w:type="dxa" w:w="2494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Objetivo</w:t>
            </w:r>
          </w:p>
        </w:tc>
        <w:tc>
          <w:tcPr>
            <w:tcW w:type="dxa" w:w="2438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Seções / atividade</w:t>
            </w:r>
          </w:p>
        </w:tc>
        <w:tc>
          <w:tcPr>
            <w:tcW w:type="dxa" w:w="4139"/>
            <w:shd w:fill="EAF2F6"/>
          </w:tcPr>
          <w:p>
            <w:pPr>
              <w:pStyle w:val="Compact"/>
              <w:keepNext/>
              <w:spacing w:before="60" w:after="80" w:line="250" w:lineRule="auto"/>
            </w:pPr>
            <w:r>
              <w:rPr>
                <w:b/>
                <w:color w:val="005373"/>
                <w:sz w:val="20"/>
              </w:rPr>
              <w:t xml:space="preserve">Base</w:t>
            </w:r>
          </w:p>
        </w:tc>
      </w:tr>
      <w:tr>
        <w:trPr>
          <w:cantSplit/>
        </w:trPr>
        <w:tc>
          <w:tcPr>
            <w:tcW w:type="dxa" w:w="2494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Reconhecer o desfecho binário</w:t>
            </w:r>
          </w:p>
        </w:tc>
        <w:tc>
          <w:tcPr>
            <w:tcW w:type="dxa" w:w="2438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1 e 5</w:t>
            </w:r>
          </w:p>
        </w:tc>
        <w:tc>
          <w:tcPr>
            <w:tcW w:type="dxa" w:w="4139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[1] e [10]</w:t>
            </w:r>
          </w:p>
        </w:tc>
      </w:tr>
      <w:tr>
        <w:trPr>
          <w:cantSplit/>
        </w:trPr>
        <w:tc>
          <w:tcPr>
            <w:tcW w:type="dxa" w:w="2494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Distinguir probabilidade, odds e OR</w:t>
            </w:r>
          </w:p>
        </w:tc>
        <w:tc>
          <w:tcPr>
            <w:tcW w:type="dxa" w:w="2438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2–4; atividades 1, 2 e 5</w:t>
            </w:r>
          </w:p>
        </w:tc>
        <w:tc>
          <w:tcPr>
            <w:tcW w:type="dxa" w:w="4139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[2] e [3]</w:t>
            </w:r>
          </w:p>
        </w:tc>
      </w:tr>
      <w:tr>
        <w:trPr>
          <w:cantSplit/>
        </w:trPr>
        <w:tc>
          <w:tcPr>
            <w:tcW w:type="dxa" w:w="2494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Interpretar coeficientes e intercepto</w:t>
            </w:r>
          </w:p>
        </w:tc>
        <w:tc>
          <w:tcPr>
            <w:tcW w:type="dxa" w:w="2438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5–6; atividade 3</w:t>
            </w:r>
          </w:p>
        </w:tc>
        <w:tc>
          <w:tcPr>
            <w:tcW w:type="dxa" w:w="4139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[1], [2] e [4]</w:t>
            </w:r>
          </w:p>
        </w:tc>
      </w:tr>
      <w:tr>
        <w:trPr>
          <w:cantSplit/>
        </w:trPr>
        <w:tc>
          <w:tcPr>
            <w:tcW w:type="dxa" w:w="2494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Declarar unidade, referência e ajuste</w:t>
            </w:r>
          </w:p>
        </w:tc>
        <w:tc>
          <w:tcPr>
            <w:tcW w:type="dxa" w:w="2438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7–8; atividades 4 e 7</w:t>
            </w:r>
          </w:p>
        </w:tc>
        <w:tc>
          <w:tcPr>
            <w:tcW w:type="dxa" w:w="4139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[4], [5], [6] e [9]</w:t>
            </w:r>
          </w:p>
        </w:tc>
      </w:tr>
      <w:tr>
        <w:trPr>
          <w:cantSplit/>
        </w:trPr>
        <w:tc>
          <w:tcPr>
            <w:tcW w:type="dxa" w:w="2494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Ler incerteza</w:t>
            </w:r>
          </w:p>
        </w:tc>
        <w:tc>
          <w:tcPr>
            <w:tcW w:type="dxa" w:w="2438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9; atividade 6</w:t>
            </w:r>
          </w:p>
        </w:tc>
        <w:tc>
          <w:tcPr>
            <w:tcW w:type="dxa" w:w="4139"/>
            <w:shd w:fill="FFFFFF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[7] e [8]</w:t>
            </w:r>
          </w:p>
        </w:tc>
      </w:tr>
      <w:tr>
        <w:trPr>
          <w:cantSplit/>
        </w:trPr>
        <w:tc>
          <w:tcPr>
            <w:tcW w:type="dxa" w:w="2494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Transferir ao notebook</w:t>
            </w:r>
          </w:p>
        </w:tc>
        <w:tc>
          <w:tcPr>
            <w:tcW w:type="dxa" w:w="2438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10; atividade 8</w:t>
            </w:r>
          </w:p>
        </w:tc>
        <w:tc>
          <w:tcPr>
            <w:tcW w:type="dxa" w:w="4139"/>
            <w:shd w:fill="F7F9FA"/>
          </w:tcPr>
          <w:p>
            <w:pPr>
              <w:pStyle w:val="Compact"/>
              <w:keepNext w:val="0"/>
              <w:spacing w:before="60" w:after="80" w:line="250" w:lineRule="auto"/>
            </w:pPr>
            <w:r>
              <w:rPr>
                <w:sz w:val="20"/>
              </w:rPr>
              <w:t xml:space="preserve">[8]</w:t>
            </w:r>
          </w:p>
        </w:tc>
      </w:tr>
    </w:tbl>
    <w:p>
      <w:pPr>
        <w:pStyle w:val="BodyText"/>
      </w:pPr>
      <w:r>
        <w:rPr>
          <w:b/>
          <w:bCs/>
        </w:rPr>
        <w:t xml:space="preserve">Escopo da simplificação.</w:t>
      </w:r>
      <w:r>
        <w:t xml:space="preserve"> </w:t>
      </w:r>
      <w:r>
        <w:t xml:space="preserve">O núcleo trata da interpretação de modelos binários com termos lineares na log-odds e sem interações. Seleção de variáveis, diagnóstico de ajuste, separação, validação preditiva, análise do desenho amostral e métodos de inferência causal exigem estudo adicional. Os cálculos ilustram as relações matemáticas; não avaliam a adequação de um modelo para uso em saúde.</w:t>
      </w:r>
    </w:p>
    <w:bookmarkEnd w:id="93"/>
    <w:bookmarkEnd w:id="94"/>
    <w:sectPr w:rsidR="00FC693F" w:rsidRPr="0006063C" w:rsidSect="00034616">
      <w:footerReference r:id="rId9" w:type="default"/>
      <w:pgSz w:h="16838" w:w="11906"/>
      <w:pgMar w:bottom="1417" w:footer="680" w:gutter="0" w:header="68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pt-BR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40" w:line="269" w:lineRule="auto"/>
    </w:pPr>
    <w:rPr>
      <w:rFonts w:ascii="Aptos" w:hAnsi="Aptos"/>
      <w:sz w:val="23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00"/>
      <w:outlineLvl w:val="0"/>
    </w:pPr>
    <w:rPr>
      <w:rFonts w:ascii="Aptos" w:asciiTheme="majorHAnsi" w:cstheme="majorBidi" w:eastAsiaTheme="majorEastAsia" w:hAnsi="Aptos" w:hAnsiTheme="majorHAnsi"/>
      <w:b w:val="0"/>
      <w:bCs/>
      <w:color w:val="005373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300"/>
      <w:outlineLvl w:val="1"/>
    </w:pPr>
    <w:rPr>
      <w:rFonts w:ascii="Aptos" w:asciiTheme="majorHAnsi" w:cstheme="majorBidi" w:eastAsiaTheme="majorEastAsia" w:hAnsi="Aptos" w:hAnsiTheme="majorHAnsi"/>
      <w:b w:val="0"/>
      <w:bCs/>
      <w:color w:val="005373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60" w:before="300"/>
      <w:outlineLvl w:val="2"/>
    </w:pPr>
    <w:rPr>
      <w:rFonts w:ascii="Aptos" w:asciiTheme="majorHAnsi" w:cstheme="majorBidi" w:eastAsiaTheme="majorEastAsia" w:hAnsi="Aptos" w:hAnsiTheme="majorHAnsi"/>
      <w:b w:val="0"/>
      <w:bCs/>
      <w:color w:val="00537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100" w:line="240" w:lineRule="auto"/>
      <w:contextualSpacing/>
    </w:pPr>
    <w:rPr>
      <w:rFonts w:ascii="Aptos" w:asciiTheme="majorHAnsi" w:cstheme="majorBidi" w:eastAsiaTheme="majorEastAsia" w:hAnsi="Aptos" w:hAnsiTheme="majorHAnsi"/>
      <w:b w:val="0"/>
      <w:color w:val="005373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 w:before="100"/>
    </w:pPr>
    <w:rPr>
      <w:rFonts w:ascii="Aptos" w:asciiTheme="majorHAnsi" w:cstheme="majorBidi" w:eastAsiaTheme="majorEastAsia" w:hAnsi="Aptos" w:hAnsiTheme="majorHAnsi"/>
      <w:b w:val="0"/>
      <w:i/>
      <w:iCs/>
      <w:color w:val="005373"/>
      <w:spacing w:val="15"/>
      <w:sz w:val="3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35" Type="http://schemas.openxmlformats.org/officeDocument/2006/relationships/image" Target="media/rId35.png"/><Relationship Id="rId54" Type="http://schemas.openxmlformats.org/officeDocument/2006/relationships/image" Target="media/rId54.png"/><Relationship Id="rId23" Type="http://schemas.openxmlformats.org/officeDocument/2006/relationships/image" Target="media/rId23.png"/><Relationship Id="rId87" Type="http://schemas.openxmlformats.org/officeDocument/2006/relationships/hyperlink" Target="../../notebooks/02_aprendizado_supervisionado_vers&#227;o_minima.ipynb" TargetMode="External"/></Relationships>
</file>

<file path=word/_rels/footnotes.xml.rels><?xml version='1.0' encoding='UTF-8' standalone='yes'?>
<Relationships xmlns="http://schemas.openxmlformats.org/package/2006/relationships"><Relationship Id="rId87" Type="http://schemas.openxmlformats.org/officeDocument/2006/relationships/hyperlink" Target="../../notebooks/02_aprendizado_supervisionado_vers&#227;o_minima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 probabilidade à interpretação</dc:title>
  <dc:creator>Aprendizado de Máquina para Saúde</dc:creator>
  <dc:language>pt-BR</dc:language>
  <cp:keywords/>
  <dcterms:created xsi:type="dcterms:W3CDTF">2026-09-14T16:50:42Z</dcterms:created>
  <dcterms:modified xsi:type="dcterms:W3CDTF">2026-09-14T16:50:42Z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Proposta didática · setembro de 2026</vt:lpwstr>
  </property>
  <property fmtid="{D5CDD505-2E9C-101B-9397-08002B2CF9AE}" pid="3" name="subtitle">
    <vt:lpwstr>Regressão logística, coeficientes, odds e odds ratio</vt:lpwstr>
  </property>
  <property fmtid="{D5CDD505-2E9C-101B-9397-08002B2CF9AE}" pid="4" name="toc-title">
    <vt:lpwstr>Sumário</vt:lpwstr>
  </property>
</Properties>
</file>