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FLAVIO MOCERI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0e4194"/>
                <w:sz w:val="18"/>
                <w:szCs w:val="18"/>
              </w:rPr>
              <w:drawing>
                <wp:inline distB="114300" distT="114300" distL="114300" distR="114300">
                  <wp:extent cx="1457325" cy="1224010"/>
                  <wp:effectExtent b="0" l="0" r="0" t="0"/>
                  <wp:docPr id="2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224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Via Cesare Balbo, 6    Campobello di Mazara 91021 TP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388 328 9985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moceri.flavio@liceicastelvetrano.edu.it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2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https://portfolio-flavio.vercel.app/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https://api.whatsapp.com/send/?phone=393883289985&amp;text&amp;app_absent=0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2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Maschio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Data di nascita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14-03-2004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Nazionalità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Italiana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0e4194"/>
                <w:sz w:val="18"/>
                <w:szCs w:val="18"/>
                <w:rtl w:val="0"/>
              </w:rPr>
              <w:t xml:space="preserve">OCCUPA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ZIONE PER LA QUALE SI CONCORRE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POSIZIONE RICOPERTA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OCCUPAZIONE DESIDERATA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TITOLO DI STUDIO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Οbiettivo professionale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Seguito il percorso di studi liceali presso il liceo scientifico “Michele Cipolla”, richiedente lavoro come programmatore.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ISTRUZIONE E FORMAZIONE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7265" cy="89535"/>
                  <wp:effectExtent b="0" l="0" r="0" t="0"/>
                  <wp:docPr id="2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89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Sostituire con date (</w:t>
            </w: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2018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</w:t>
            </w: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2022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e4194"/>
                <w:sz w:val="22"/>
                <w:szCs w:val="22"/>
                <w:rtl w:val="0"/>
              </w:rPr>
              <w:t xml:space="preserve">Diploma liceale Liceo Scientifico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Presso il liceo Scientifico “Michele Cipolla” di Castelvetrano in Sicilia, Castelvetrano 91022 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Matematica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Fisica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Scienze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Informatica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Italiano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Filosofia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PERSONALI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7265" cy="89535"/>
                  <wp:effectExtent b="0" l="0" r="0" t="0"/>
                  <wp:docPr id="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89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 madre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Italiano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Altre lingue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COMPRENSIONE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PARLATO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PRODUZIONE SCRITTA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Ascolto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Lettura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Interazione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Produzione orale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Inglese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Generale: 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Livelli: A1/A2: Utente base  -  B1/B2: Utente intermedio  -  C1/C2: Utente avanzato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Quadro Comune Europeo di Riferimento delle Lingue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comunicative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Problem Solving. Abbiamo sempre pensato al problem solving come un processo rigoroso e razionale. ...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Creatività L'abilità di innovare è quella che fa davvero la differenza. ...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Negoziazione. ...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Lateral Thinking. ...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Capacità decisionale. ...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Team Management. ...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Intelligenza emotiva. ...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113"/>
              <w:rPr>
                <w:rFonts w:ascii="Arial" w:cs="Arial" w:eastAsia="Arial" w:hAnsi="Arial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Pensiero Critico…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digitali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AUTOVALUTAZIONE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Elaborazione delle informazioni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Comunicazione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Creazione di Contenuti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Sicurezza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Risoluzione di problemi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Livelli: Utente base  -  Utente intermedio  -  Utente avanzato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Competenze digitali - Scheda per l'autovalutazione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Sostituire con il nome dei certificati 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 le varie competenze acquisite tramite certificazione possiamo trovare: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Certificato ECDL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Patente di guida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Sostituire con la categoria/e della patente di guida.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ULTERIORI INFORMAZIONI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7265" cy="89535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89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Pubblicazioni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Progett</w:t>
            </w: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e4194"/>
                <w:sz w:val="18"/>
                <w:szCs w:val="18"/>
                <w:rtl w:val="0"/>
              </w:rPr>
              <w:t xml:space="preserve">Certificati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Progetto Curriculum Europass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Sito personale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Certificato ECDL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Dati personali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Autorizzo il trattamento dei miei dati personali ai sensi del Decreto Legislativo 30 giugno 2003, n. 196 "Codice in materia di protezione dei dati personali”.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587" w:top="1644" w:left="850" w:right="680" w:header="850" w:footer="5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M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835"/>
        <w:tab w:val="left" w:pos="10205"/>
        <w:tab w:val="left" w:pos="2835"/>
        <w:tab w:val="right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Unione europea, 2002-2018 | europass.cedefop.europa.eu </w:t>
      <w:tab/>
      <w:t xml:space="preserve">Pagina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835"/>
        <w:tab w:val="left" w:pos="1020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835"/>
        <w:tab w:val="left" w:pos="10205"/>
        <w:tab w:val="left" w:pos="2835"/>
        <w:tab w:val="right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Unione europea, 2002-2018 | europass.cedefop.europa.eu </w:t>
      <w:tab/>
      <w:t xml:space="preserve">Pagina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</w:t>
    </w:r>
    <w:r w:rsidDel="00000000" w:rsidR="00000000" w:rsidRPr="00000000">
      <w:rPr>
        <w:color w:val="1593cb"/>
        <w:sz w:val="20"/>
        <w:szCs w:val="20"/>
        <w:rtl w:val="0"/>
      </w:rPr>
      <w:t xml:space="preserve">FLAVIO MOCERI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</w:t>
    </w:r>
    <w:r w:rsidDel="00000000" w:rsidR="00000000" w:rsidRPr="00000000">
      <w:rPr>
        <w:color w:val="1593cb"/>
        <w:sz w:val="20"/>
        <w:szCs w:val="20"/>
        <w:rtl w:val="0"/>
      </w:rPr>
      <w:t xml:space="preserve">Flavio Moceri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103"/>
        <w:tab w:val="right" w:pos="102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f3a38"/>
        <w:sz w:val="16"/>
        <w:szCs w:val="16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Titolo1">
    <w:name w:val="heading 1"/>
    <w:basedOn w:val="Heading"/>
    <w:next w:val="Corpotesto"/>
    <w:qFormat w:val="1"/>
    <w:pPr>
      <w:outlineLvl w:val="0"/>
    </w:pPr>
    <w:rPr>
      <w:b w:val="1"/>
      <w:bCs w:val="1"/>
      <w:sz w:val="32"/>
      <w:szCs w:val="32"/>
    </w:rPr>
  </w:style>
  <w:style w:type="paragraph" w:styleId="Titolo2">
    <w:name w:val="heading 2"/>
    <w:basedOn w:val="Heading"/>
    <w:next w:val="Corpotesto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  <w:lang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Collegamentovisitato">
    <w:name w:val="FollowedHyperlink"/>
    <w:rPr>
      <w:color w:val="800000"/>
      <w:u w:val="single"/>
      <w:lang/>
    </w:rPr>
  </w:style>
  <w:style w:type="paragraph" w:styleId="Heading" w:customStyle="1">
    <w:name w:val="Heading"/>
    <w:basedOn w:val="Normale"/>
    <w:next w:val="Corpotesto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e"/>
    <w:pPr>
      <w:suppressLineNumbers w:val="1"/>
    </w:pPr>
  </w:style>
  <w:style w:type="paragraph" w:styleId="TableContents" w:customStyle="1">
    <w:name w:val="Table Contents"/>
    <w:basedOn w:val="Normale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Didascalia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Normale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Normale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Corpotesto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Normale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Normale"/>
  </w:style>
  <w:style w:type="paragraph" w:styleId="ECVBusinessSectorRow" w:customStyle="1">
    <w:name w:val="_ECV_BusinessSectorRow"/>
    <w:basedOn w:val="Normale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Normale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Normale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Normale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hyperlink" Target="https://api.whatsapp.com/send/?phone=393883289985&amp;text&amp;app_absent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europass.cedefop.europa.eu/it/resources/european-language-levels-cefr" TargetMode="External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yperlink" Target="http://europass.cedefop.europa.eu/it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SXUpQSZENCU9dOnwEhoPdy29XA==">AMUW2mUdRcVlUMIztpl9Y6rjXEwc2fWKq/G3U6EaAlOHJfYzwLjCAtJ+rW8xMk6/lcbOK/2E2pKzEJHsFa+vPD/mAhkRlP3iVMlCbtLOTvzu3TajVvgxVtQ=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