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9" w:lineRule="auto"/>
        <w:jc w:val="center"/>
      </w:pPr>
      <w:r>
        <w:rPr>
          <w:b/>
          <w:color w:val="3F2D23"/>
          <w:sz w:val="44"/>
        </w:rPr>
        <w:t>GUIA DE ATENDIMENTO AO CLIENTE</w:t>
      </w:r>
    </w:p>
    <w:p>
      <w:pPr>
        <w:spacing w:after="80" w:line="259" w:lineRule="auto"/>
        <w:jc w:val="center"/>
      </w:pPr>
      <w:r>
        <w:rPr>
          <w:b/>
          <w:color w:val="6F4E37"/>
          <w:sz w:val="32"/>
        </w:rPr>
        <w:t>Café Aurora</w:t>
      </w:r>
    </w:p>
    <w:p>
      <w:pPr>
        <w:spacing w:after="80" w:line="259" w:lineRule="auto"/>
      </w:pP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shd w:fill="6F4E37"/>
          </w:tcPr>
          <w:p>
            <w:pPr>
              <w:spacing w:after="0" w:before="0"/>
            </w:pPr>
            <w:r/>
            <w:r>
              <w:rPr>
                <w:b/>
                <w:color w:val="FFFFFF"/>
                <w:sz w:val="18"/>
              </w:rPr>
              <w:t>Código</w:t>
            </w:r>
          </w:p>
        </w:tc>
        <w:tc>
          <w:tcPr>
            <w:tcW w:type="dxa" w:w="5040"/>
            <w:vAlign w:val="center"/>
          </w:tcPr>
          <w:p>
            <w:pPr>
              <w:spacing w:after="0" w:before="0"/>
            </w:pPr>
            <w:r/>
            <w:r>
              <w:rPr>
                <w:b w:val="0"/>
                <w:sz w:val="18"/>
              </w:rPr>
              <w:t>CA-QUA-GUI-001</w:t>
            </w:r>
          </w:p>
        </w:tc>
      </w:tr>
      <w:tr>
        <w:tc>
          <w:tcPr>
            <w:tcW w:type="dxa" w:w="5040"/>
            <w:vAlign w:val="center"/>
            <w:shd w:fill="6F4E37"/>
          </w:tcPr>
          <w:p>
            <w:pPr>
              <w:spacing w:after="0" w:before="0"/>
            </w:pPr>
            <w:r/>
            <w:r>
              <w:rPr>
                <w:b/>
                <w:color w:val="FFFFFF"/>
                <w:sz w:val="18"/>
              </w:rPr>
              <w:t>Título</w:t>
            </w:r>
          </w:p>
        </w:tc>
        <w:tc>
          <w:tcPr>
            <w:tcW w:type="dxa" w:w="5040"/>
            <w:vAlign w:val="center"/>
          </w:tcPr>
          <w:p>
            <w:pPr>
              <w:spacing w:after="0" w:before="0"/>
            </w:pPr>
            <w:r/>
            <w:r>
              <w:rPr>
                <w:b w:val="0"/>
                <w:sz w:val="18"/>
              </w:rPr>
              <w:t>Guia de Atendimento ao Cliente</w:t>
            </w:r>
          </w:p>
        </w:tc>
      </w:tr>
      <w:tr>
        <w:tc>
          <w:tcPr>
            <w:tcW w:type="dxa" w:w="5040"/>
            <w:vAlign w:val="center"/>
            <w:shd w:fill="6F4E37"/>
          </w:tcPr>
          <w:p>
            <w:pPr>
              <w:spacing w:after="0" w:before="0"/>
            </w:pPr>
            <w:r/>
            <w:r>
              <w:rPr>
                <w:b/>
                <w:color w:val="FFFFFF"/>
                <w:sz w:val="18"/>
              </w:rPr>
              <w:t>Versão</w:t>
            </w:r>
          </w:p>
        </w:tc>
        <w:tc>
          <w:tcPr>
            <w:tcW w:type="dxa" w:w="5040"/>
            <w:vAlign w:val="center"/>
          </w:tcPr>
          <w:p>
            <w:pPr>
              <w:spacing w:after="0" w:before="0"/>
            </w:pPr>
            <w:r/>
            <w:r>
              <w:rPr>
                <w:b w:val="0"/>
                <w:sz w:val="18"/>
              </w:rPr>
              <w:t>1.0</w:t>
            </w:r>
          </w:p>
        </w:tc>
      </w:tr>
      <w:tr>
        <w:tc>
          <w:tcPr>
            <w:tcW w:type="dxa" w:w="5040"/>
            <w:vAlign w:val="center"/>
            <w:shd w:fill="6F4E37"/>
          </w:tcPr>
          <w:p>
            <w:pPr>
              <w:spacing w:after="0" w:before="0"/>
            </w:pPr>
            <w:r/>
            <w:r>
              <w:rPr>
                <w:b/>
                <w:color w:val="FFFFFF"/>
                <w:sz w:val="18"/>
              </w:rPr>
              <w:t>Publicação</w:t>
            </w:r>
          </w:p>
        </w:tc>
        <w:tc>
          <w:tcPr>
            <w:tcW w:type="dxa" w:w="5040"/>
            <w:vAlign w:val="center"/>
          </w:tcPr>
          <w:p>
            <w:pPr>
              <w:spacing w:after="0" w:before="0"/>
            </w:pPr>
            <w:r/>
            <w:r>
              <w:rPr>
                <w:b w:val="0"/>
                <w:sz w:val="18"/>
              </w:rPr>
              <w:t>22/01/2026</w:t>
            </w:r>
          </w:p>
        </w:tc>
      </w:tr>
      <w:tr>
        <w:tc>
          <w:tcPr>
            <w:tcW w:type="dxa" w:w="5040"/>
            <w:vAlign w:val="center"/>
            <w:shd w:fill="6F4E37"/>
          </w:tcPr>
          <w:p>
            <w:pPr>
              <w:spacing w:after="0" w:before="0"/>
            </w:pPr>
            <w:r/>
            <w:r>
              <w:rPr>
                <w:b/>
                <w:color w:val="FFFFFF"/>
                <w:sz w:val="18"/>
              </w:rPr>
              <w:t>Vigência</w:t>
            </w:r>
          </w:p>
        </w:tc>
        <w:tc>
          <w:tcPr>
            <w:tcW w:type="dxa" w:w="5040"/>
            <w:vAlign w:val="center"/>
          </w:tcPr>
          <w:p>
            <w:pPr>
              <w:spacing w:after="0" w:before="0"/>
            </w:pPr>
            <w:r/>
            <w:r>
              <w:rPr>
                <w:b w:val="0"/>
                <w:sz w:val="18"/>
              </w:rPr>
              <w:t>25/01/2026</w:t>
            </w:r>
          </w:p>
        </w:tc>
      </w:tr>
      <w:tr>
        <w:tc>
          <w:tcPr>
            <w:tcW w:type="dxa" w:w="5040"/>
            <w:vAlign w:val="center"/>
            <w:shd w:fill="6F4E37"/>
          </w:tcPr>
          <w:p>
            <w:pPr>
              <w:spacing w:after="0" w:before="0"/>
            </w:pPr>
            <w:r/>
            <w:r>
              <w:rPr>
                <w:b/>
                <w:color w:val="FFFFFF"/>
                <w:sz w:val="18"/>
              </w:rPr>
              <w:t>Área responsável</w:t>
            </w:r>
          </w:p>
        </w:tc>
        <w:tc>
          <w:tcPr>
            <w:tcW w:type="dxa" w:w="5040"/>
            <w:vAlign w:val="center"/>
          </w:tcPr>
          <w:p>
            <w:pPr>
              <w:spacing w:after="0" w:before="0"/>
            </w:pPr>
            <w:r/>
            <w:r>
              <w:rPr>
                <w:b w:val="0"/>
                <w:sz w:val="18"/>
              </w:rPr>
              <w:t>Qualidade</w:t>
            </w:r>
          </w:p>
        </w:tc>
      </w:tr>
      <w:tr>
        <w:tc>
          <w:tcPr>
            <w:tcW w:type="dxa" w:w="5040"/>
            <w:vAlign w:val="center"/>
            <w:shd w:fill="6F4E37"/>
          </w:tcPr>
          <w:p>
            <w:pPr>
              <w:spacing w:after="0" w:before="0"/>
            </w:pPr>
            <w:r/>
            <w:r>
              <w:rPr>
                <w:b/>
                <w:color w:val="FFFFFF"/>
                <w:sz w:val="18"/>
              </w:rPr>
              <w:t>Áreas colaboradoras</w:t>
            </w:r>
          </w:p>
        </w:tc>
        <w:tc>
          <w:tcPr>
            <w:tcW w:type="dxa" w:w="5040"/>
            <w:vAlign w:val="center"/>
          </w:tcPr>
          <w:p>
            <w:pPr>
              <w:spacing w:after="0" w:before="0"/>
            </w:pPr>
            <w:r/>
            <w:r>
              <w:rPr>
                <w:b w:val="0"/>
                <w:sz w:val="18"/>
              </w:rPr>
              <w:t>Operações e Comunicação Interna</w:t>
            </w:r>
          </w:p>
        </w:tc>
      </w:tr>
      <w:tr>
        <w:tc>
          <w:tcPr>
            <w:tcW w:type="dxa" w:w="5040"/>
            <w:vAlign w:val="center"/>
            <w:shd w:fill="6F4E37"/>
          </w:tcPr>
          <w:p>
            <w:pPr>
              <w:spacing w:after="0" w:before="0"/>
            </w:pPr>
            <w:r/>
            <w:r>
              <w:rPr>
                <w:b/>
                <w:color w:val="FFFFFF"/>
                <w:sz w:val="18"/>
              </w:rPr>
              <w:t>Classificação</w:t>
            </w:r>
          </w:p>
        </w:tc>
        <w:tc>
          <w:tcPr>
            <w:tcW w:type="dxa" w:w="5040"/>
            <w:vAlign w:val="center"/>
          </w:tcPr>
          <w:p>
            <w:pPr>
              <w:spacing w:after="0" w:before="0"/>
            </w:pPr>
            <w:r/>
            <w:r>
              <w:rPr>
                <w:b w:val="0"/>
                <w:sz w:val="18"/>
              </w:rPr>
              <w:t>Uso interno</w:t>
            </w:r>
          </w:p>
        </w:tc>
      </w:tr>
    </w:tbl>
    <w:p>
      <w:pPr>
        <w:spacing w:after="80" w:line="259" w:lineRule="auto"/>
      </w:pPr>
    </w:p>
    <w:p>
      <w:pPr>
        <w:spacing w:after="80" w:line="259" w:lineRule="auto"/>
        <w:jc w:val="center"/>
      </w:pPr>
      <w:r>
        <w:rPr>
          <w:i/>
          <w:sz w:val="18"/>
        </w:rPr>
        <w:t>Material fictício desenvolvido para fins educacionais e testes de um agente corporativo de IA.</w:t>
      </w:r>
    </w:p>
    <w:p>
      <w:pPr>
        <w:pStyle w:val="Heading1"/>
        <w:spacing w:after="80" w:line="259" w:lineRule="auto"/>
      </w:pPr>
      <w:r>
        <w:t>1. Objetivo</w:t>
      </w:r>
    </w:p>
    <w:p>
      <w:pPr>
        <w:spacing w:after="80" w:line="259" w:lineRule="auto"/>
      </w:pPr>
      <w:r>
        <w:t>Este guia estabelece padrões simples e consistentes para o atendimento ao cliente nas unidades da Café Aurora. Ele orienta a equipe desde a recepção até o encerramento do atendimento, incluindo dúvidas, reclamações, erros de pedido, indisponibilidade de produtos e situações que exigem escalonamento.</w:t>
      </w:r>
    </w:p>
    <w:p>
      <w:pPr>
        <w:pStyle w:val="Heading1"/>
        <w:spacing w:after="80" w:line="259" w:lineRule="auto"/>
      </w:pPr>
      <w:r>
        <w:t>2. Abrangência</w:t>
      </w:r>
    </w:p>
    <w:p>
      <w:pPr>
        <w:spacing w:after="80" w:line="259" w:lineRule="auto"/>
      </w:pPr>
      <w:r>
        <w:t>Aplica-se a atendentes, baristas, auxiliares de cozinha, líderes de turno, gerentes de unidade e demais colaboradores que tenham contato direto ou indireto com clientes.</w:t>
      </w:r>
    </w:p>
    <w:p>
      <w:pPr>
        <w:pStyle w:val="Heading1"/>
        <w:spacing w:after="80" w:line="259" w:lineRule="auto"/>
      </w:pPr>
      <w:r>
        <w:t>3. Princípios do atendimento</w:t>
      </w:r>
    </w:p>
    <w:p>
      <w:pPr>
        <w:pStyle w:val="ListBullet"/>
        <w:spacing w:after="80" w:line="259" w:lineRule="auto"/>
      </w:pPr>
      <w:r>
        <w:t>Respeito e cordialidade em todas as interações.</w:t>
      </w:r>
    </w:p>
    <w:p>
      <w:pPr>
        <w:pStyle w:val="ListBullet"/>
        <w:spacing w:after="80" w:line="259" w:lineRule="auto"/>
      </w:pPr>
      <w:r>
        <w:t>Comunicação clara, objetiva e honesta.</w:t>
      </w:r>
    </w:p>
    <w:p>
      <w:pPr>
        <w:pStyle w:val="ListBullet"/>
        <w:spacing w:after="80" w:line="259" w:lineRule="auto"/>
      </w:pPr>
      <w:r>
        <w:t>Confirmação do pedido antes do pagamento.</w:t>
      </w:r>
    </w:p>
    <w:p>
      <w:pPr>
        <w:pStyle w:val="ListBullet"/>
        <w:spacing w:after="80" w:line="259" w:lineRule="auto"/>
      </w:pPr>
      <w:r>
        <w:t>Agilidade sem comprometer a qualidade.</w:t>
      </w:r>
    </w:p>
    <w:p>
      <w:pPr>
        <w:pStyle w:val="ListBullet"/>
        <w:spacing w:after="80" w:line="259" w:lineRule="auto"/>
      </w:pPr>
      <w:r>
        <w:t>Tratamento igualitário, sem discriminação.</w:t>
      </w:r>
    </w:p>
    <w:p>
      <w:pPr>
        <w:pStyle w:val="ListBullet"/>
        <w:spacing w:after="80" w:line="259" w:lineRule="auto"/>
      </w:pPr>
      <w:r>
        <w:t>Proteção das informações do cliente.</w:t>
      </w:r>
    </w:p>
    <w:p>
      <w:pPr>
        <w:pStyle w:val="ListBullet"/>
        <w:spacing w:after="80" w:line="259" w:lineRule="auto"/>
      </w:pPr>
      <w:r>
        <w:t>Escalonamento responsável quando a decisão ultrapassar a autoridade do colaborador.</w:t>
      </w:r>
    </w:p>
    <w:p>
      <w:pPr>
        <w:pStyle w:val="Heading1"/>
        <w:spacing w:after="80" w:line="259" w:lineRule="auto"/>
      </w:pPr>
      <w:r>
        <w:t>4. Padrão de recepção</w:t>
      </w:r>
    </w:p>
    <w:p>
      <w:pPr>
        <w:pStyle w:val="ListNumber"/>
        <w:spacing w:after="80" w:line="259" w:lineRule="auto"/>
      </w:pPr>
      <w:r>
        <w:t>Cumprimente o cliente de forma cordial.</w:t>
      </w:r>
    </w:p>
    <w:p>
      <w:pPr>
        <w:pStyle w:val="ListNumber"/>
        <w:spacing w:after="80" w:line="259" w:lineRule="auto"/>
      </w:pPr>
      <w:r>
        <w:t>Demonstre disponibilidade para ajudar.</w:t>
      </w:r>
    </w:p>
    <w:p>
      <w:pPr>
        <w:pStyle w:val="ListNumber"/>
        <w:spacing w:after="80" w:line="259" w:lineRule="auto"/>
      </w:pPr>
      <w:r>
        <w:t>Escute o pedido sem interromper.</w:t>
      </w:r>
    </w:p>
    <w:p>
      <w:pPr>
        <w:pStyle w:val="ListNumber"/>
        <w:spacing w:after="80" w:line="259" w:lineRule="auto"/>
      </w:pPr>
      <w:r>
        <w:t>Esclareça dúvidas sobre tamanhos, ingredientes e disponibilidade.</w:t>
      </w:r>
    </w:p>
    <w:p>
      <w:pPr>
        <w:pStyle w:val="ListNumber"/>
        <w:spacing w:after="80" w:line="259" w:lineRule="auto"/>
      </w:pPr>
      <w:r>
        <w:t>Confirme os principais itens antes de concluir.</w:t>
      </w:r>
    </w:p>
    <w:p>
      <w:pPr>
        <w:pStyle w:val="ListNumber"/>
        <w:spacing w:after="80" w:line="259" w:lineRule="auto"/>
      </w:pPr>
      <w:r>
        <w:t>Informe o valor e a forma de pagamento.</w:t>
      </w:r>
    </w:p>
    <w:p>
      <w:pPr>
        <w:pStyle w:val="ListNumber"/>
        <w:spacing w:after="80" w:line="259" w:lineRule="auto"/>
      </w:pPr>
      <w:r>
        <w:t>Agradeça ao final da interação.</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6F4E37"/>
          </w:tcPr>
          <w:p>
            <w:pPr>
              <w:spacing w:after="0" w:before="0"/>
            </w:pPr>
            <w:r/>
            <w:r>
              <w:rPr>
                <w:b/>
                <w:color w:val="FFFFFF"/>
                <w:sz w:val="18"/>
              </w:rPr>
              <w:t>Situação</w:t>
            </w:r>
          </w:p>
        </w:tc>
        <w:tc>
          <w:tcPr>
            <w:tcW w:type="dxa" w:w="3360"/>
            <w:vAlign w:val="center"/>
            <w:shd w:fill="6F4E37"/>
          </w:tcPr>
          <w:p>
            <w:pPr>
              <w:spacing w:after="0" w:before="0"/>
            </w:pPr>
            <w:r/>
            <w:r>
              <w:rPr>
                <w:b/>
                <w:color w:val="FFFFFF"/>
                <w:sz w:val="18"/>
              </w:rPr>
              <w:t>Conduta recomendada</w:t>
            </w:r>
          </w:p>
        </w:tc>
        <w:tc>
          <w:tcPr>
            <w:tcW w:type="dxa" w:w="3360"/>
            <w:vAlign w:val="center"/>
            <w:shd w:fill="6F4E37"/>
          </w:tcPr>
          <w:p>
            <w:pPr>
              <w:spacing w:after="0" w:before="0"/>
            </w:pPr>
            <w:r/>
            <w:r>
              <w:rPr>
                <w:b/>
                <w:color w:val="FFFFFF"/>
                <w:sz w:val="18"/>
              </w:rPr>
              <w:t>Evitar</w:t>
            </w:r>
          </w:p>
        </w:tc>
      </w:tr>
      <w:tr>
        <w:tc>
          <w:tcPr>
            <w:tcW w:type="dxa" w:w="3360"/>
            <w:vAlign w:val="center"/>
          </w:tcPr>
          <w:p>
            <w:pPr>
              <w:spacing w:after="0" w:before="0"/>
            </w:pPr>
            <w:r/>
            <w:r>
              <w:rPr>
                <w:b w:val="0"/>
                <w:sz w:val="18"/>
              </w:rPr>
              <w:t>Cliente indeciso</w:t>
            </w:r>
          </w:p>
        </w:tc>
        <w:tc>
          <w:tcPr>
            <w:tcW w:type="dxa" w:w="3360"/>
            <w:vAlign w:val="center"/>
          </w:tcPr>
          <w:p>
            <w:pPr>
              <w:spacing w:after="0" w:before="0"/>
            </w:pPr>
            <w:r/>
            <w:r>
              <w:rPr>
                <w:b w:val="0"/>
                <w:sz w:val="18"/>
              </w:rPr>
              <w:t>Apresentar duas ou três opções adequadas e explicar diferenças simples.</w:t>
            </w:r>
          </w:p>
        </w:tc>
        <w:tc>
          <w:tcPr>
            <w:tcW w:type="dxa" w:w="3360"/>
            <w:vAlign w:val="center"/>
          </w:tcPr>
          <w:p>
            <w:pPr>
              <w:spacing w:after="0" w:before="0"/>
            </w:pPr>
            <w:r/>
            <w:r>
              <w:rPr>
                <w:b w:val="0"/>
                <w:sz w:val="18"/>
              </w:rPr>
              <w:t>Pressionar ou escolher pelo cliente.</w:t>
            </w:r>
          </w:p>
        </w:tc>
      </w:tr>
      <w:tr>
        <w:tc>
          <w:tcPr>
            <w:tcW w:type="dxa" w:w="3360"/>
            <w:vAlign w:val="center"/>
          </w:tcPr>
          <w:p>
            <w:pPr>
              <w:spacing w:after="0" w:before="0"/>
            </w:pPr>
            <w:r/>
            <w:r>
              <w:rPr>
                <w:b w:val="0"/>
                <w:sz w:val="18"/>
              </w:rPr>
              <w:t>Fila longa</w:t>
            </w:r>
          </w:p>
        </w:tc>
        <w:tc>
          <w:tcPr>
            <w:tcW w:type="dxa" w:w="3360"/>
            <w:vAlign w:val="center"/>
          </w:tcPr>
          <w:p>
            <w:pPr>
              <w:spacing w:after="0" w:before="0"/>
            </w:pPr>
            <w:r/>
            <w:r>
              <w:rPr>
                <w:b w:val="0"/>
                <w:sz w:val="18"/>
              </w:rPr>
              <w:t>Manter objetividade e informar possíveis atrasos.</w:t>
            </w:r>
          </w:p>
        </w:tc>
        <w:tc>
          <w:tcPr>
            <w:tcW w:type="dxa" w:w="3360"/>
            <w:vAlign w:val="center"/>
          </w:tcPr>
          <w:p>
            <w:pPr>
              <w:spacing w:after="0" w:before="0"/>
            </w:pPr>
            <w:r/>
            <w:r>
              <w:rPr>
                <w:b w:val="0"/>
                <w:sz w:val="18"/>
              </w:rPr>
              <w:t>Ignorar clientes ou prometer prazo impossível.</w:t>
            </w:r>
          </w:p>
        </w:tc>
      </w:tr>
      <w:tr>
        <w:tc>
          <w:tcPr>
            <w:tcW w:type="dxa" w:w="3360"/>
            <w:vAlign w:val="center"/>
          </w:tcPr>
          <w:p>
            <w:pPr>
              <w:spacing w:after="0" w:before="0"/>
            </w:pPr>
            <w:r/>
            <w:r>
              <w:rPr>
                <w:b w:val="0"/>
                <w:sz w:val="18"/>
              </w:rPr>
              <w:t>Produto indisponível</w:t>
            </w:r>
          </w:p>
        </w:tc>
        <w:tc>
          <w:tcPr>
            <w:tcW w:type="dxa" w:w="3360"/>
            <w:vAlign w:val="center"/>
          </w:tcPr>
          <w:p>
            <w:pPr>
              <w:spacing w:after="0" w:before="0"/>
            </w:pPr>
            <w:r/>
            <w:r>
              <w:rPr>
                <w:b w:val="0"/>
                <w:sz w:val="18"/>
              </w:rPr>
              <w:t>Informar antes do pagamento e sugerir alternativas semelhantes.</w:t>
            </w:r>
          </w:p>
        </w:tc>
        <w:tc>
          <w:tcPr>
            <w:tcW w:type="dxa" w:w="3360"/>
            <w:vAlign w:val="center"/>
          </w:tcPr>
          <w:p>
            <w:pPr>
              <w:spacing w:after="0" w:before="0"/>
            </w:pPr>
            <w:r/>
            <w:r>
              <w:rPr>
                <w:b w:val="0"/>
                <w:sz w:val="18"/>
              </w:rPr>
              <w:t>Ocultar a indisponibilidade.</w:t>
            </w:r>
          </w:p>
        </w:tc>
      </w:tr>
      <w:tr>
        <w:tc>
          <w:tcPr>
            <w:tcW w:type="dxa" w:w="3360"/>
            <w:vAlign w:val="center"/>
          </w:tcPr>
          <w:p>
            <w:pPr>
              <w:spacing w:after="0" w:before="0"/>
            </w:pPr>
            <w:r/>
            <w:r>
              <w:rPr>
                <w:b w:val="0"/>
                <w:sz w:val="18"/>
              </w:rPr>
              <w:t>Dúvida sobre alergênicos</w:t>
            </w:r>
          </w:p>
        </w:tc>
        <w:tc>
          <w:tcPr>
            <w:tcW w:type="dxa" w:w="3360"/>
            <w:vAlign w:val="center"/>
          </w:tcPr>
          <w:p>
            <w:pPr>
              <w:spacing w:after="0" w:before="0"/>
            </w:pPr>
            <w:r/>
            <w:r>
              <w:rPr>
                <w:b w:val="0"/>
                <w:sz w:val="18"/>
              </w:rPr>
              <w:t>Consultar o catálogo e alertar sobre contato cruzado.</w:t>
            </w:r>
          </w:p>
        </w:tc>
        <w:tc>
          <w:tcPr>
            <w:tcW w:type="dxa" w:w="3360"/>
            <w:vAlign w:val="center"/>
          </w:tcPr>
          <w:p>
            <w:pPr>
              <w:spacing w:after="0" w:before="0"/>
            </w:pPr>
            <w:r/>
            <w:r>
              <w:rPr>
                <w:b w:val="0"/>
                <w:sz w:val="18"/>
              </w:rPr>
              <w:t>Garantir segurança absoluta.</w:t>
            </w:r>
          </w:p>
        </w:tc>
      </w:tr>
    </w:tbl>
    <w:p>
      <w:pPr>
        <w:pStyle w:val="Heading1"/>
        <w:spacing w:after="80" w:line="259" w:lineRule="auto"/>
      </w:pPr>
      <w:r>
        <w:t>5. Confirmação do pedido</w:t>
      </w:r>
    </w:p>
    <w:p>
      <w:pPr>
        <w:pStyle w:val="ListBullet"/>
        <w:spacing w:after="80" w:line="259" w:lineRule="auto"/>
      </w:pPr>
      <w:r>
        <w:t>Repita os itens principais, tamanhos e quantidades.</w:t>
      </w:r>
    </w:p>
    <w:p>
      <w:pPr>
        <w:pStyle w:val="ListBullet"/>
        <w:spacing w:after="80" w:line="259" w:lineRule="auto"/>
      </w:pPr>
      <w:r>
        <w:t>Confirme consumo local ou viagem.</w:t>
      </w:r>
    </w:p>
    <w:p>
      <w:pPr>
        <w:pStyle w:val="ListBullet"/>
        <w:spacing w:after="80" w:line="259" w:lineRule="auto"/>
      </w:pPr>
      <w:r>
        <w:t>Confirme alternativas de leite e personalizações.</w:t>
      </w:r>
    </w:p>
    <w:p>
      <w:pPr>
        <w:pStyle w:val="ListBullet"/>
        <w:spacing w:after="80" w:line="259" w:lineRule="auto"/>
      </w:pPr>
      <w:r>
        <w:t>Informe acréscimos de preço antes da conclusão.</w:t>
      </w:r>
    </w:p>
    <w:p>
      <w:pPr>
        <w:pStyle w:val="ListBullet"/>
        <w:spacing w:after="80" w:line="259" w:lineRule="auto"/>
      </w:pPr>
      <w:r>
        <w:t>Aplique apenas promoções válidas no sistema.</w:t>
      </w:r>
    </w:p>
    <w:p>
      <w:pPr>
        <w:pStyle w:val="ListBullet"/>
        <w:spacing w:after="80" w:line="259" w:lineRule="auto"/>
      </w:pPr>
      <w:r>
        <w:t>Não faça alterações manuais de preço sem autorização.</w:t>
      </w:r>
    </w:p>
    <w:p>
      <w:pPr>
        <w:pStyle w:val="Heading1"/>
        <w:spacing w:after="80" w:line="259" w:lineRule="auto"/>
      </w:pPr>
      <w:r>
        <w:t>6. Informações sobre produtos e alergênicos</w:t>
      </w:r>
    </w:p>
    <w:p>
      <w:pPr>
        <w:spacing w:after="80" w:line="259" w:lineRule="auto"/>
      </w:pPr>
      <w:r>
        <w:t>As informações oficiais devem ser consultadas no Catálogo de Produtos e Ingredientes. Quando o cliente relatar alergia ou restrição, o colaborador deve apresentar os ingredientes e alergênicos cadastrados, além de informar que a unidade manipula diversos produtos e não pode garantir ausência total de contato cruzado.</w:t>
      </w:r>
    </w:p>
    <w:tbl>
      <w:tblPr>
        <w:tblStyle w:val="TableGrid"/>
        <w:tblW w:type="auto" w:w="0"/>
        <w:tblLayout w:type="autofit"/>
        <w:tblLook w:firstColumn="1" w:firstRow="1" w:lastColumn="0" w:lastRow="0" w:noHBand="0" w:noVBand="1" w:val="04A0"/>
      </w:tblPr>
      <w:tblGrid>
        <w:gridCol w:w="10080"/>
      </w:tblGrid>
      <w:tr>
        <w:tc>
          <w:tcPr>
            <w:tcW w:type="dxa" w:w="10080"/>
            <w:vAlign w:val="center"/>
            <w:shd w:fill="FFF2CC"/>
          </w:tcPr>
          <w:p>
            <w:pPr>
              <w:spacing w:after="0" w:before="0"/>
            </w:pPr>
            <w:r/>
            <w:r>
              <w:rPr>
                <w:b/>
                <w:sz w:val="18"/>
              </w:rPr>
              <w:t>Atenção: o colaborador não deve fazer avaliação médica, indicar que um produto é totalmente seguro para alergia grave ou substituir a orientação de um profissional de saúde.</w:t>
            </w:r>
          </w:p>
        </w:tc>
      </w:tr>
    </w:tbl>
    <w:p>
      <w:pPr>
        <w:pStyle w:val="Heading1"/>
        <w:spacing w:after="80" w:line="259" w:lineRule="auto"/>
      </w:pPr>
      <w:r>
        <w:t>7. Tempo de espera e atrasos</w:t>
      </w:r>
    </w:p>
    <w:p>
      <w:pPr>
        <w:pStyle w:val="ListBullet"/>
        <w:spacing w:after="80" w:line="259" w:lineRule="auto"/>
      </w:pPr>
      <w:r>
        <w:t>Informe o cliente quando o tempo estiver acima do padrão.</w:t>
      </w:r>
    </w:p>
    <w:p>
      <w:pPr>
        <w:pStyle w:val="ListBullet"/>
        <w:spacing w:after="80" w:line="259" w:lineRule="auto"/>
      </w:pPr>
      <w:r>
        <w:t>Apresente uma estimativa realista.</w:t>
      </w:r>
    </w:p>
    <w:p>
      <w:pPr>
        <w:pStyle w:val="ListBullet"/>
        <w:spacing w:after="80" w:line="259" w:lineRule="auto"/>
      </w:pPr>
      <w:r>
        <w:t>Comunique o líder em caso de fila crescente ou falha operacional.</w:t>
      </w:r>
    </w:p>
    <w:p>
      <w:pPr>
        <w:pStyle w:val="ListBullet"/>
        <w:spacing w:after="80" w:line="259" w:lineRule="auto"/>
      </w:pPr>
      <w:r>
        <w:t>Priorize a correção de pedidos parados ou incorretos.</w:t>
      </w:r>
    </w:p>
    <w:p>
      <w:pPr>
        <w:pStyle w:val="ListBullet"/>
        <w:spacing w:after="80" w:line="259" w:lineRule="auto"/>
      </w:pPr>
      <w:r>
        <w:t>Não prometa compensações sem autorização.</w:t>
      </w:r>
    </w:p>
    <w:p>
      <w:pPr>
        <w:pStyle w:val="Heading1"/>
        <w:spacing w:after="80" w:line="259" w:lineRule="auto"/>
      </w:pPr>
      <w:r>
        <w:t>8. Pedido incorreto</w:t>
      </w:r>
    </w:p>
    <w:p>
      <w:pPr>
        <w:pStyle w:val="ListNumber"/>
        <w:spacing w:after="80" w:line="259" w:lineRule="auto"/>
      </w:pPr>
      <w:r>
        <w:t>Escute e confirme qual foi o erro.</w:t>
      </w:r>
    </w:p>
    <w:p>
      <w:pPr>
        <w:pStyle w:val="ListNumber"/>
        <w:spacing w:after="80" w:line="259" w:lineRule="auto"/>
      </w:pPr>
      <w:r>
        <w:t>Peça desculpas de forma objetiva.</w:t>
      </w:r>
    </w:p>
    <w:p>
      <w:pPr>
        <w:pStyle w:val="ListNumber"/>
        <w:spacing w:after="80" w:line="259" w:lineRule="auto"/>
      </w:pPr>
      <w:r>
        <w:t>Confirme o item correto.</w:t>
      </w:r>
    </w:p>
    <w:p>
      <w:pPr>
        <w:pStyle w:val="ListNumber"/>
        <w:spacing w:after="80" w:line="259" w:lineRule="auto"/>
      </w:pPr>
      <w:r>
        <w:t>Providencie o refazimento.</w:t>
      </w:r>
    </w:p>
    <w:p>
      <w:pPr>
        <w:pStyle w:val="ListNumber"/>
        <w:spacing w:after="80" w:line="259" w:lineRule="auto"/>
      </w:pPr>
      <w:r>
        <w:t>Registre a perda conforme o Manual de Operações.</w:t>
      </w:r>
    </w:p>
    <w:p>
      <w:pPr>
        <w:pStyle w:val="ListNumber"/>
        <w:spacing w:after="80" w:line="259" w:lineRule="auto"/>
      </w:pPr>
      <w:r>
        <w:t>Acione o líder quando houver reclamação ou impacto relevante.</w:t>
      </w:r>
    </w:p>
    <w:p>
      <w:pPr>
        <w:spacing w:after="80" w:line="259" w:lineRule="auto"/>
      </w:pPr>
      <w:r>
        <w:t>O produto devolvido pelo cliente não pode retornar ao estoque nem ser servido novamente.</w:t>
      </w:r>
    </w:p>
    <w:p>
      <w:pPr>
        <w:pStyle w:val="Heading1"/>
        <w:spacing w:after="80" w:line="259" w:lineRule="auto"/>
      </w:pPr>
      <w:r>
        <w:t>9. Reclamações</w:t>
      </w:r>
    </w:p>
    <w:p>
      <w:pPr>
        <w:pStyle w:val="Heading2"/>
        <w:spacing w:after="80" w:line="259" w:lineRule="auto"/>
      </w:pPr>
      <w:r>
        <w:t>9.1 Reclamação simples</w:t>
      </w:r>
    </w:p>
    <w:p>
      <w:pPr>
        <w:spacing w:after="80" w:line="259" w:lineRule="auto"/>
      </w:pPr>
      <w:r>
        <w:t>Inclui demora, temperatura inadequada, item incorreto, falta de produto ou problema de limpeza sem risco grave.</w:t>
      </w:r>
    </w:p>
    <w:p>
      <w:pPr>
        <w:pStyle w:val="ListBullet"/>
        <w:spacing w:after="80" w:line="259" w:lineRule="auto"/>
      </w:pPr>
      <w:r>
        <w:t>Escute sem interromper.</w:t>
      </w:r>
    </w:p>
    <w:p>
      <w:pPr>
        <w:pStyle w:val="ListBullet"/>
        <w:spacing w:after="80" w:line="259" w:lineRule="auto"/>
      </w:pPr>
      <w:r>
        <w:t>Reconheça o problema.</w:t>
      </w:r>
    </w:p>
    <w:p>
      <w:pPr>
        <w:pStyle w:val="ListBullet"/>
        <w:spacing w:after="80" w:line="259" w:lineRule="auto"/>
      </w:pPr>
      <w:r>
        <w:t>Busque correção dentro da sua autoridade.</w:t>
      </w:r>
    </w:p>
    <w:p>
      <w:pPr>
        <w:pStyle w:val="ListBullet"/>
        <w:spacing w:after="80" w:line="259" w:lineRule="auto"/>
      </w:pPr>
      <w:r>
        <w:t>Comunique o líder se necessário.</w:t>
      </w:r>
    </w:p>
    <w:p>
      <w:pPr>
        <w:pStyle w:val="ListBullet"/>
        <w:spacing w:after="80" w:line="259" w:lineRule="auto"/>
      </w:pPr>
      <w:r>
        <w:t>Registre quando houver impacto relevante.</w:t>
      </w:r>
    </w:p>
    <w:p>
      <w:pPr>
        <w:pStyle w:val="Heading2"/>
        <w:spacing w:after="80" w:line="259" w:lineRule="auto"/>
      </w:pPr>
      <w:r>
        <w:t>9.2 Reclamação grave</w:t>
      </w:r>
    </w:p>
    <w:p>
      <w:pPr>
        <w:spacing w:after="80" w:line="259" w:lineRule="auto"/>
      </w:pPr>
      <w:r>
        <w:t>Inclui alegação de reação alérgica, acidente, ameaça, suspeita de fraude, dano material, conflito intenso, intervenção de autoridade ou risco reputacional.</w:t>
      </w:r>
    </w:p>
    <w:p>
      <w:pPr>
        <w:pStyle w:val="ListBullet"/>
        <w:spacing w:after="80" w:line="259" w:lineRule="auto"/>
      </w:pPr>
      <w:r>
        <w:t>Acione imediatamente o gerente.</w:t>
      </w:r>
    </w:p>
    <w:p>
      <w:pPr>
        <w:pStyle w:val="ListBullet"/>
        <w:spacing w:after="80" w:line="259" w:lineRule="auto"/>
      </w:pPr>
      <w:r>
        <w:t>Preserve os fatos e registros.</w:t>
      </w:r>
    </w:p>
    <w:p>
      <w:pPr>
        <w:pStyle w:val="ListBullet"/>
        <w:spacing w:after="80" w:line="259" w:lineRule="auto"/>
      </w:pPr>
      <w:r>
        <w:t>Evite discussões e acusações.</w:t>
      </w:r>
    </w:p>
    <w:p>
      <w:pPr>
        <w:pStyle w:val="ListBullet"/>
        <w:spacing w:after="80" w:line="259" w:lineRule="auto"/>
      </w:pPr>
      <w:r>
        <w:t>Não faça promessas de pagamento, reembolso ou responsabilização.</w:t>
      </w:r>
    </w:p>
    <w:p>
      <w:pPr>
        <w:pStyle w:val="ListBullet"/>
        <w:spacing w:after="80" w:line="259" w:lineRule="auto"/>
      </w:pPr>
      <w:r>
        <w:t>Registre a ocorrência.</w:t>
      </w:r>
    </w:p>
    <w:p>
      <w:pPr>
        <w:pStyle w:val="ListBullet"/>
        <w:spacing w:after="80" w:line="259" w:lineRule="auto"/>
      </w:pPr>
      <w:r>
        <w:t>Acione Operações e Qualidade conforme a matriz do Manual de Operações.</w:t>
      </w:r>
    </w:p>
    <w:p>
      <w:pPr>
        <w:pStyle w:val="Heading1"/>
        <w:spacing w:after="80" w:line="259" w:lineRule="auto"/>
      </w:pPr>
      <w:r>
        <w:t>10. Reembolsos, descontos e compensações</w:t>
      </w:r>
    </w:p>
    <w:p>
      <w:pPr>
        <w:spacing w:after="80" w:line="259" w:lineRule="auto"/>
      </w:pPr>
      <w:r>
        <w:t>Atendentes não podem autorizar reembolso em dinheiro, descontos manuais ou compensações fora das opções cadastradas. Líderes podem aplicar correções previstas em campanha ou procedimento. Gerentes podem decidir dentro dos limites definidos pelas políticas financeiras e operacionais.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center"/>
            <w:shd w:fill="6F4E37"/>
          </w:tcPr>
          <w:p>
            <w:pPr>
              <w:spacing w:after="0" w:before="0"/>
            </w:pPr>
            <w:r/>
            <w:r>
              <w:rPr>
                <w:b/>
                <w:color w:val="FFFFFF"/>
                <w:sz w:val="18"/>
              </w:rPr>
              <w:t>Ação</w:t>
            </w:r>
          </w:p>
        </w:tc>
        <w:tc>
          <w:tcPr>
            <w:tcW w:type="dxa" w:w="2520"/>
            <w:vAlign w:val="center"/>
            <w:shd w:fill="6F4E37"/>
          </w:tcPr>
          <w:p>
            <w:pPr>
              <w:spacing w:after="0" w:before="0"/>
            </w:pPr>
            <w:r/>
            <w:r>
              <w:rPr>
                <w:b/>
                <w:color w:val="FFFFFF"/>
                <w:sz w:val="18"/>
              </w:rPr>
              <w:t>Atendente</w:t>
            </w:r>
          </w:p>
        </w:tc>
        <w:tc>
          <w:tcPr>
            <w:tcW w:type="dxa" w:w="2520"/>
            <w:vAlign w:val="center"/>
            <w:shd w:fill="6F4E37"/>
          </w:tcPr>
          <w:p>
            <w:pPr>
              <w:spacing w:after="0" w:before="0"/>
            </w:pPr>
            <w:r/>
            <w:r>
              <w:rPr>
                <w:b/>
                <w:color w:val="FFFFFF"/>
                <w:sz w:val="18"/>
              </w:rPr>
              <w:t>Líder</w:t>
            </w:r>
          </w:p>
        </w:tc>
        <w:tc>
          <w:tcPr>
            <w:tcW w:type="dxa" w:w="2520"/>
            <w:vAlign w:val="center"/>
            <w:shd w:fill="6F4E37"/>
          </w:tcPr>
          <w:p>
            <w:pPr>
              <w:spacing w:after="0" w:before="0"/>
            </w:pPr>
            <w:r/>
            <w:r>
              <w:rPr>
                <w:b/>
                <w:color w:val="FFFFFF"/>
                <w:sz w:val="18"/>
              </w:rPr>
              <w:t>Gerente</w:t>
            </w:r>
          </w:p>
        </w:tc>
      </w:tr>
      <w:tr>
        <w:tc>
          <w:tcPr>
            <w:tcW w:type="dxa" w:w="2520"/>
            <w:vAlign w:val="center"/>
          </w:tcPr>
          <w:p>
            <w:pPr>
              <w:spacing w:after="0" w:before="0"/>
            </w:pPr>
            <w:r/>
            <w:r>
              <w:rPr>
                <w:b w:val="0"/>
                <w:sz w:val="18"/>
              </w:rPr>
              <w:t>Refazer pedido incorreto</w:t>
            </w:r>
          </w:p>
        </w:tc>
        <w:tc>
          <w:tcPr>
            <w:tcW w:type="dxa" w:w="2520"/>
            <w:vAlign w:val="center"/>
          </w:tcPr>
          <w:p>
            <w:pPr>
              <w:spacing w:after="0" w:before="0"/>
            </w:pPr>
            <w:r/>
            <w:r>
              <w:rPr>
                <w:b w:val="0"/>
                <w:sz w:val="18"/>
              </w:rPr>
              <w:t>Sim</w:t>
            </w:r>
          </w:p>
        </w:tc>
        <w:tc>
          <w:tcPr>
            <w:tcW w:type="dxa" w:w="2520"/>
            <w:vAlign w:val="center"/>
          </w:tcPr>
          <w:p>
            <w:pPr>
              <w:spacing w:after="0" w:before="0"/>
            </w:pPr>
            <w:r/>
            <w:r>
              <w:rPr>
                <w:b w:val="0"/>
                <w:sz w:val="18"/>
              </w:rPr>
              <w:t>Sim</w:t>
            </w:r>
          </w:p>
        </w:tc>
        <w:tc>
          <w:tcPr>
            <w:tcW w:type="dxa" w:w="2520"/>
            <w:vAlign w:val="center"/>
          </w:tcPr>
          <w:p>
            <w:pPr>
              <w:spacing w:after="0" w:before="0"/>
            </w:pPr>
            <w:r/>
            <w:r>
              <w:rPr>
                <w:b w:val="0"/>
                <w:sz w:val="18"/>
              </w:rPr>
              <w:t>Sim</w:t>
            </w:r>
          </w:p>
        </w:tc>
      </w:tr>
      <w:tr>
        <w:tc>
          <w:tcPr>
            <w:tcW w:type="dxa" w:w="2520"/>
            <w:vAlign w:val="center"/>
          </w:tcPr>
          <w:p>
            <w:pPr>
              <w:spacing w:after="0" w:before="0"/>
            </w:pPr>
            <w:r/>
            <w:r>
              <w:rPr>
                <w:b w:val="0"/>
                <w:sz w:val="18"/>
              </w:rPr>
              <w:t>Aplicar promoção vigente</w:t>
            </w:r>
          </w:p>
        </w:tc>
        <w:tc>
          <w:tcPr>
            <w:tcW w:type="dxa" w:w="2520"/>
            <w:vAlign w:val="center"/>
          </w:tcPr>
          <w:p>
            <w:pPr>
              <w:spacing w:after="0" w:before="0"/>
            </w:pPr>
            <w:r/>
            <w:r>
              <w:rPr>
                <w:b w:val="0"/>
                <w:sz w:val="18"/>
              </w:rPr>
              <w:t>Sim</w:t>
            </w:r>
          </w:p>
        </w:tc>
        <w:tc>
          <w:tcPr>
            <w:tcW w:type="dxa" w:w="2520"/>
            <w:vAlign w:val="center"/>
          </w:tcPr>
          <w:p>
            <w:pPr>
              <w:spacing w:after="0" w:before="0"/>
            </w:pPr>
            <w:r/>
            <w:r>
              <w:rPr>
                <w:b w:val="0"/>
                <w:sz w:val="18"/>
              </w:rPr>
              <w:t>Sim</w:t>
            </w:r>
          </w:p>
        </w:tc>
        <w:tc>
          <w:tcPr>
            <w:tcW w:type="dxa" w:w="2520"/>
            <w:vAlign w:val="center"/>
          </w:tcPr>
          <w:p>
            <w:pPr>
              <w:spacing w:after="0" w:before="0"/>
            </w:pPr>
            <w:r/>
            <w:r>
              <w:rPr>
                <w:b w:val="0"/>
                <w:sz w:val="18"/>
              </w:rPr>
              <w:t>Sim</w:t>
            </w:r>
          </w:p>
        </w:tc>
      </w:tr>
      <w:tr>
        <w:tc>
          <w:tcPr>
            <w:tcW w:type="dxa" w:w="2520"/>
            <w:vAlign w:val="center"/>
          </w:tcPr>
          <w:p>
            <w:pPr>
              <w:spacing w:after="0" w:before="0"/>
            </w:pPr>
            <w:r/>
            <w:r>
              <w:rPr>
                <w:b w:val="0"/>
                <w:sz w:val="18"/>
              </w:rPr>
              <w:t>Criar desconto manual</w:t>
            </w:r>
          </w:p>
        </w:tc>
        <w:tc>
          <w:tcPr>
            <w:tcW w:type="dxa" w:w="2520"/>
            <w:vAlign w:val="center"/>
          </w:tcPr>
          <w:p>
            <w:pPr>
              <w:spacing w:after="0" w:before="0"/>
            </w:pPr>
            <w:r/>
            <w:r>
              <w:rPr>
                <w:b w:val="0"/>
                <w:sz w:val="18"/>
              </w:rPr>
              <w:t>Não</w:t>
            </w:r>
          </w:p>
        </w:tc>
        <w:tc>
          <w:tcPr>
            <w:tcW w:type="dxa" w:w="2520"/>
            <w:vAlign w:val="center"/>
          </w:tcPr>
          <w:p>
            <w:pPr>
              <w:spacing w:after="0" w:before="0"/>
            </w:pPr>
            <w:r/>
            <w:r>
              <w:rPr>
                <w:b w:val="0"/>
                <w:sz w:val="18"/>
              </w:rPr>
              <w:t>Conforme regra</w:t>
            </w:r>
          </w:p>
        </w:tc>
        <w:tc>
          <w:tcPr>
            <w:tcW w:type="dxa" w:w="2520"/>
            <w:vAlign w:val="center"/>
          </w:tcPr>
          <w:p>
            <w:pPr>
              <w:spacing w:after="0" w:before="0"/>
            </w:pPr>
            <w:r/>
            <w:r>
              <w:rPr>
                <w:b w:val="0"/>
                <w:sz w:val="18"/>
              </w:rPr>
              <w:t>Dentro do limite</w:t>
            </w:r>
          </w:p>
        </w:tc>
      </w:tr>
      <w:tr>
        <w:tc>
          <w:tcPr>
            <w:tcW w:type="dxa" w:w="2520"/>
            <w:vAlign w:val="center"/>
          </w:tcPr>
          <w:p>
            <w:pPr>
              <w:spacing w:after="0" w:before="0"/>
            </w:pPr>
            <w:r/>
            <w:r>
              <w:rPr>
                <w:b w:val="0"/>
                <w:sz w:val="18"/>
              </w:rPr>
              <w:t>Reembolso em dinheiro</w:t>
            </w:r>
          </w:p>
        </w:tc>
        <w:tc>
          <w:tcPr>
            <w:tcW w:type="dxa" w:w="2520"/>
            <w:vAlign w:val="center"/>
          </w:tcPr>
          <w:p>
            <w:pPr>
              <w:spacing w:after="0" w:before="0"/>
            </w:pPr>
            <w:r/>
            <w:r>
              <w:rPr>
                <w:b w:val="0"/>
                <w:sz w:val="18"/>
              </w:rPr>
              <w:t>Não</w:t>
            </w:r>
          </w:p>
        </w:tc>
        <w:tc>
          <w:tcPr>
            <w:tcW w:type="dxa" w:w="2520"/>
            <w:vAlign w:val="center"/>
          </w:tcPr>
          <w:p>
            <w:pPr>
              <w:spacing w:after="0" w:before="0"/>
            </w:pPr>
            <w:r/>
            <w:r>
              <w:rPr>
                <w:b w:val="0"/>
                <w:sz w:val="18"/>
              </w:rPr>
              <w:t>Não</w:t>
            </w:r>
          </w:p>
        </w:tc>
        <w:tc>
          <w:tcPr>
            <w:tcW w:type="dxa" w:w="2520"/>
            <w:vAlign w:val="center"/>
          </w:tcPr>
          <w:p>
            <w:pPr>
              <w:spacing w:after="0" w:before="0"/>
            </w:pPr>
            <w:r/>
            <w:r>
              <w:rPr>
                <w:b w:val="0"/>
                <w:sz w:val="18"/>
              </w:rPr>
              <w:t>Conforme política</w:t>
            </w:r>
          </w:p>
        </w:tc>
      </w:tr>
      <w:tr>
        <w:tc>
          <w:tcPr>
            <w:tcW w:type="dxa" w:w="2520"/>
            <w:vAlign w:val="center"/>
          </w:tcPr>
          <w:p>
            <w:pPr>
              <w:spacing w:after="0" w:before="0"/>
            </w:pPr>
            <w:r/>
            <w:r>
              <w:rPr>
                <w:b w:val="0"/>
                <w:sz w:val="18"/>
              </w:rPr>
              <w:t>Responder reclamação grave</w:t>
            </w:r>
          </w:p>
        </w:tc>
        <w:tc>
          <w:tcPr>
            <w:tcW w:type="dxa" w:w="2520"/>
            <w:vAlign w:val="center"/>
          </w:tcPr>
          <w:p>
            <w:pPr>
              <w:spacing w:after="0" w:before="0"/>
            </w:pPr>
            <w:r/>
            <w:r>
              <w:rPr>
                <w:b w:val="0"/>
                <w:sz w:val="18"/>
              </w:rPr>
              <w:t>Não</w:t>
            </w:r>
          </w:p>
        </w:tc>
        <w:tc>
          <w:tcPr>
            <w:tcW w:type="dxa" w:w="2520"/>
            <w:vAlign w:val="center"/>
          </w:tcPr>
          <w:p>
            <w:pPr>
              <w:spacing w:after="0" w:before="0"/>
            </w:pPr>
            <w:r/>
            <w:r>
              <w:rPr>
                <w:b w:val="0"/>
                <w:sz w:val="18"/>
              </w:rPr>
              <w:t>Apoio</w:t>
            </w:r>
          </w:p>
        </w:tc>
        <w:tc>
          <w:tcPr>
            <w:tcW w:type="dxa" w:w="2520"/>
            <w:vAlign w:val="center"/>
          </w:tcPr>
          <w:p>
            <w:pPr>
              <w:spacing w:after="0" w:before="0"/>
            </w:pPr>
            <w:r/>
            <w:r>
              <w:rPr>
                <w:b w:val="0"/>
                <w:sz w:val="18"/>
              </w:rPr>
              <w:t>Sim</w:t>
            </w:r>
          </w:p>
        </w:tc>
      </w:tr>
    </w:tbl>
    <w:p>
      <w:pPr>
        <w:pStyle w:val="Heading1"/>
        <w:spacing w:after="80" w:line="259" w:lineRule="auto"/>
      </w:pPr>
      <w:r>
        <w:t>11. Clientes com necessidades específicas</w:t>
      </w:r>
    </w:p>
    <w:p>
      <w:pPr>
        <w:pStyle w:val="ListBullet"/>
        <w:spacing w:after="80" w:line="259" w:lineRule="auto"/>
      </w:pPr>
      <w:r>
        <w:t>Ofereça ajuda sem presumir incapacidade.</w:t>
      </w:r>
    </w:p>
    <w:p>
      <w:pPr>
        <w:pStyle w:val="ListBullet"/>
        <w:spacing w:after="80" w:line="259" w:lineRule="auto"/>
      </w:pPr>
      <w:r>
        <w:t>Fale diretamente com o cliente, mesmo quando houver acompanhante.</w:t>
      </w:r>
    </w:p>
    <w:p>
      <w:pPr>
        <w:pStyle w:val="ListBullet"/>
        <w:spacing w:after="80" w:line="259" w:lineRule="auto"/>
      </w:pPr>
      <w:r>
        <w:t>Respeite o tempo necessário para comunicação ou mobilidade.</w:t>
      </w:r>
    </w:p>
    <w:p>
      <w:pPr>
        <w:pStyle w:val="ListBullet"/>
        <w:spacing w:after="80" w:line="259" w:lineRule="auto"/>
      </w:pPr>
      <w:r>
        <w:t>Mantenha corredores e acessos livres.</w:t>
      </w:r>
    </w:p>
    <w:p>
      <w:pPr>
        <w:pStyle w:val="ListBullet"/>
        <w:spacing w:after="80" w:line="259" w:lineRule="auto"/>
      </w:pPr>
      <w:r>
        <w:t>Acione o líder quando houver barreira que não possa ser resolvida pela equipe.</w:t>
      </w:r>
    </w:p>
    <w:p>
      <w:pPr>
        <w:pStyle w:val="Heading1"/>
        <w:spacing w:after="80" w:line="259" w:lineRule="auto"/>
      </w:pPr>
      <w:r>
        <w:t>12. Situações de conflito</w:t>
      </w:r>
    </w:p>
    <w:p>
      <w:pPr>
        <w:pStyle w:val="ListBullet"/>
        <w:spacing w:after="80" w:line="259" w:lineRule="auto"/>
      </w:pPr>
      <w:r>
        <w:t>Mantenha tom de voz calmo.</w:t>
      </w:r>
    </w:p>
    <w:p>
      <w:pPr>
        <w:pStyle w:val="ListBullet"/>
        <w:spacing w:after="80" w:line="259" w:lineRule="auto"/>
      </w:pPr>
      <w:r>
        <w:t>Não responda a provocações.</w:t>
      </w:r>
    </w:p>
    <w:p>
      <w:pPr>
        <w:pStyle w:val="ListBullet"/>
        <w:spacing w:after="80" w:line="259" w:lineRule="auto"/>
      </w:pPr>
      <w:r>
        <w:t>Evite contato físico.</w:t>
      </w:r>
    </w:p>
    <w:p>
      <w:pPr>
        <w:pStyle w:val="ListBullet"/>
        <w:spacing w:after="80" w:line="259" w:lineRule="auto"/>
      </w:pPr>
      <w:r>
        <w:t>Mantenha distância segura.</w:t>
      </w:r>
    </w:p>
    <w:p>
      <w:pPr>
        <w:pStyle w:val="ListBullet"/>
        <w:spacing w:after="80" w:line="259" w:lineRule="auto"/>
      </w:pPr>
      <w:r>
        <w:t>Chame o líder ou gerente.</w:t>
      </w:r>
    </w:p>
    <w:p>
      <w:pPr>
        <w:pStyle w:val="ListBullet"/>
        <w:spacing w:after="80" w:line="259" w:lineRule="auto"/>
      </w:pPr>
      <w:r>
        <w:t>Acione a segurança local quando necessário.</w:t>
      </w:r>
    </w:p>
    <w:p>
      <w:pPr>
        <w:pStyle w:val="ListBullet"/>
        <w:spacing w:after="80" w:line="259" w:lineRule="auto"/>
      </w:pPr>
      <w:r>
        <w:t>Registre os fatos de forma objetiva.</w:t>
      </w:r>
    </w:p>
    <w:p>
      <w:pPr>
        <w:pStyle w:val="Heading1"/>
        <w:spacing w:after="80" w:line="259" w:lineRule="auto"/>
      </w:pPr>
      <w:r>
        <w:t>13. Privacidade e dados do cliente</w:t>
      </w:r>
    </w:p>
    <w:p>
      <w:pPr>
        <w:pStyle w:val="ListBullet"/>
        <w:spacing w:after="80" w:line="259" w:lineRule="auto"/>
      </w:pPr>
      <w:r>
        <w:t>Não fotografe clientes sem autorização.</w:t>
      </w:r>
    </w:p>
    <w:p>
      <w:pPr>
        <w:pStyle w:val="ListBullet"/>
        <w:spacing w:after="80" w:line="259" w:lineRule="auto"/>
      </w:pPr>
      <w:r>
        <w:t>Não anote dados de cartão.</w:t>
      </w:r>
    </w:p>
    <w:p>
      <w:pPr>
        <w:pStyle w:val="ListBullet"/>
        <w:spacing w:after="80" w:line="259" w:lineRule="auto"/>
      </w:pPr>
      <w:r>
        <w:t>Não divulgue imagens, nomes ou pedidos em redes sociais.</w:t>
      </w:r>
    </w:p>
    <w:p>
      <w:pPr>
        <w:pStyle w:val="ListBullet"/>
        <w:spacing w:after="80" w:line="259" w:lineRule="auto"/>
      </w:pPr>
      <w:r>
        <w:t>Não compartilhe informações de atendimento em grupos não autorizados.</w:t>
      </w:r>
    </w:p>
    <w:p>
      <w:pPr>
        <w:pStyle w:val="ListBullet"/>
        <w:spacing w:after="80" w:line="259" w:lineRule="auto"/>
      </w:pPr>
      <w:r>
        <w:t>Solicite apenas as informações necessárias para resolver a situação.</w:t>
      </w:r>
    </w:p>
    <w:p>
      <w:pPr>
        <w:pStyle w:val="Heading1"/>
        <w:spacing w:after="80" w:line="259" w:lineRule="auto"/>
      </w:pPr>
      <w:r>
        <w:t>14. Objetos esquecidos</w:t>
      </w:r>
    </w:p>
    <w:p>
      <w:pPr>
        <w:pStyle w:val="ListNumber"/>
        <w:spacing w:after="80" w:line="259" w:lineRule="auto"/>
      </w:pPr>
      <w:r>
        <w:t>Entregue o objeto ao líder.</w:t>
      </w:r>
    </w:p>
    <w:p>
      <w:pPr>
        <w:pStyle w:val="ListNumber"/>
        <w:spacing w:after="80" w:line="259" w:lineRule="auto"/>
      </w:pPr>
      <w:r>
        <w:t>Registre data, horário e local onde foi encontrado.</w:t>
      </w:r>
    </w:p>
    <w:p>
      <w:pPr>
        <w:pStyle w:val="ListNumber"/>
        <w:spacing w:after="80" w:line="259" w:lineRule="auto"/>
      </w:pPr>
      <w:r>
        <w:t>Guarde na área definida.</w:t>
      </w:r>
    </w:p>
    <w:p>
      <w:pPr>
        <w:pStyle w:val="ListNumber"/>
        <w:spacing w:after="80" w:line="259" w:lineRule="auto"/>
      </w:pPr>
      <w:r>
        <w:t>Não utilize nem divulgue detalhes excessivos.</w:t>
      </w:r>
    </w:p>
    <w:p>
      <w:pPr>
        <w:pStyle w:val="ListNumber"/>
        <w:spacing w:after="80" w:line="259" w:lineRule="auto"/>
      </w:pPr>
      <w:r>
        <w:t>Registre a devolução ao proprietário.</w:t>
      </w:r>
    </w:p>
    <w:p>
      <w:pPr>
        <w:pStyle w:val="Heading1"/>
        <w:spacing w:after="80" w:line="259" w:lineRule="auto"/>
      </w:pPr>
      <w:r>
        <w:t>15. Encerramento do atendimento</w:t>
      </w:r>
    </w:p>
    <w:p>
      <w:pPr>
        <w:pStyle w:val="ListBullet"/>
        <w:spacing w:after="80" w:line="259" w:lineRule="auto"/>
      </w:pPr>
      <w:r>
        <w:t>Confirme que o cliente recebeu o pedido correto.</w:t>
      </w:r>
    </w:p>
    <w:p>
      <w:pPr>
        <w:pStyle w:val="ListBullet"/>
        <w:spacing w:after="80" w:line="259" w:lineRule="auto"/>
      </w:pPr>
      <w:r>
        <w:t>Agradeça a visita.</w:t>
      </w:r>
    </w:p>
    <w:p>
      <w:pPr>
        <w:pStyle w:val="ListBullet"/>
        <w:spacing w:after="80" w:line="259" w:lineRule="auto"/>
      </w:pPr>
      <w:r>
        <w:t>Informe o canal adequado quando houver pendência.</w:t>
      </w:r>
    </w:p>
    <w:p>
      <w:pPr>
        <w:pStyle w:val="ListBullet"/>
        <w:spacing w:after="80" w:line="259" w:lineRule="auto"/>
      </w:pPr>
      <w:r>
        <w:t>Registre ocorrências relevantes.</w:t>
      </w:r>
    </w:p>
    <w:p>
      <w:pPr>
        <w:pStyle w:val="ListBullet"/>
        <w:spacing w:after="80" w:line="259" w:lineRule="auto"/>
      </w:pPr>
      <w:r>
        <w:t>Comunique o próximo turno sobre casos ainda abertos.</w:t>
      </w:r>
    </w:p>
    <w:p>
      <w:pPr>
        <w:pStyle w:val="Heading1"/>
        <w:spacing w:after="80" w:line="259" w:lineRule="auto"/>
      </w:pPr>
      <w:r>
        <w:t>16. Frases de referência</w:t>
      </w:r>
    </w:p>
    <w:tbl>
      <w:tblPr>
        <w:tblStyle w:val="TableGrid"/>
        <w:tblW w:type="auto" w:w="0"/>
        <w:tblLayout w:type="autofit"/>
        <w:tblLook w:firstColumn="1" w:firstRow="1" w:lastColumn="0" w:lastRow="0" w:noHBand="0" w:noVBand="1" w:val="04A0"/>
      </w:tblPr>
      <w:tblGrid>
        <w:gridCol w:w="5040"/>
        <w:gridCol w:w="5040"/>
      </w:tblGrid>
      <w:tr>
        <w:tc>
          <w:tcPr>
            <w:tcW w:type="dxa" w:w="5040"/>
            <w:vAlign w:val="center"/>
            <w:shd w:fill="6F4E37"/>
          </w:tcPr>
          <w:p>
            <w:pPr>
              <w:spacing w:after="0" w:before="0"/>
            </w:pPr>
            <w:r/>
            <w:r>
              <w:rPr>
                <w:b/>
                <w:color w:val="FFFFFF"/>
                <w:sz w:val="18"/>
              </w:rPr>
              <w:t>Situação</w:t>
            </w:r>
          </w:p>
        </w:tc>
        <w:tc>
          <w:tcPr>
            <w:tcW w:type="dxa" w:w="5040"/>
            <w:vAlign w:val="center"/>
            <w:shd w:fill="6F4E37"/>
          </w:tcPr>
          <w:p>
            <w:pPr>
              <w:spacing w:after="0" w:before="0"/>
            </w:pPr>
            <w:r/>
            <w:r>
              <w:rPr>
                <w:b/>
                <w:color w:val="FFFFFF"/>
                <w:sz w:val="18"/>
              </w:rPr>
              <w:t>Exemplo de frase</w:t>
            </w:r>
          </w:p>
        </w:tc>
      </w:tr>
      <w:tr>
        <w:tc>
          <w:tcPr>
            <w:tcW w:type="dxa" w:w="5040"/>
            <w:vAlign w:val="center"/>
          </w:tcPr>
          <w:p>
            <w:pPr>
              <w:spacing w:after="0" w:before="0"/>
            </w:pPr>
            <w:r/>
            <w:r>
              <w:rPr>
                <w:b/>
                <w:sz w:val="18"/>
              </w:rPr>
              <w:t>Produto indisponível</w:t>
            </w:r>
          </w:p>
        </w:tc>
        <w:tc>
          <w:tcPr>
            <w:tcW w:type="dxa" w:w="5040"/>
            <w:vAlign w:val="center"/>
          </w:tcPr>
          <w:p>
            <w:pPr>
              <w:spacing w:after="0" w:before="0"/>
            </w:pPr>
            <w:r/>
            <w:r>
              <w:rPr>
                <w:b w:val="0"/>
                <w:sz w:val="18"/>
              </w:rPr>
              <w:t>“Este item está indisponível no momento. Posso apresentar opções semelhantes.”</w:t>
            </w:r>
          </w:p>
        </w:tc>
      </w:tr>
      <w:tr>
        <w:tc>
          <w:tcPr>
            <w:tcW w:type="dxa" w:w="5040"/>
            <w:vAlign w:val="center"/>
          </w:tcPr>
          <w:p>
            <w:pPr>
              <w:spacing w:after="0" w:before="0"/>
            </w:pPr>
            <w:r/>
            <w:r>
              <w:rPr>
                <w:b/>
                <w:sz w:val="18"/>
              </w:rPr>
              <w:t>Atraso</w:t>
            </w:r>
          </w:p>
        </w:tc>
        <w:tc>
          <w:tcPr>
            <w:tcW w:type="dxa" w:w="5040"/>
            <w:vAlign w:val="center"/>
          </w:tcPr>
          <w:p>
            <w:pPr>
              <w:spacing w:after="0" w:before="0"/>
            </w:pPr>
            <w:r/>
            <w:r>
              <w:rPr>
                <w:b w:val="0"/>
                <w:sz w:val="18"/>
              </w:rPr>
              <w:t>“Seu pedido terá um tempo maior que o normal. A estimativa atual é de aproximadamente X minutos.”</w:t>
            </w:r>
          </w:p>
        </w:tc>
      </w:tr>
      <w:tr>
        <w:tc>
          <w:tcPr>
            <w:tcW w:type="dxa" w:w="5040"/>
            <w:vAlign w:val="center"/>
          </w:tcPr>
          <w:p>
            <w:pPr>
              <w:spacing w:after="0" w:before="0"/>
            </w:pPr>
            <w:r/>
            <w:r>
              <w:rPr>
                <w:b/>
                <w:sz w:val="18"/>
              </w:rPr>
              <w:t>Erro de pedido</w:t>
            </w:r>
          </w:p>
        </w:tc>
        <w:tc>
          <w:tcPr>
            <w:tcW w:type="dxa" w:w="5040"/>
            <w:vAlign w:val="center"/>
          </w:tcPr>
          <w:p>
            <w:pPr>
              <w:spacing w:after="0" w:before="0"/>
            </w:pPr>
            <w:r/>
            <w:r>
              <w:rPr>
                <w:b w:val="0"/>
                <w:sz w:val="18"/>
              </w:rPr>
              <w:t>“Peço desculpas pelo erro. Vou confirmar o item correto e solicitar o refazimento.”</w:t>
            </w:r>
          </w:p>
        </w:tc>
      </w:tr>
      <w:tr>
        <w:tc>
          <w:tcPr>
            <w:tcW w:type="dxa" w:w="5040"/>
            <w:vAlign w:val="center"/>
          </w:tcPr>
          <w:p>
            <w:pPr>
              <w:spacing w:after="0" w:before="0"/>
            </w:pPr>
            <w:r/>
            <w:r>
              <w:rPr>
                <w:b/>
                <w:sz w:val="18"/>
              </w:rPr>
              <w:t>Alergênicos</w:t>
            </w:r>
          </w:p>
        </w:tc>
        <w:tc>
          <w:tcPr>
            <w:tcW w:type="dxa" w:w="5040"/>
            <w:vAlign w:val="center"/>
          </w:tcPr>
          <w:p>
            <w:pPr>
              <w:spacing w:after="0" w:before="0"/>
            </w:pPr>
            <w:r/>
            <w:r>
              <w:rPr>
                <w:b w:val="0"/>
                <w:sz w:val="18"/>
              </w:rPr>
              <w:t>“Posso consultar os ingredientes cadastrados. Como manipulamos diferentes produtos, não garantimos ausência total de contato cruzado.”</w:t>
            </w:r>
          </w:p>
        </w:tc>
      </w:tr>
      <w:tr>
        <w:tc>
          <w:tcPr>
            <w:tcW w:type="dxa" w:w="5040"/>
            <w:vAlign w:val="center"/>
          </w:tcPr>
          <w:p>
            <w:pPr>
              <w:spacing w:after="0" w:before="0"/>
            </w:pPr>
            <w:r/>
            <w:r>
              <w:rPr>
                <w:b/>
                <w:sz w:val="18"/>
              </w:rPr>
              <w:t>Escalonamento</w:t>
            </w:r>
          </w:p>
        </w:tc>
        <w:tc>
          <w:tcPr>
            <w:tcW w:type="dxa" w:w="5040"/>
            <w:vAlign w:val="center"/>
          </w:tcPr>
          <w:p>
            <w:pPr>
              <w:spacing w:after="0" w:before="0"/>
            </w:pPr>
            <w:r/>
            <w:r>
              <w:rPr>
                <w:b w:val="0"/>
                <w:sz w:val="18"/>
              </w:rPr>
              <w:t>“Vou chamar o responsável pelo turno para dar continuidade ao atendimento.”</w:t>
            </w:r>
          </w:p>
        </w:tc>
      </w:tr>
    </w:tbl>
    <w:p>
      <w:pPr>
        <w:pStyle w:val="Heading1"/>
        <w:spacing w:after="80" w:line="259" w:lineRule="auto"/>
      </w:pPr>
      <w:r>
        <w:t>17. Perguntas de referência para o Aurora Responde</w:t>
      </w:r>
    </w:p>
    <w:p>
      <w:pPr>
        <w:spacing w:after="80" w:line="259" w:lineRule="auto"/>
      </w:pPr>
      <w:r>
        <w:rPr>
          <w:b/>
        </w:rPr>
        <w:t>O que devo fazer quando o cliente recebe o pedido errado?</w:t>
      </w:r>
    </w:p>
    <w:p>
      <w:pPr>
        <w:spacing w:after="80" w:line="259" w:lineRule="auto"/>
      </w:pPr>
      <w:r>
        <w:t>Peça desculpas, confirme o item correto, providencie o refazimento, registre a perda e acione o líder se houver reclamação.</w:t>
      </w:r>
    </w:p>
    <w:p>
      <w:pPr>
        <w:spacing w:after="80" w:line="259" w:lineRule="auto"/>
      </w:pPr>
      <w:r>
        <w:rPr>
          <w:i/>
          <w:color w:val="645A55"/>
          <w:sz w:val="16"/>
        </w:rPr>
        <w:t>Fonte: CA-QUA-GUI-001 — Guia de Atendimento ao Cliente.</w:t>
      </w:r>
    </w:p>
    <w:p>
      <w:pPr>
        <w:spacing w:after="80" w:line="259" w:lineRule="auto"/>
      </w:pPr>
      <w:r>
        <w:rPr>
          <w:b/>
        </w:rPr>
        <w:t>Posso garantir que uma bebida não terá contato com leite?</w:t>
      </w:r>
    </w:p>
    <w:p>
      <w:pPr>
        <w:spacing w:after="80" w:line="259" w:lineRule="auto"/>
      </w:pPr>
      <w:r>
        <w:t>Não. Você pode informar os ingredientes cadastrados e as alternativas disponíveis, mas deve alertar que existe risco de contato cruzado.</w:t>
      </w:r>
    </w:p>
    <w:p>
      <w:pPr>
        <w:spacing w:after="80" w:line="259" w:lineRule="auto"/>
      </w:pPr>
      <w:r>
        <w:rPr>
          <w:i/>
          <w:color w:val="645A55"/>
          <w:sz w:val="16"/>
        </w:rPr>
        <w:t>Fonte: CA-QUA-GUI-001 — Guia de Atendimento ao Cliente.</w:t>
      </w:r>
    </w:p>
    <w:p>
      <w:pPr>
        <w:spacing w:after="80" w:line="259" w:lineRule="auto"/>
      </w:pPr>
      <w:r>
        <w:rPr>
          <w:b/>
        </w:rPr>
        <w:t>Um atendente pode dar desconto para resolver uma reclamação?</w:t>
      </w:r>
    </w:p>
    <w:p>
      <w:pPr>
        <w:spacing w:after="80" w:line="259" w:lineRule="auto"/>
      </w:pPr>
      <w:r>
        <w:t>Somente pode aplicar promoções e correções já autorizadas no sistema. Descontos manuais dependem da autoridade do líder ou gerente.</w:t>
      </w:r>
    </w:p>
    <w:p>
      <w:pPr>
        <w:spacing w:after="80" w:line="259" w:lineRule="auto"/>
      </w:pPr>
      <w:r>
        <w:rPr>
          <w:i/>
          <w:color w:val="645A55"/>
          <w:sz w:val="16"/>
        </w:rPr>
        <w:t>Fonte: CA-QUA-GUI-001 — Guia de Atendimento ao Cliente.</w:t>
      </w:r>
    </w:p>
    <w:p>
      <w:pPr>
        <w:spacing w:after="80" w:line="259" w:lineRule="auto"/>
      </w:pPr>
      <w:r>
        <w:rPr>
          <w:b/>
        </w:rPr>
        <w:t>Quem atende uma reclamação grave?</w:t>
      </w:r>
    </w:p>
    <w:p>
      <w:pPr>
        <w:spacing w:after="80" w:line="259" w:lineRule="auto"/>
      </w:pPr>
      <w:r>
        <w:t>O gerente deve assumir o caso, com apoio da Gerência de Operações e da Qualidade quando aplicável.</w:t>
      </w:r>
    </w:p>
    <w:p>
      <w:pPr>
        <w:spacing w:after="80" w:line="259" w:lineRule="auto"/>
      </w:pPr>
      <w:r>
        <w:rPr>
          <w:i/>
          <w:color w:val="645A55"/>
          <w:sz w:val="16"/>
        </w:rPr>
        <w:t>Fonte: CA-QUA-GUI-001 — Guia de Atendimento ao Cliente.</w:t>
      </w:r>
    </w:p>
    <w:p>
      <w:pPr>
        <w:spacing w:after="80" w:line="259" w:lineRule="auto"/>
      </w:pPr>
      <w:r>
        <w:rPr>
          <w:b/>
        </w:rPr>
        <w:t>O que dizer quando um produto está indisponível?</w:t>
      </w:r>
    </w:p>
    <w:p>
      <w:pPr>
        <w:spacing w:after="80" w:line="259" w:lineRule="auto"/>
      </w:pPr>
      <w:r>
        <w:t>Informe antes do pagamento, explique de forma objetiva e ofereça alternativas semelhantes disponíveis na unidade.</w:t>
      </w:r>
    </w:p>
    <w:p>
      <w:pPr>
        <w:spacing w:after="80" w:line="259" w:lineRule="auto"/>
      </w:pPr>
      <w:r>
        <w:rPr>
          <w:i/>
          <w:color w:val="645A55"/>
          <w:sz w:val="16"/>
        </w:rPr>
        <w:t>Fonte: CA-QUA-GUI-001 — Guia de Atendimento ao Cliente.</w:t>
      </w:r>
    </w:p>
    <w:p>
      <w:pPr>
        <w:pStyle w:val="Heading1"/>
        <w:spacing w:after="80" w:line="259" w:lineRule="auto"/>
      </w:pPr>
      <w:r>
        <w:t>18. Cenários de teste do agente</w:t>
      </w:r>
    </w:p>
    <w:tbl>
      <w:tblPr>
        <w:tblStyle w:val="TableGrid"/>
        <w:tblW w:type="auto" w:w="0"/>
        <w:tblLayout w:type="autofit"/>
        <w:tblLook w:firstColumn="1" w:firstRow="1" w:lastColumn="0" w:lastRow="0" w:noHBand="0" w:noVBand="1" w:val="04A0"/>
      </w:tblPr>
      <w:tblGrid>
        <w:gridCol w:w="5040"/>
        <w:gridCol w:w="5040"/>
      </w:tblGrid>
      <w:tr>
        <w:tc>
          <w:tcPr>
            <w:tcW w:type="dxa" w:w="5040"/>
            <w:vAlign w:val="center"/>
            <w:shd w:fill="6F4E37"/>
          </w:tcPr>
          <w:p>
            <w:pPr>
              <w:spacing w:after="0" w:before="0"/>
            </w:pPr>
            <w:r/>
            <w:r>
              <w:rPr>
                <w:b/>
                <w:color w:val="FFFFFF"/>
                <w:sz w:val="18"/>
              </w:rPr>
              <w:t>Cenário</w:t>
            </w:r>
          </w:p>
        </w:tc>
        <w:tc>
          <w:tcPr>
            <w:tcW w:type="dxa" w:w="5040"/>
            <w:vAlign w:val="center"/>
            <w:shd w:fill="6F4E37"/>
          </w:tcPr>
          <w:p>
            <w:pPr>
              <w:spacing w:after="0" w:before="0"/>
            </w:pPr>
            <w:r/>
            <w:r>
              <w:rPr>
                <w:b/>
                <w:color w:val="FFFFFF"/>
                <w:sz w:val="18"/>
              </w:rPr>
              <w:t>Resposta esperada</w:t>
            </w:r>
          </w:p>
        </w:tc>
      </w:tr>
      <w:tr>
        <w:tc>
          <w:tcPr>
            <w:tcW w:type="dxa" w:w="5040"/>
            <w:vAlign w:val="center"/>
          </w:tcPr>
          <w:p>
            <w:pPr>
              <w:spacing w:after="0" w:before="0"/>
            </w:pPr>
            <w:r/>
            <w:r>
              <w:rPr>
                <w:b/>
                <w:sz w:val="18"/>
              </w:rPr>
              <w:t>Cliente com alergia a leite</w:t>
            </w:r>
          </w:p>
        </w:tc>
        <w:tc>
          <w:tcPr>
            <w:tcW w:type="dxa" w:w="5040"/>
            <w:vAlign w:val="center"/>
          </w:tcPr>
          <w:p>
            <w:pPr>
              <w:spacing w:after="0" w:before="0"/>
            </w:pPr>
            <w:r/>
            <w:r>
              <w:rPr>
                <w:b w:val="0"/>
                <w:sz w:val="18"/>
              </w:rPr>
              <w:t>O agente deve indicar onde consultar os alergênicos, informar alternativas e alertar sobre contato cruzado.</w:t>
            </w:r>
          </w:p>
        </w:tc>
      </w:tr>
      <w:tr>
        <w:tc>
          <w:tcPr>
            <w:tcW w:type="dxa" w:w="5040"/>
            <w:vAlign w:val="center"/>
          </w:tcPr>
          <w:p>
            <w:pPr>
              <w:spacing w:after="0" w:before="0"/>
            </w:pPr>
            <w:r/>
            <w:r>
              <w:rPr>
                <w:b/>
                <w:sz w:val="18"/>
              </w:rPr>
              <w:t>Pedido entregue incorretamente</w:t>
            </w:r>
          </w:p>
        </w:tc>
        <w:tc>
          <w:tcPr>
            <w:tcW w:type="dxa" w:w="5040"/>
            <w:vAlign w:val="center"/>
          </w:tcPr>
          <w:p>
            <w:pPr>
              <w:spacing w:after="0" w:before="0"/>
            </w:pPr>
            <w:r/>
            <w:r>
              <w:rPr>
                <w:b w:val="0"/>
                <w:sz w:val="18"/>
              </w:rPr>
              <w:t>O agente deve orientar pedido de desculpas, confirmação, refazimento e registro da perda.</w:t>
            </w:r>
          </w:p>
        </w:tc>
      </w:tr>
      <w:tr>
        <w:tc>
          <w:tcPr>
            <w:tcW w:type="dxa" w:w="5040"/>
            <w:vAlign w:val="center"/>
          </w:tcPr>
          <w:p>
            <w:pPr>
              <w:spacing w:after="0" w:before="0"/>
            </w:pPr>
            <w:r/>
            <w:r>
              <w:rPr>
                <w:b/>
                <w:sz w:val="18"/>
              </w:rPr>
              <w:t>Fila com atraso</w:t>
            </w:r>
          </w:p>
        </w:tc>
        <w:tc>
          <w:tcPr>
            <w:tcW w:type="dxa" w:w="5040"/>
            <w:vAlign w:val="center"/>
          </w:tcPr>
          <w:p>
            <w:pPr>
              <w:spacing w:after="0" w:before="0"/>
            </w:pPr>
            <w:r/>
            <w:r>
              <w:rPr>
                <w:b w:val="0"/>
                <w:sz w:val="18"/>
              </w:rPr>
              <w:t>O agente deve recomendar comunicação transparente, estimativa realista e acionamento do líder.</w:t>
            </w:r>
          </w:p>
        </w:tc>
      </w:tr>
      <w:tr>
        <w:tc>
          <w:tcPr>
            <w:tcW w:type="dxa" w:w="5040"/>
            <w:vAlign w:val="center"/>
          </w:tcPr>
          <w:p>
            <w:pPr>
              <w:spacing w:after="0" w:before="0"/>
            </w:pPr>
            <w:r/>
            <w:r>
              <w:rPr>
                <w:b/>
                <w:sz w:val="18"/>
              </w:rPr>
              <w:t>Cliente exige reembolso imediato</w:t>
            </w:r>
          </w:p>
        </w:tc>
        <w:tc>
          <w:tcPr>
            <w:tcW w:type="dxa" w:w="5040"/>
            <w:vAlign w:val="center"/>
          </w:tcPr>
          <w:p>
            <w:pPr>
              <w:spacing w:after="0" w:before="0"/>
            </w:pPr>
            <w:r/>
            <w:r>
              <w:rPr>
                <w:b w:val="0"/>
                <w:sz w:val="18"/>
              </w:rPr>
              <w:t>O agente deve informar que o atendente não possui autoridade e deve escalar ao gerente.</w:t>
            </w:r>
          </w:p>
        </w:tc>
      </w:tr>
      <w:tr>
        <w:tc>
          <w:tcPr>
            <w:tcW w:type="dxa" w:w="5040"/>
            <w:vAlign w:val="center"/>
          </w:tcPr>
          <w:p>
            <w:pPr>
              <w:spacing w:after="0" w:before="0"/>
            </w:pPr>
            <w:r/>
            <w:r>
              <w:rPr>
                <w:b/>
                <w:sz w:val="18"/>
              </w:rPr>
              <w:t>Discussão com ameaça</w:t>
            </w:r>
          </w:p>
        </w:tc>
        <w:tc>
          <w:tcPr>
            <w:tcW w:type="dxa" w:w="5040"/>
            <w:vAlign w:val="center"/>
          </w:tcPr>
          <w:p>
            <w:pPr>
              <w:spacing w:after="0" w:before="0"/>
            </w:pPr>
            <w:r/>
            <w:r>
              <w:rPr>
                <w:b w:val="0"/>
                <w:sz w:val="18"/>
              </w:rPr>
              <w:t>O agente deve orientar afastamento do conflito, acionamento do gerente e segurança, e registro da ocorrência.</w:t>
            </w:r>
          </w:p>
        </w:tc>
      </w:tr>
    </w:tbl>
    <w:p>
      <w:pPr>
        <w:pStyle w:val="Heading1"/>
        <w:spacing w:after="80" w:line="259" w:lineRule="auto"/>
      </w:pPr>
      <w:r>
        <w:t>19. Limites do agente</w:t>
      </w:r>
    </w:p>
    <w:p>
      <w:pPr>
        <w:pStyle w:val="ListBullet"/>
        <w:spacing w:after="80" w:line="259" w:lineRule="auto"/>
      </w:pPr>
      <w:r>
        <w:t>Não prometer compensações ou reembolsos.</w:t>
      </w:r>
    </w:p>
    <w:p>
      <w:pPr>
        <w:pStyle w:val="ListBullet"/>
        <w:spacing w:after="80" w:line="259" w:lineRule="auto"/>
      </w:pPr>
      <w:r>
        <w:t>Não garantir segurança médica de um produto.</w:t>
      </w:r>
    </w:p>
    <w:p>
      <w:pPr>
        <w:pStyle w:val="ListBullet"/>
        <w:spacing w:after="80" w:line="259" w:lineRule="auto"/>
      </w:pPr>
      <w:r>
        <w:t>Não acusar clientes ou colaboradores.</w:t>
      </w:r>
    </w:p>
    <w:p>
      <w:pPr>
        <w:pStyle w:val="ListBullet"/>
        <w:spacing w:after="80" w:line="259" w:lineRule="auto"/>
      </w:pPr>
      <w:r>
        <w:t>Não divulgar informações pessoais.</w:t>
      </w:r>
    </w:p>
    <w:p>
      <w:pPr>
        <w:pStyle w:val="ListBullet"/>
        <w:spacing w:after="80" w:line="259" w:lineRule="auto"/>
      </w:pPr>
      <w:r>
        <w:t>Não criar preços, promoções ou exceções.</w:t>
      </w:r>
    </w:p>
    <w:p>
      <w:pPr>
        <w:pStyle w:val="ListBullet"/>
        <w:spacing w:after="80" w:line="259" w:lineRule="auto"/>
      </w:pPr>
      <w:r>
        <w:t>Informar quando a situação exige decisão humana.</w:t>
      </w:r>
    </w:p>
    <w:p>
      <w:pPr>
        <w:pStyle w:val="Heading1"/>
        <w:spacing w:after="80" w:line="259" w:lineRule="auto"/>
      </w:pPr>
      <w:r>
        <w:t>20. Declaração de uso fictício</w:t>
      </w:r>
    </w:p>
    <w:p>
      <w:pPr>
        <w:spacing w:after="80" w:line="259" w:lineRule="auto"/>
      </w:pPr>
      <w:r>
        <w:t>A Café Aurora, seus produtos, unidades, colaboradores e procedimentos apresentados neste guia são fictícios. Este documento foi desenvolvido exclusivamente para fins educacionais, simulação de dados e testes de um agente corporativo de inteligência artificial.</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6E69"/>
        <w:sz w:val="16"/>
      </w:rPr>
      <w:t>CA-QUA-GUI-001 | Versão 1.0 | Documento fictício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F4E37"/>
        <w:sz w:val="16"/>
      </w:rPr>
      <w:t>Café Aurora | Uso interno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F2D2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F2D2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F2D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