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E24A" w14:textId="044155A9" w:rsidR="00E536E7" w:rsidRDefault="00CB1CDD">
      <w:pPr>
        <w:pStyle w:val="Ttulo"/>
      </w:pPr>
      <w:r>
        <w:t>Distribuição Eletrônica</w:t>
      </w:r>
    </w:p>
    <w:p w14:paraId="54B0E24B" w14:textId="597FD536" w:rsidR="00E536E7" w:rsidRDefault="00F97427">
      <w:pPr>
        <w:pStyle w:val="Ttulo2"/>
        <w:spacing w:before="257"/>
        <w:ind w:left="172"/>
      </w:pPr>
      <w:r>
        <w:t>Alexandre</w:t>
      </w:r>
      <w:r>
        <w:rPr>
          <w:spacing w:val="-7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Silva,</w:t>
      </w:r>
      <w:r>
        <w:rPr>
          <w:spacing w:val="-8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Mendoça,</w:t>
      </w:r>
      <w:r>
        <w:rPr>
          <w:spacing w:val="-6"/>
        </w:rPr>
        <w:t xml:space="preserve"> </w:t>
      </w:r>
      <w:r>
        <w:t>Vanessa</w:t>
      </w:r>
      <w:r>
        <w:rPr>
          <w:spacing w:val="-7"/>
        </w:rPr>
        <w:t xml:space="preserve"> </w:t>
      </w:r>
      <w:r>
        <w:rPr>
          <w:spacing w:val="-2"/>
        </w:rPr>
        <w:t>Sousa</w:t>
      </w:r>
    </w:p>
    <w:p w14:paraId="54B0E24C" w14:textId="6FA87FC5" w:rsidR="00E536E7" w:rsidRDefault="00F97427" w:rsidP="00F97427">
      <w:pPr>
        <w:spacing w:before="131" w:line="249" w:lineRule="auto"/>
        <w:ind w:left="172" w:right="1688"/>
        <w:rPr>
          <w:rFonts w:ascii="Times New Roman" w:hAnsi="Times New Roman"/>
          <w:i/>
          <w:sz w:val="20"/>
        </w:rPr>
      </w:pPr>
      <w:r w:rsidRPr="00F97427">
        <w:rPr>
          <w:rFonts w:ascii="Times New Roman" w:hAnsi="Times New Roman"/>
          <w:i/>
          <w:sz w:val="20"/>
        </w:rPr>
        <w:t>Instituto Federal de Goiás, IFG-Câmpus Valparaíso de Goiás, GO 72876-601, Brasil</w:t>
      </w:r>
      <w:r>
        <w:rPr>
          <w:rFonts w:ascii="Times New Roman" w:hAnsi="Times New Roman"/>
          <w:i/>
          <w:sz w:val="20"/>
        </w:rPr>
        <w:t>.</w:t>
      </w:r>
    </w:p>
    <w:p w14:paraId="54B0E24D" w14:textId="77777777" w:rsidR="00E536E7" w:rsidRDefault="00F97427">
      <w:pPr>
        <w:spacing w:before="140"/>
        <w:ind w:left="172"/>
        <w:rPr>
          <w:sz w:val="18"/>
        </w:rPr>
      </w:pPr>
      <w:r>
        <w:rPr>
          <w:sz w:val="18"/>
        </w:rPr>
        <w:t>Palavras</w:t>
      </w:r>
      <w:r>
        <w:rPr>
          <w:spacing w:val="-3"/>
          <w:sz w:val="18"/>
        </w:rPr>
        <w:t xml:space="preserve"> </w:t>
      </w:r>
      <w:r>
        <w:rPr>
          <w:sz w:val="18"/>
        </w:rPr>
        <w:t>Chave:</w:t>
      </w:r>
      <w:r>
        <w:rPr>
          <w:spacing w:val="-3"/>
          <w:sz w:val="18"/>
        </w:rPr>
        <w:t xml:space="preserve"> </w:t>
      </w:r>
      <w:r>
        <w:rPr>
          <w:sz w:val="18"/>
        </w:rPr>
        <w:t>Surfactantes,</w:t>
      </w:r>
      <w:r>
        <w:rPr>
          <w:spacing w:val="-6"/>
          <w:sz w:val="18"/>
        </w:rPr>
        <w:t xml:space="preserve"> </w:t>
      </w:r>
      <w:r>
        <w:rPr>
          <w:sz w:val="18"/>
        </w:rPr>
        <w:t>cmc,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eletroquímica</w:t>
      </w:r>
    </w:p>
    <w:p w14:paraId="54B0E24E" w14:textId="77777777" w:rsidR="00E536E7" w:rsidRDefault="00E536E7">
      <w:pPr>
        <w:pStyle w:val="Corpodetexto"/>
        <w:jc w:val="left"/>
        <w:rPr>
          <w:sz w:val="14"/>
        </w:rPr>
      </w:pPr>
    </w:p>
    <w:p w14:paraId="54B0E24F" w14:textId="77777777" w:rsidR="00E536E7" w:rsidRDefault="00E536E7">
      <w:pPr>
        <w:rPr>
          <w:sz w:val="14"/>
        </w:rPr>
        <w:sectPr w:rsidR="00E536E7">
          <w:type w:val="continuous"/>
          <w:pgSz w:w="11910" w:h="16850"/>
          <w:pgMar w:top="1540" w:right="1020" w:bottom="280" w:left="980" w:header="720" w:footer="720" w:gutter="0"/>
          <w:cols w:space="720"/>
        </w:sectPr>
      </w:pPr>
    </w:p>
    <w:p w14:paraId="54B0E250" w14:textId="77777777" w:rsidR="00E536E7" w:rsidRDefault="00F97427">
      <w:pPr>
        <w:pStyle w:val="Ttulo2"/>
        <w:tabs>
          <w:tab w:val="left" w:pos="1950"/>
          <w:tab w:val="left" w:pos="4824"/>
        </w:tabs>
      </w:pPr>
      <w:r>
        <w:rPr>
          <w:color w:val="FFFFFF"/>
          <w:highlight w:val="darkRed"/>
        </w:rPr>
        <w:tab/>
      </w:r>
      <w:r>
        <w:rPr>
          <w:color w:val="FFFFFF"/>
          <w:spacing w:val="-2"/>
          <w:highlight w:val="darkRed"/>
        </w:rPr>
        <w:t>Introdução</w:t>
      </w:r>
      <w:r>
        <w:rPr>
          <w:color w:val="FFFFFF"/>
          <w:highlight w:val="darkRed"/>
        </w:rPr>
        <w:tab/>
      </w:r>
    </w:p>
    <w:p w14:paraId="54B0E251" w14:textId="77777777" w:rsidR="00E536E7" w:rsidRDefault="00F97427">
      <w:pPr>
        <w:pStyle w:val="Corpodetexto"/>
        <w:spacing w:before="135"/>
        <w:ind w:left="152" w:right="3" w:firstLine="720"/>
      </w:pPr>
      <w:r>
        <w:t>Surfactantes são tensoativos, compostos anfifílicos que tendem</w:t>
      </w:r>
      <w:r>
        <w:rPr>
          <w:spacing w:val="-1"/>
        </w:rPr>
        <w:t xml:space="preserve"> </w:t>
      </w:r>
      <w:r>
        <w:t>a se aglomerar em micelas, e que apresentam duas regiões distintas e características: uma hidrifílica e outra hidrofóbica</w:t>
      </w:r>
    </w:p>
    <w:p w14:paraId="54B0E252" w14:textId="77777777" w:rsidR="00E536E7" w:rsidRDefault="00F97427">
      <w:pPr>
        <w:pStyle w:val="Corpodetexto"/>
        <w:ind w:left="152" w:firstLine="720"/>
      </w:pPr>
      <w:r>
        <w:t>O tipo de tensoativo, isto é, o tamanho da cadeia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hidrocarboneto</w:t>
      </w:r>
      <w:r>
        <w:rPr>
          <w:spacing w:val="-4"/>
        </w:rPr>
        <w:t xml:space="preserve"> </w:t>
      </w:r>
      <w:r>
        <w:t>agregada</w:t>
      </w:r>
      <w:r>
        <w:rPr>
          <w:spacing w:val="-4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do meio, tais como a concentração iônica, temperatura etc, são importantes para a determinação da CMC. Como a formação das micelas é acompanhada por alterações no comportamento de algumas das</w:t>
      </w:r>
      <w:r>
        <w:rPr>
          <w:spacing w:val="40"/>
        </w:rPr>
        <w:t xml:space="preserve"> </w:t>
      </w:r>
      <w:r>
        <w:t>várias propriedades físicas (tais como, espalhamento de luz, viscosidade, condutividade elétrica, tensão superficial, pressão osmótica e capacidade de solubilização de solutos), a CMC pode então ser determinada por meio dessas alterações</w:t>
      </w:r>
      <w:r>
        <w:rPr>
          <w:position w:val="6"/>
          <w:sz w:val="13"/>
        </w:rPr>
        <w:t>1</w:t>
      </w:r>
      <w:r>
        <w:t>,</w:t>
      </w:r>
      <w:r>
        <w:rPr>
          <w:position w:val="6"/>
          <w:sz w:val="13"/>
        </w:rPr>
        <w:t>2</w:t>
      </w:r>
      <w:r>
        <w:t xml:space="preserve">O objetivo deste trabalho foi portanto </w:t>
      </w:r>
      <w:r>
        <w:t>determinar a Concentração Micelar Crítica (CMC), em</w:t>
      </w:r>
      <w:r>
        <w:rPr>
          <w:spacing w:val="-7"/>
        </w:rPr>
        <w:t xml:space="preserve"> </w:t>
      </w:r>
      <w:r>
        <w:t>soluções</w:t>
      </w:r>
      <w:r>
        <w:rPr>
          <w:spacing w:val="-5"/>
        </w:rPr>
        <w:t xml:space="preserve"> </w:t>
      </w:r>
      <w:r>
        <w:t>constituídas</w:t>
      </w:r>
      <w:r>
        <w:rPr>
          <w:spacing w:val="-4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soluto</w:t>
      </w:r>
      <w:r>
        <w:rPr>
          <w:spacing w:val="-5"/>
        </w:rPr>
        <w:t xml:space="preserve"> </w:t>
      </w:r>
      <w:r>
        <w:t>lauril</w:t>
      </w:r>
      <w:r>
        <w:rPr>
          <w:spacing w:val="-4"/>
        </w:rPr>
        <w:t xml:space="preserve"> </w:t>
      </w:r>
      <w:r>
        <w:t>sulfato</w:t>
      </w:r>
      <w:r>
        <w:rPr>
          <w:spacing w:val="-5"/>
        </w:rPr>
        <w:t xml:space="preserve"> </w:t>
      </w:r>
      <w:r>
        <w:t>de sódio em água, e logo após em solução aquosa de cloreto de sódio, ácido cloridrico, sulfato de sódio e hidroxido de sodio por medidas de condutividade.</w:t>
      </w:r>
    </w:p>
    <w:p w14:paraId="54B0E253" w14:textId="77777777" w:rsidR="00E536E7" w:rsidRDefault="00E536E7">
      <w:pPr>
        <w:pStyle w:val="Corpodetexto"/>
        <w:spacing w:before="169"/>
        <w:jc w:val="left"/>
      </w:pPr>
    </w:p>
    <w:p w14:paraId="54B0E254" w14:textId="77777777" w:rsidR="00E536E7" w:rsidRDefault="00F97427">
      <w:pPr>
        <w:pStyle w:val="Ttulo1"/>
        <w:tabs>
          <w:tab w:val="left" w:pos="894"/>
          <w:tab w:val="left" w:pos="4824"/>
        </w:tabs>
        <w:ind w:left="237" w:hanging="123"/>
      </w:pPr>
      <w:r>
        <w:rPr>
          <w:color w:val="FFFFFF"/>
          <w:highlight w:val="darkRed"/>
        </w:rPr>
        <w:tab/>
      </w:r>
      <w:r>
        <w:rPr>
          <w:color w:val="FFFFFF"/>
          <w:highlight w:val="darkRed"/>
        </w:rPr>
        <w:tab/>
        <w:t>Procedimento</w:t>
      </w:r>
      <w:r>
        <w:rPr>
          <w:color w:val="FFFFFF"/>
          <w:spacing w:val="-7"/>
          <w:highlight w:val="darkRed"/>
        </w:rPr>
        <w:t xml:space="preserve"> </w:t>
      </w:r>
      <w:r>
        <w:rPr>
          <w:color w:val="FFFFFF"/>
          <w:spacing w:val="-2"/>
          <w:highlight w:val="darkRed"/>
        </w:rPr>
        <w:t>experimental</w:t>
      </w:r>
      <w:r>
        <w:rPr>
          <w:color w:val="FFFFFF"/>
          <w:highlight w:val="darkRed"/>
        </w:rPr>
        <w:tab/>
      </w:r>
    </w:p>
    <w:p w14:paraId="54B0E255" w14:textId="77777777" w:rsidR="00E536E7" w:rsidRDefault="00E536E7">
      <w:pPr>
        <w:pStyle w:val="Corpodetexto"/>
        <w:spacing w:before="9"/>
        <w:jc w:val="left"/>
        <w:rPr>
          <w:b/>
          <w:sz w:val="24"/>
        </w:rPr>
      </w:pPr>
    </w:p>
    <w:p w14:paraId="54B0E256" w14:textId="77777777" w:rsidR="00E536E7" w:rsidRDefault="00F97427">
      <w:pPr>
        <w:pStyle w:val="Corpodetexto"/>
        <w:ind w:left="152" w:firstLine="84"/>
      </w:pPr>
      <w:r>
        <w:t>Para a realização do presente experimento, diluiu- se a solução de lauril sulfato de sódio para 0,05 mol/L, pois essa solução estava com concentração de 0,08 mol/L. Em seguida, colocou-se 20mL de água em um béquer e mediu-se a condutância. Pipetou- se 1mL de lauril sulfato de sódio, homogeneizou-se e mediu-se a condutância, repetiu-se até que da solução pipetada fosse 20mL.Realizou-se o mesmo procedimento com as soluções de NaOH, NaCl, Na2SO4, e HCl e anotou- se todas as condutâncias medidas.</w:t>
      </w:r>
    </w:p>
    <w:p w14:paraId="54B0E257" w14:textId="77777777" w:rsidR="00E536E7" w:rsidRDefault="00E536E7">
      <w:pPr>
        <w:pStyle w:val="Corpodetexto"/>
        <w:spacing w:before="18"/>
        <w:jc w:val="left"/>
      </w:pPr>
    </w:p>
    <w:p w14:paraId="54B0E258" w14:textId="77777777" w:rsidR="00E536E7" w:rsidRDefault="00F97427">
      <w:pPr>
        <w:pStyle w:val="Ttulo1"/>
        <w:tabs>
          <w:tab w:val="left" w:pos="1033"/>
          <w:tab w:val="left" w:pos="4824"/>
        </w:tabs>
        <w:spacing w:before="1"/>
      </w:pPr>
      <w:r>
        <w:rPr>
          <w:color w:val="FFFFFF"/>
          <w:highlight w:val="darkRed"/>
        </w:rPr>
        <w:tab/>
      </w:r>
      <w:r>
        <w:rPr>
          <w:color w:val="FFFFFF"/>
          <w:highlight w:val="darkRed"/>
        </w:rPr>
        <w:t>Resultados</w:t>
      </w:r>
      <w:r>
        <w:rPr>
          <w:color w:val="FFFFFF"/>
          <w:spacing w:val="-6"/>
          <w:highlight w:val="darkRed"/>
        </w:rPr>
        <w:t xml:space="preserve"> </w:t>
      </w:r>
      <w:r>
        <w:rPr>
          <w:color w:val="FFFFFF"/>
          <w:highlight w:val="darkRed"/>
        </w:rPr>
        <w:t>e</w:t>
      </w:r>
      <w:r>
        <w:rPr>
          <w:color w:val="FFFFFF"/>
          <w:spacing w:val="-3"/>
          <w:highlight w:val="darkRed"/>
        </w:rPr>
        <w:t xml:space="preserve"> </w:t>
      </w:r>
      <w:r>
        <w:rPr>
          <w:color w:val="FFFFFF"/>
          <w:spacing w:val="-2"/>
          <w:highlight w:val="darkRed"/>
        </w:rPr>
        <w:t>discussões</w:t>
      </w:r>
      <w:r>
        <w:rPr>
          <w:color w:val="FFFFFF"/>
          <w:highlight w:val="darkRed"/>
        </w:rPr>
        <w:tab/>
      </w:r>
    </w:p>
    <w:p w14:paraId="54B0E259" w14:textId="77777777" w:rsidR="00E536E7" w:rsidRDefault="00F97427">
      <w:pPr>
        <w:pStyle w:val="Corpodetexto"/>
        <w:spacing w:before="131" w:line="249" w:lineRule="auto"/>
        <w:ind w:left="152" w:firstLine="720"/>
      </w:pPr>
      <w:r>
        <w:t>Utilizando o surfactante SDS, que possui</w:t>
      </w:r>
      <w:r>
        <w:rPr>
          <w:spacing w:val="40"/>
        </w:rPr>
        <w:t xml:space="preserve"> </w:t>
      </w:r>
      <w:r>
        <w:t>um valor de concentração micelar crítica determinado na aula, realizou-se a construção dos gráficos para determinar o valor da CMC do SDS</w:t>
      </w:r>
      <w:r>
        <w:rPr>
          <w:spacing w:val="40"/>
        </w:rPr>
        <w:t xml:space="preserve"> </w:t>
      </w:r>
      <w:r>
        <w:t xml:space="preserve">por condutividade, nas condições experimentais </w:t>
      </w:r>
      <w:r>
        <w:rPr>
          <w:spacing w:val="-2"/>
        </w:rPr>
        <w:t>realizadas.</w:t>
      </w:r>
    </w:p>
    <w:p w14:paraId="54B0E25A" w14:textId="77777777" w:rsidR="00E536E7" w:rsidRDefault="00F97427">
      <w:pPr>
        <w:pStyle w:val="Corpodetexto"/>
        <w:spacing w:before="5" w:line="249" w:lineRule="auto"/>
        <w:ind w:left="152" w:firstLine="720"/>
      </w:pPr>
      <w:r>
        <w:t>A Figura 1, apresenta um gráfico da variação da condutância em função da</w:t>
      </w:r>
      <w:r>
        <w:rPr>
          <w:spacing w:val="40"/>
        </w:rPr>
        <w:t xml:space="preserve"> </w:t>
      </w:r>
      <w:r>
        <w:t xml:space="preserve">concentração molar do lauril sulfato de sódio </w:t>
      </w:r>
      <w:r>
        <w:rPr>
          <w:position w:val="1"/>
        </w:rPr>
        <w:t>adicionado em água, NaCl, HCl, Na</w:t>
      </w:r>
      <w:r>
        <w:rPr>
          <w:sz w:val="13"/>
        </w:rPr>
        <w:t>2</w:t>
      </w:r>
      <w:r>
        <w:rPr>
          <w:position w:val="1"/>
        </w:rPr>
        <w:t>SO</w:t>
      </w:r>
      <w:r>
        <w:rPr>
          <w:sz w:val="13"/>
        </w:rPr>
        <w:t>4</w:t>
      </w:r>
      <w:r>
        <w:rPr>
          <w:position w:val="1"/>
        </w:rPr>
        <w:t>, NaOH.</w:t>
      </w:r>
    </w:p>
    <w:p w14:paraId="54B0E25B" w14:textId="77777777" w:rsidR="00E536E7" w:rsidRDefault="00F97427">
      <w:pPr>
        <w:spacing w:before="168" w:after="25"/>
        <w:rPr>
          <w:sz w:val="20"/>
        </w:rPr>
      </w:pPr>
      <w:r>
        <w:br w:type="column"/>
      </w:r>
    </w:p>
    <w:p w14:paraId="54B0E25C" w14:textId="77777777" w:rsidR="00E536E7" w:rsidRDefault="00F97427">
      <w:pPr>
        <w:pStyle w:val="Corpodetexto"/>
        <w:ind w:left="788"/>
        <w:jc w:val="left"/>
      </w:pPr>
      <w:r>
        <w:rPr>
          <w:noProof/>
        </w:rPr>
        <w:drawing>
          <wp:inline distT="0" distB="0" distL="0" distR="0" wp14:anchorId="54B0E264" wp14:editId="54B0E265">
            <wp:extent cx="2374436" cy="21122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4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25D" w14:textId="77777777" w:rsidR="00E536E7" w:rsidRDefault="00F97427">
      <w:pPr>
        <w:pStyle w:val="Corpodetexto"/>
        <w:spacing w:before="229" w:line="249" w:lineRule="auto"/>
        <w:ind w:left="236" w:right="111" w:firstLine="720"/>
      </w:pPr>
      <w:r>
        <w:t>À medida que a concentração de SDS aumenta, há um aumento nas medidas de condutividades, comportamento similar ao que ocorreu com a água, hidroxido de sódio e sulfato de sódio, exceto para as concentrações de NaCl e HCl que ficaram constante. Para esse sistema, pode-se considerar que o menor valor da CMC está relacionado com possíveis interações moleculares entre os íons presentes em solução e o tensoativo.</w:t>
      </w:r>
    </w:p>
    <w:p w14:paraId="54B0E25E" w14:textId="77777777" w:rsidR="00E536E7" w:rsidRDefault="00F97427">
      <w:pPr>
        <w:pStyle w:val="Ttulo1"/>
        <w:tabs>
          <w:tab w:val="left" w:pos="1830"/>
          <w:tab w:val="left" w:pos="4908"/>
        </w:tabs>
        <w:spacing w:before="172"/>
      </w:pPr>
      <w:r>
        <w:rPr>
          <w:color w:val="FFFFFF"/>
          <w:highlight w:val="darkRed"/>
        </w:rPr>
        <w:tab/>
      </w:r>
      <w:r>
        <w:rPr>
          <w:color w:val="FFFFFF"/>
          <w:spacing w:val="-2"/>
          <w:highlight w:val="darkRed"/>
        </w:rPr>
        <w:t>Conclusões</w:t>
      </w:r>
      <w:r>
        <w:rPr>
          <w:color w:val="FFFFFF"/>
          <w:highlight w:val="darkRed"/>
        </w:rPr>
        <w:tab/>
      </w:r>
    </w:p>
    <w:p w14:paraId="54B0E25F" w14:textId="77777777" w:rsidR="00E536E7" w:rsidRDefault="00F97427">
      <w:pPr>
        <w:pStyle w:val="Corpodetexto"/>
        <w:spacing w:before="129" w:line="249" w:lineRule="auto"/>
        <w:ind w:left="236" w:right="108" w:firstLine="720"/>
      </w:pPr>
      <w:r>
        <w:t>Pode-se concluir que o objetivo da aula foi obtido, realizando as técnicas bem sucedidas e obtendo bons valores experimentais quando comparados as dados da literatura</w:t>
      </w:r>
      <w:r>
        <w:rPr>
          <w:position w:val="6"/>
          <w:sz w:val="13"/>
        </w:rPr>
        <w:t>3</w:t>
      </w:r>
      <w:r>
        <w:t>, verifica-se também, que ao aumentarmos a concentração de SDS aumenta a condutividade</w:t>
      </w:r>
    </w:p>
    <w:p w14:paraId="54B0E260" w14:textId="77777777" w:rsidR="00E536E7" w:rsidRDefault="00F97427">
      <w:pPr>
        <w:pStyle w:val="Corpodetexto"/>
        <w:spacing w:before="7"/>
        <w:jc w:val="lef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B0E266" wp14:editId="54B0E267">
                <wp:simplePos x="0" y="0"/>
                <wp:positionH relativeFrom="page">
                  <wp:posOffset>3871595</wp:posOffset>
                </wp:positionH>
                <wp:positionV relativeFrom="paragraph">
                  <wp:posOffset>143993</wp:posOffset>
                </wp:positionV>
                <wp:extent cx="29648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4815">
                              <a:moveTo>
                                <a:pt x="0" y="0"/>
                              </a:moveTo>
                              <a:lnTo>
                                <a:pt x="296431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58B0E" id="Graphic 2" o:spid="_x0000_s1026" style="position:absolute;margin-left:304.85pt;margin-top:11.35pt;width:233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4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" path="m,l296431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54B0E261" w14:textId="77777777" w:rsidR="00E536E7" w:rsidRPr="00CB1CDD" w:rsidRDefault="00F97427">
      <w:pPr>
        <w:spacing w:before="8" w:line="276" w:lineRule="auto"/>
        <w:ind w:left="236" w:right="112"/>
        <w:jc w:val="both"/>
        <w:rPr>
          <w:sz w:val="20"/>
          <w:lang w:val="en-US"/>
        </w:rPr>
      </w:pPr>
      <w:r w:rsidRPr="00CB1CDD">
        <w:rPr>
          <w:position w:val="6"/>
          <w:sz w:val="13"/>
          <w:lang w:val="en-US"/>
        </w:rPr>
        <w:t>1</w:t>
      </w:r>
      <w:r w:rsidRPr="00CB1CDD">
        <w:rPr>
          <w:spacing w:val="40"/>
          <w:position w:val="6"/>
          <w:sz w:val="13"/>
          <w:lang w:val="en-US"/>
        </w:rPr>
        <w:t xml:space="preserve"> </w:t>
      </w:r>
      <w:r w:rsidRPr="00CB1CDD">
        <w:rPr>
          <w:sz w:val="20"/>
          <w:lang w:val="en-US"/>
        </w:rPr>
        <w:t xml:space="preserve">Skoog, D.; West, D.; Holler, F.; Crouch, S. </w:t>
      </w:r>
      <w:r w:rsidRPr="00CB1CDD">
        <w:rPr>
          <w:i/>
          <w:sz w:val="20"/>
          <w:lang w:val="en-US"/>
        </w:rPr>
        <w:t>Fundamentals of Analytical Chemistry</w:t>
      </w:r>
      <w:r w:rsidRPr="00CB1CDD">
        <w:rPr>
          <w:sz w:val="20"/>
          <w:lang w:val="en-US"/>
        </w:rPr>
        <w:t>, 9a. ed., Cengage Learning: Belmont, 2013.</w:t>
      </w:r>
    </w:p>
    <w:p w14:paraId="54B0E262" w14:textId="77777777" w:rsidR="00E536E7" w:rsidRPr="00CB1CDD" w:rsidRDefault="00F97427">
      <w:pPr>
        <w:spacing w:before="1" w:line="276" w:lineRule="auto"/>
        <w:ind w:left="236" w:right="108"/>
        <w:jc w:val="both"/>
        <w:rPr>
          <w:sz w:val="20"/>
          <w:lang w:val="en-US"/>
        </w:rPr>
      </w:pPr>
      <w:r w:rsidRPr="00CB1CDD">
        <w:rPr>
          <w:position w:val="6"/>
          <w:sz w:val="13"/>
          <w:lang w:val="en-US"/>
        </w:rPr>
        <w:t>2</w:t>
      </w:r>
      <w:r w:rsidRPr="00CB1CDD">
        <w:rPr>
          <w:spacing w:val="24"/>
          <w:position w:val="6"/>
          <w:sz w:val="13"/>
          <w:lang w:val="en-US"/>
        </w:rPr>
        <w:t xml:space="preserve"> </w:t>
      </w:r>
      <w:r w:rsidRPr="00CB1CDD">
        <w:rPr>
          <w:sz w:val="20"/>
          <w:lang w:val="en-US"/>
        </w:rPr>
        <w:t xml:space="preserve">Atkins, P.; de Paula, J. </w:t>
      </w:r>
      <w:r w:rsidRPr="00CB1CDD">
        <w:rPr>
          <w:i/>
          <w:sz w:val="20"/>
          <w:lang w:val="en-US"/>
        </w:rPr>
        <w:t>Atkins’ Physical Chemistry</w:t>
      </w:r>
      <w:r w:rsidRPr="00CB1CDD">
        <w:rPr>
          <w:sz w:val="20"/>
          <w:lang w:val="en-US"/>
        </w:rPr>
        <w:t>, 9a. ed., OUP Oxford: Oxford, 2010.</w:t>
      </w:r>
    </w:p>
    <w:p w14:paraId="54B0E263" w14:textId="77777777" w:rsidR="00E536E7" w:rsidRDefault="00F97427">
      <w:pPr>
        <w:pStyle w:val="Corpodetexto"/>
        <w:spacing w:line="276" w:lineRule="auto"/>
        <w:ind w:left="236" w:right="116"/>
      </w:pPr>
      <w:r>
        <w:rPr>
          <w:position w:val="6"/>
          <w:sz w:val="13"/>
        </w:rPr>
        <w:t>3</w:t>
      </w:r>
      <w:r>
        <w:rPr>
          <w:spacing w:val="40"/>
          <w:position w:val="6"/>
          <w:sz w:val="13"/>
        </w:rPr>
        <w:t xml:space="preserve"> </w:t>
      </w:r>
      <w:r>
        <w:t xml:space="preserve">De Moraes, S. L.; Oliveira Rezende, M. O. Determinação da concentração micelar crítica de ácidos húmicos por medidas de condutividade e espectroscopia. </w:t>
      </w:r>
      <w:r>
        <w:rPr>
          <w:i/>
        </w:rPr>
        <w:t xml:space="preserve">Quimica Nova </w:t>
      </w:r>
      <w:r>
        <w:rPr>
          <w:b/>
        </w:rPr>
        <w:t>2004</w:t>
      </w:r>
      <w:r>
        <w:t xml:space="preserve">, </w:t>
      </w:r>
      <w:r>
        <w:rPr>
          <w:i/>
        </w:rPr>
        <w:t>27</w:t>
      </w:r>
      <w:r>
        <w:t>, 701.</w:t>
      </w:r>
    </w:p>
    <w:sectPr w:rsidR="00E536E7">
      <w:type w:val="continuous"/>
      <w:pgSz w:w="11910" w:h="16850"/>
      <w:pgMar w:top="1540" w:right="1020" w:bottom="280" w:left="980" w:header="720" w:footer="720" w:gutter="0"/>
      <w:cols w:num="2" w:space="720" w:equalWidth="0">
        <w:col w:w="4830" w:space="50"/>
        <w:col w:w="5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6E7"/>
    <w:rsid w:val="000F705E"/>
    <w:rsid w:val="00CB1CDD"/>
    <w:rsid w:val="00E536E7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0E24A"/>
  <w15:docId w15:val="{1A356285-DF9C-4333-8793-776BD202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14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6"/>
      <w:ind w:left="38"/>
      <w:jc w:val="center"/>
    </w:pPr>
    <w:rPr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CAS</dc:creator>
  <cp:lastModifiedBy>Flávio Olimpio</cp:lastModifiedBy>
  <cp:revision>3</cp:revision>
  <dcterms:created xsi:type="dcterms:W3CDTF">2024-08-12T23:22:00Z</dcterms:created>
  <dcterms:modified xsi:type="dcterms:W3CDTF">2024-08-12T23:24:00Z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2024-08-12T00:00:00Z</vt:filetime>
  </property>
  <property fmtid="{D5CDD505-2E9C-101B-9397-08002B2CF9AE}" pid="5" name="Producer">
    <vt:lpwstr>3-Heights(TM) PDF Security Shell 4.8.25.2 (http://www.pdf-tools.com)</vt:lpwstr>
  </property>
</Properties>
</file>