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lbg362tl3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ANAMNESE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Maria Luiza Ramos, 52 anos, feminina, casada, parda, natural de Dourados - MS, procedente de Campo Grande - MS, aposentada (ex-professora), católica.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QP:</w:t>
      </w:r>
      <w:r w:rsidDel="00000000" w:rsidR="00000000" w:rsidRPr="00000000">
        <w:rPr>
          <w:rtl w:val="0"/>
        </w:rPr>
        <w:t xml:space="preserve"> “Febre, cansaço e inchaço nas pernas há uma semana”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HDA:</w:t>
      </w:r>
      <w:r w:rsidDel="00000000" w:rsidR="00000000" w:rsidRPr="00000000">
        <w:rPr>
          <w:rtl w:val="0"/>
        </w:rPr>
        <w:t xml:space="preserve"> Paciente procura atendimento na UBS referindo febre intermitente (máximas de 38,7ºC) associada a astenia progressiva e dispneia aos esforços moderados há 7 dias. Relata também edema em membros inferiores, principalmente vespertino, e sensação de palpitação ocasional. Nega dor torácica, tosse ou expectoração. Reforça perda de apetite, sudorese noturna e calafrios. Há cerca de 20 dias realizou extração dentária em consultório sem cobertura antibiótica prévia. Desde então, refere início dos sintomas. Nega hemoptise, náuseas ou vômitos.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HMP:</w:t>
      </w:r>
      <w:r w:rsidDel="00000000" w:rsidR="00000000" w:rsidRPr="00000000">
        <w:rPr>
          <w:rtl w:val="0"/>
        </w:rPr>
        <w:t xml:space="preserve"> Portadora de valvopatia mitral reumática diagnosticada na juventude, em uso irregular de enalapril. Relata uma internação hospitalar há 5 anos por descompensação cardíaca. Nega alergias conhecidas. Não usa fitoterápicos. Esquema vacinal incompleto, sem doses atualizadas para COVID-19 ou Influenza.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HFS:</w:t>
      </w:r>
      <w:r w:rsidDel="00000000" w:rsidR="00000000" w:rsidRPr="00000000">
        <w:rPr>
          <w:rtl w:val="0"/>
        </w:rPr>
        <w:t xml:space="preserve"> Nega etilismo ou tabagismo. Casada, em relação estável, nega ISTs prévias. Mora em casa com saneamento básico adequado. Alimentação irregular. Relata cuidado oral deficiente, com episódios recorrentes de gengivite e cáries. Sem contato com animais doentes ou viagens recentes.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HFam:</w:t>
      </w:r>
      <w:r w:rsidDel="00000000" w:rsidR="00000000" w:rsidRPr="00000000">
        <w:rPr>
          <w:rtl w:val="0"/>
        </w:rPr>
        <w:t xml:space="preserve"> Pai falecido aos 70 anos por IAM. Mãe viva, hipertensa e diabética. Um irmão falecido por AVC aos 59 anos.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cwv302b1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Geral e Sinais Vitais: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REG, corada, anictérica, sem linfadenomegalias palpáveis. Extremidades quentes, com presença de petéquias subungueais e palmas com lesões eritematosas não dolorosas (lesões de Janeway?). TEC 2s. FC: 104 bpm; FR: 20 irpm; Temp: 38,2ºC; PA: 100/60 mmHg; SpO2: 95% em ar ambiente.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zcgnhv7se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respiratório: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Tórax simétrico, expansibilidade preservada, murmúrio vesicular presente bilateralmente, sem ruídos adventícios. Percussão normal, sem alterações.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qprbpzmm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cardiovascular: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Bulhas hipofonéticas, ritmo regular em 2T, presença de </w:t>
      </w:r>
      <w:r w:rsidDel="00000000" w:rsidR="00000000" w:rsidRPr="00000000">
        <w:rPr>
          <w:b w:val="1"/>
          <w:rtl w:val="0"/>
        </w:rPr>
        <w:t xml:space="preserve">sopro diastólico em foco mitral</w:t>
      </w:r>
      <w:r w:rsidDel="00000000" w:rsidR="00000000" w:rsidRPr="00000000">
        <w:rPr>
          <w:rtl w:val="0"/>
        </w:rPr>
        <w:t xml:space="preserve">, não referido previamente. Sem IJV. Pulso de amplitude reduzida.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70rlwwtcn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Exame físico abdominal: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Plano, flácido, indolor à palpação, RHA presentes. Fígado palpável a 2 cm do rebordo costal direito, sugestivo de congestão hepática.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