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Bitcount Grid Double Ink Variable 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download contains Bitcount Grid Double Ink as both a variable font and static fonts.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Bitcount Grid Double Ink is a variable font with these axes: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CRSV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ELXP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SZP1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SZP2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XPN1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XPN2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YPN1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YPN2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wght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all the styles are contained in a single file: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Bitcount_Grid_Double_Ink/BitcountGridDoubleInk-VariableFont_CRSV,ELSH,ELXP,SZP1,SZP2,XPN1,XPN2,YPN1,YPN2,slnt,wght.ttf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app fully supports variable fonts, you can now pick intermediate styles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aren’t available as static fonts. Not all apps support variable fonts, and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those cases you can use the static font files for Bitcount Grid Double Ink: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the font files you want to use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your app's font picker to view the font family and all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styles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about variable fonts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https://developers.google.com/web/fundamentals/design-and-ux/typography/variable-fonts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https://variablefonts.typenetwork.com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https://medium.com/variable-fonts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desktop apps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https://theblog.adobe.com/can-variable-fonts-illustrator-cc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https://helpx.adobe.com/nz/photoshop/using/fonts.html#variable_fonts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https://developers.google.com/fonts/docs/getting_started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https://developer.mozilla.org/en-US/docs/Web/CSS/CSS_Fonts/Variable_Fonts_Guide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https://developer.microsoft.com/en-us/microsoft-edge/testdrive/demos/variable-fonts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fonts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MacOS: https://support.apple.com/en-us/HT201749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Linux: https://www.google.com/search?q=how+to+install+a+font+on+gnu%2Blinux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Windows: https://support.microsoft.com/en-us/help/314960/how-to-install-or-remove-a-font-in-windows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Apps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https://developers.google.com/fonts/docs/android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https://developer.android.com/guide/topics/ui/look-and-feel/downloadable-fonts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the full license text (OFL.txt) to understand the permissions,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and requirements for usage, redistribution, and modification.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use them in your products &amp; projects – print or digital,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or otherwise.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isn't legal advice, please consider consulting a lawyer and see the full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for all details.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