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8539" w14:textId="50B219B1" w:rsidR="00014A1F" w:rsidRPr="002B2971" w:rsidRDefault="00000000" w:rsidP="002B2971">
      <w:pPr>
        <w:pStyle w:val="Title"/>
        <w:spacing w:after="0"/>
        <w:jc w:val="both"/>
        <w:rPr>
          <w:rFonts w:ascii="Times New Roman" w:hAnsi="Times New Roman" w:cs="Times New Roman"/>
          <w:b/>
          <w:bCs/>
          <w:sz w:val="24"/>
          <w:szCs w:val="24"/>
        </w:rPr>
      </w:pPr>
      <w:r w:rsidRPr="002B2971">
        <w:rPr>
          <w:rFonts w:ascii="Times New Roman" w:hAnsi="Times New Roman" w:cs="Times New Roman"/>
          <w:b/>
          <w:bCs/>
          <w:sz w:val="24"/>
          <w:szCs w:val="24"/>
        </w:rPr>
        <w:t>Flood Trigger Justification Report</w:t>
      </w:r>
    </w:p>
    <w:p w14:paraId="1C67993A" w14:textId="5B907F67" w:rsidR="00014A1F" w:rsidRPr="002B2971" w:rsidRDefault="00000000" w:rsidP="002B2971">
      <w:pPr>
        <w:pStyle w:val="Heading1"/>
        <w:spacing w:line="240" w:lineRule="auto"/>
        <w:jc w:val="both"/>
        <w:rPr>
          <w:rFonts w:ascii="Times New Roman" w:hAnsi="Times New Roman" w:cs="Times New Roman"/>
          <w:b w:val="0"/>
          <w:bCs w:val="0"/>
          <w:sz w:val="24"/>
          <w:szCs w:val="24"/>
        </w:rPr>
      </w:pPr>
      <w:r w:rsidRPr="002B2971">
        <w:rPr>
          <w:rFonts w:ascii="Times New Roman" w:hAnsi="Times New Roman" w:cs="Times New Roman"/>
          <w:b w:val="0"/>
          <w:bCs w:val="0"/>
          <w:sz w:val="24"/>
          <w:szCs w:val="24"/>
        </w:rPr>
        <w:t>Introduction: SSI vs. SWI</w:t>
      </w:r>
    </w:p>
    <w:p w14:paraId="4D6DFE6A"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0F6EF876" w14:textId="4B965F3E" w:rsidR="00306C3B" w:rsidRDefault="000621B9" w:rsidP="00306C3B">
      <w:pPr>
        <w:pStyle w:val="BodyText"/>
        <w:spacing w:after="0" w:line="240" w:lineRule="auto"/>
        <w:rPr>
          <w:rFonts w:ascii="Times New Roman" w:hAnsi="Times New Roman" w:cs="Times New Roman"/>
          <w:sz w:val="24"/>
          <w:szCs w:val="24"/>
        </w:rPr>
      </w:pPr>
      <w:r>
        <w:rPr>
          <w:rFonts w:ascii="Times New Roman" w:hAnsi="Times New Roman" w:cs="Times New Roman"/>
          <w:sz w:val="24"/>
          <w:szCs w:val="24"/>
        </w:rPr>
        <w:t>Defining</w:t>
      </w:r>
      <w:r w:rsidR="00306C3B">
        <w:rPr>
          <w:rFonts w:ascii="Times New Roman" w:hAnsi="Times New Roman" w:cs="Times New Roman"/>
          <w:sz w:val="24"/>
          <w:szCs w:val="24"/>
        </w:rPr>
        <w:t xml:space="preserve"> S</w:t>
      </w:r>
      <w:r>
        <w:rPr>
          <w:rFonts w:ascii="Times New Roman" w:hAnsi="Times New Roman" w:cs="Times New Roman"/>
          <w:sz w:val="24"/>
          <w:szCs w:val="24"/>
        </w:rPr>
        <w:t>tandardized Soil Moisture Index (SSI) and Soil Water Index</w:t>
      </w:r>
      <w:r w:rsidR="00306C3B">
        <w:rPr>
          <w:rFonts w:ascii="Times New Roman" w:hAnsi="Times New Roman" w:cs="Times New Roman"/>
          <w:sz w:val="24"/>
          <w:szCs w:val="24"/>
        </w:rPr>
        <w:t xml:space="preserve"> </w:t>
      </w:r>
      <w:r>
        <w:rPr>
          <w:rFonts w:ascii="Times New Roman" w:hAnsi="Times New Roman" w:cs="Times New Roman"/>
          <w:sz w:val="24"/>
          <w:szCs w:val="24"/>
        </w:rPr>
        <w:t>(</w:t>
      </w:r>
      <w:r w:rsidR="00306C3B">
        <w:rPr>
          <w:rFonts w:ascii="Times New Roman" w:hAnsi="Times New Roman" w:cs="Times New Roman"/>
          <w:sz w:val="24"/>
          <w:szCs w:val="24"/>
        </w:rPr>
        <w:t>SWI</w:t>
      </w:r>
      <w:r>
        <w:rPr>
          <w:rFonts w:ascii="Times New Roman" w:hAnsi="Times New Roman" w:cs="Times New Roman"/>
          <w:sz w:val="24"/>
          <w:szCs w:val="24"/>
        </w:rPr>
        <w:t>):</w:t>
      </w:r>
      <w:r w:rsidR="00306C3B">
        <w:rPr>
          <w:rFonts w:ascii="Times New Roman" w:hAnsi="Times New Roman" w:cs="Times New Roman"/>
          <w:sz w:val="24"/>
          <w:szCs w:val="24"/>
        </w:rPr>
        <w:t xml:space="preserve"> </w:t>
      </w:r>
    </w:p>
    <w:p w14:paraId="0983E3AE" w14:textId="77777777" w:rsidR="00306C3B" w:rsidRDefault="00306C3B" w:rsidP="00306C3B">
      <w:pPr>
        <w:pStyle w:val="BodyText"/>
        <w:spacing w:after="0" w:line="240" w:lineRule="auto"/>
        <w:rPr>
          <w:rFonts w:ascii="Times New Roman" w:hAnsi="Times New Roman" w:cs="Times New Roman"/>
          <w:sz w:val="24"/>
          <w:szCs w:val="24"/>
        </w:rPr>
      </w:pPr>
    </w:p>
    <w:p w14:paraId="6F8B862C" w14:textId="44957FDC" w:rsidR="00306C3B" w:rsidRDefault="00000000" w:rsidP="00306C3B">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 xml:space="preserve">Standardized Soil Moisture Index (SSI): A purely statistical measure. It ranks the current soil moisture against the historical record and expresses it as a standard deviation (Z-score). </w:t>
      </w:r>
      <w:r w:rsidR="00C16DA8">
        <w:rPr>
          <w:rFonts w:ascii="Times New Roman" w:hAnsi="Times New Roman" w:cs="Times New Roman"/>
          <w:sz w:val="24"/>
          <w:szCs w:val="24"/>
        </w:rPr>
        <w:t>A</w:t>
      </w:r>
      <w:r w:rsidRPr="002B2971">
        <w:rPr>
          <w:rFonts w:ascii="Times New Roman" w:hAnsi="Times New Roman" w:cs="Times New Roman"/>
          <w:sz w:val="24"/>
          <w:szCs w:val="24"/>
        </w:rPr>
        <w:t>nswer</w:t>
      </w:r>
      <w:r w:rsidR="00C16DA8">
        <w:rPr>
          <w:rFonts w:ascii="Times New Roman" w:hAnsi="Times New Roman" w:cs="Times New Roman"/>
          <w:sz w:val="24"/>
          <w:szCs w:val="24"/>
        </w:rPr>
        <w:t>ing</w:t>
      </w:r>
      <w:r w:rsidRPr="002B2971">
        <w:rPr>
          <w:rFonts w:ascii="Times New Roman" w:hAnsi="Times New Roman" w:cs="Times New Roman"/>
          <w:sz w:val="24"/>
          <w:szCs w:val="24"/>
        </w:rPr>
        <w:t xml:space="preserve"> How abnormally wet is the soil compared to what is expected for this specific district? It is ideal for detecting the onset of a rare, extreme event.</w:t>
      </w:r>
    </w:p>
    <w:p w14:paraId="3DBEBAB0" w14:textId="3656E9E6"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br/>
        <w:t xml:space="preserve">Soil Water Index / Saturation Index (SWI): A physical measure. It tracks the absolute percentage of water capacity the soil is currently holding (0% to 100%). </w:t>
      </w:r>
      <w:r w:rsidR="00F32111">
        <w:rPr>
          <w:rFonts w:ascii="Times New Roman" w:hAnsi="Times New Roman" w:cs="Times New Roman"/>
          <w:sz w:val="24"/>
          <w:szCs w:val="24"/>
        </w:rPr>
        <w:t xml:space="preserve">Answering </w:t>
      </w:r>
      <w:r w:rsidRPr="002B2971">
        <w:rPr>
          <w:rFonts w:ascii="Times New Roman" w:hAnsi="Times New Roman" w:cs="Times New Roman"/>
          <w:sz w:val="24"/>
          <w:szCs w:val="24"/>
        </w:rPr>
        <w:t>Is the soil physically full of water? It is ideal for measuring the duration of waterlogging and assessing actual physical conditions on the ground.</w:t>
      </w:r>
    </w:p>
    <w:p w14:paraId="5CDB0CFA" w14:textId="5CD1F2BC" w:rsidR="00014A1F" w:rsidRPr="002B2971" w:rsidRDefault="00000000" w:rsidP="003F33B4">
      <w:p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________________________________________________________________________</w:t>
      </w:r>
    </w:p>
    <w:p w14:paraId="0C52F0F6" w14:textId="0AA33B79" w:rsidR="00014A1F" w:rsidRPr="002B2971" w:rsidRDefault="00000000" w:rsidP="00263A66">
      <w:pPr>
        <w:pStyle w:val="Heading1"/>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Methodologies</w:t>
      </w:r>
    </w:p>
    <w:p w14:paraId="64F2C1E4"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A. Atmospheric Anomaly: SPI-7d (Standardized Precipitation Index)</w:t>
      </w:r>
    </w:p>
    <w:p w14:paraId="50052E54"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35C822A9" w14:textId="03E527B4" w:rsidR="00014A1F" w:rsidRPr="003F33B4" w:rsidRDefault="00000000" w:rsidP="003F33B4">
      <w:pPr>
        <w:pStyle w:val="ListBullet"/>
        <w:numPr>
          <w:ilvl w:val="0"/>
          <w:numId w:val="0"/>
        </w:num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Computation:</w:t>
      </w:r>
      <w:r w:rsidR="003F33B4">
        <w:rPr>
          <w:rFonts w:ascii="Times New Roman" w:hAnsi="Times New Roman" w:cs="Times New Roman"/>
          <w:sz w:val="24"/>
          <w:szCs w:val="24"/>
        </w:rPr>
        <w:t xml:space="preserve"> </w:t>
      </w:r>
      <w:r w:rsidRPr="003F33B4">
        <w:rPr>
          <w:rFonts w:ascii="Times New Roman" w:hAnsi="Times New Roman" w:cs="Times New Roman"/>
          <w:sz w:val="24"/>
          <w:szCs w:val="24"/>
        </w:rPr>
        <w:t>A 7-day rolling average of precipitation is ranked against the 25-year historical record. The ranks are converted into non-parametric percentiles using the Gringorten plotting position and mapped to a Standard Normal Distribution.</w:t>
      </w:r>
    </w:p>
    <w:p w14:paraId="0E35E5A1" w14:textId="77777777" w:rsidR="00263A66" w:rsidRDefault="00263A66" w:rsidP="003F33B4">
      <w:pPr>
        <w:pStyle w:val="ListBullet"/>
        <w:numPr>
          <w:ilvl w:val="0"/>
          <w:numId w:val="0"/>
        </w:numPr>
        <w:spacing w:after="0" w:line="240" w:lineRule="auto"/>
        <w:jc w:val="both"/>
        <w:rPr>
          <w:rFonts w:ascii="Times New Roman" w:hAnsi="Times New Roman" w:cs="Times New Roman"/>
          <w:sz w:val="24"/>
          <w:szCs w:val="24"/>
        </w:rPr>
      </w:pPr>
    </w:p>
    <w:p w14:paraId="78248567" w14:textId="5859A51C" w:rsidR="00014A1F" w:rsidRPr="003F33B4" w:rsidRDefault="00000000" w:rsidP="003F33B4">
      <w:pPr>
        <w:pStyle w:val="ListBullet"/>
        <w:numPr>
          <w:ilvl w:val="0"/>
          <w:numId w:val="0"/>
        </w:numPr>
        <w:spacing w:after="0" w:line="240" w:lineRule="auto"/>
        <w:jc w:val="both"/>
        <w:rPr>
          <w:rFonts w:ascii="Times New Roman" w:hAnsi="Times New Roman" w:cs="Times New Roman"/>
          <w:sz w:val="24"/>
          <w:szCs w:val="24"/>
        </w:rPr>
      </w:pPr>
      <w:r w:rsidRPr="003F33B4">
        <w:rPr>
          <w:rFonts w:ascii="Times New Roman" w:hAnsi="Times New Roman" w:cs="Times New Roman"/>
          <w:sz w:val="24"/>
          <w:szCs w:val="24"/>
        </w:rPr>
        <w:t>Raw rainfall (mm) cannot be used effectively across a portfolio because an absolute value (e.g., 100mm) might cause catastrophic flooding in a dry district but be a normal weekly occurrence in a wet district. Standardization allows for a uniform trigger framework across diverse climatologies.</w:t>
      </w:r>
    </w:p>
    <w:p w14:paraId="3CD8E2CF" w14:textId="77777777" w:rsidR="00263A66" w:rsidRDefault="00263A66" w:rsidP="00263A66">
      <w:pPr>
        <w:pStyle w:val="ListBullet"/>
        <w:numPr>
          <w:ilvl w:val="0"/>
          <w:numId w:val="0"/>
        </w:numPr>
        <w:spacing w:after="0" w:line="240" w:lineRule="auto"/>
        <w:jc w:val="both"/>
        <w:rPr>
          <w:rFonts w:ascii="Times New Roman" w:hAnsi="Times New Roman" w:cs="Times New Roman"/>
          <w:sz w:val="24"/>
          <w:szCs w:val="24"/>
        </w:rPr>
      </w:pPr>
    </w:p>
    <w:p w14:paraId="30D0BC88" w14:textId="44B708C9" w:rsidR="00014A1F" w:rsidRPr="003F33B4" w:rsidRDefault="00000000" w:rsidP="00263A66">
      <w:pPr>
        <w:pStyle w:val="ListBullet"/>
        <w:numPr>
          <w:ilvl w:val="0"/>
          <w:numId w:val="0"/>
        </w:num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The Gringorten Method:</w:t>
      </w:r>
      <w:r w:rsidR="003F33B4">
        <w:rPr>
          <w:rFonts w:ascii="Times New Roman" w:hAnsi="Times New Roman" w:cs="Times New Roman"/>
          <w:sz w:val="24"/>
          <w:szCs w:val="24"/>
        </w:rPr>
        <w:t xml:space="preserve"> </w:t>
      </w:r>
      <w:r w:rsidRPr="003F33B4">
        <w:rPr>
          <w:rFonts w:ascii="Times New Roman" w:hAnsi="Times New Roman" w:cs="Times New Roman"/>
          <w:sz w:val="24"/>
          <w:szCs w:val="24"/>
        </w:rPr>
        <w:t>Unlike the traditional Gamma-distribution SPI, the empirical Gringorten method does not force the data to fit a theoretical curve. This is highly advantageous for extreme events and dry climates with many zero-rainfall days, where theoretical parametric distributions often fail or create artificially inflated extremes (Farahmand and AghaKouchak, 2015).</w:t>
      </w:r>
    </w:p>
    <w:p w14:paraId="7D6A46C3" w14:textId="77777777" w:rsidR="00263A66" w:rsidRDefault="00263A66" w:rsidP="00263A66">
      <w:pPr>
        <w:pStyle w:val="ListBullet"/>
        <w:numPr>
          <w:ilvl w:val="0"/>
          <w:numId w:val="0"/>
        </w:numPr>
        <w:spacing w:after="0" w:line="240" w:lineRule="auto"/>
        <w:jc w:val="both"/>
        <w:rPr>
          <w:rFonts w:ascii="Times New Roman" w:hAnsi="Times New Roman" w:cs="Times New Roman"/>
          <w:sz w:val="24"/>
          <w:szCs w:val="24"/>
        </w:rPr>
      </w:pPr>
    </w:p>
    <w:p w14:paraId="1386DC82" w14:textId="6781E63B" w:rsidR="00014A1F" w:rsidRPr="003F33B4" w:rsidRDefault="00000000" w:rsidP="00263A66">
      <w:pPr>
        <w:pStyle w:val="ListBullet"/>
        <w:numPr>
          <w:ilvl w:val="0"/>
          <w:numId w:val="0"/>
        </w:num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Threshold (1.2):</w:t>
      </w:r>
      <w:r w:rsidR="003F33B4">
        <w:rPr>
          <w:rFonts w:ascii="Times New Roman" w:hAnsi="Times New Roman" w:cs="Times New Roman"/>
          <w:sz w:val="24"/>
          <w:szCs w:val="24"/>
        </w:rPr>
        <w:t xml:space="preserve"> </w:t>
      </w:r>
      <w:r w:rsidRPr="003F33B4">
        <w:rPr>
          <w:rFonts w:ascii="Times New Roman" w:hAnsi="Times New Roman" w:cs="Times New Roman"/>
          <w:sz w:val="24"/>
          <w:szCs w:val="24"/>
        </w:rPr>
        <w:t>An SPI of 1.2 equates to approximately the 88.5th percentile. In standard meteorological literature, values above 1.0 are considered "moderately wet" while 1.5+ is "severely wet". 1.2 acts as a robust early-warning indicator of severe atmospheric moisture loading.</w:t>
      </w:r>
    </w:p>
    <w:p w14:paraId="37C61A07"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45E15E3A"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B. Surface Overflow: SRI-7d (Standardized Runoff Index)</w:t>
      </w:r>
    </w:p>
    <w:p w14:paraId="71E8AF2F"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06958F4B"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Computation:</w:t>
      </w:r>
    </w:p>
    <w:p w14:paraId="32A6F568"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lastRenderedPageBreak/>
        <w:t>Uses the same 7-day Gringorten standardized approach on surface runoff data.</w:t>
      </w:r>
    </w:p>
    <w:p w14:paraId="4A21635C"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Justification:</w:t>
      </w:r>
    </w:p>
    <w:p w14:paraId="7DED8C52"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Because the analysis is conducted at the district scale, runoff captures not only localized agricultural field pooling but also the overflow of major river channels and catchments traversing the district, representing a critical component in large-scale flood modeling (Kauffeldt et al., 2016).</w:t>
      </w:r>
    </w:p>
    <w:p w14:paraId="1D2D2612"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681A32D0"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C. Catchment Anomaly: SSI-14d (Standardized Soil Moisture Index)</w:t>
      </w:r>
    </w:p>
    <w:p w14:paraId="501C5132"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6963B9C3"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Computation:</w:t>
      </w:r>
    </w:p>
    <w:p w14:paraId="31DA5C6F"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Uses a 14-day rolling window of depth-weighted root-zone moisture (25% topsoil, 75% subsoil).</w:t>
      </w:r>
    </w:p>
    <w:p w14:paraId="2118EC10"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Justification for the 14-Day Window:</w:t>
      </w:r>
    </w:p>
    <w:p w14:paraId="5424DE34"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Soil moisture is an integrating variable that accumulates precipitation over time. A 14-day window filters out intense but short-lived 1-to-2 day storms that drain rapidly without harming crops. A 14-day sustained anomaly confirms that the broader watershed hydrology is overwhelmed and persistent saturation is occurring.</w:t>
      </w:r>
    </w:p>
    <w:p w14:paraId="256D5A2B"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Threshold (1.5):</w:t>
      </w:r>
    </w:p>
    <w:p w14:paraId="6F28DEF6"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An SSI of 1.5 (93.3rd percentile) represents a "severely wet" anomaly, indicating a statistically rare extreme event capable of triggering widespread flooding.</w:t>
      </w:r>
    </w:p>
    <w:p w14:paraId="0DFE7E2E"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773B5318"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D. Root-Zone Saturation Index (SWI, 0-100%)</w:t>
      </w:r>
    </w:p>
    <w:p w14:paraId="39EFBC40"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3D15B8E5"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Computation:</w:t>
      </w:r>
    </w:p>
    <w:p w14:paraId="0562F446"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A recursive exponential filter (T=10 days) is applied to simulate soil memory and slow drainage (Wagner, Lemoine and Stoffelen, 1999; Albergel et al., 2008). The result is scaled by dividing by the 99th percentile of the district's historical maximum capacity.</w:t>
      </w:r>
    </w:p>
    <w:p w14:paraId="4041D50E"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Why Compute vs Download Copernicus SWI:</w:t>
      </w:r>
    </w:p>
    <w:p w14:paraId="389759B2"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Computing SWI directly from ERA5 volumetric water content ensures a continuous, gap-free historical climatology from 1940-present, which is essential for accurate insurance pricing. It also allows precise tuning of the root-zone depth weighting and the T-value for specific crops like maize, which standard pre-computed satellite SWI products (e.g., Copernicus Global Land Service, 2021) do not offer.</w:t>
      </w:r>
    </w:p>
    <w:p w14:paraId="2158D2D0"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Why the 99th Percentile:</w:t>
      </w:r>
    </w:p>
    <w:p w14:paraId="679C4489"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Scaling to the 100th percentile risks anchoring the index to a single historical data artifact or extreme outlier. The 99th percentile provides a highly robust, repeatable empirical boundary for the soil's true Field Capacity.</w:t>
      </w:r>
    </w:p>
    <w:p w14:paraId="70FE26D7"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Importance of Hypoxia:</w:t>
      </w:r>
    </w:p>
    <w:p w14:paraId="6124F599"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When saturation remains high, plant roots suffer from hypoxia (oxygen starvation). This halts respiration, prevents nutrient uptake, induces root rot, and ultimately leads to severe reductions in grain yield and complete crop failure during critical growth stages (Ren et al., 2014). Tracking this physical state is essential during the active crop calendar.</w:t>
      </w:r>
    </w:p>
    <w:p w14:paraId="61EED335"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22299649" w14:textId="77777777" w:rsidR="00014A1F" w:rsidRPr="002B2971" w:rsidRDefault="00000000" w:rsidP="002B2971">
      <w:p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________________________________________________________________________________</w:t>
      </w:r>
    </w:p>
    <w:p w14:paraId="307735ED"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685CA2E8" w14:textId="77777777" w:rsidR="00014A1F" w:rsidRPr="002B2971" w:rsidRDefault="00000000" w:rsidP="002B2971">
      <w:pPr>
        <w:pStyle w:val="Heading1"/>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3. Parametric Trigger Logic and Defendability</w:t>
      </w:r>
    </w:p>
    <w:p w14:paraId="44E28801"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41887384"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The payout mechanism operates through a dual-phase sequence: an Onset condition to initiate the payout, and a Latch condition to sustain it.</w:t>
      </w:r>
    </w:p>
    <w:p w14:paraId="2AC47109"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4D313731"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741F333B"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Onset Condition: SSI &gt;= 1.5 AND SRI &gt;= 1.2</w:t>
      </w:r>
    </w:p>
    <w:p w14:paraId="6BFD55DE"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70D4142A"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Justification:</w:t>
      </w:r>
    </w:p>
    <w:p w14:paraId="13168C77"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Relying on a single index in parametric insurance often leads to high basis risk. For example, heavy rainfall (SPI) might safely drain away, or soil moisture (SSI) might be high without active surface flooding. Requiring a consensus between severe subsurface saturation (SSI $\ge$ 1.5) and active surface overflow (SRI $\ge$ 1.2) ensures that a multi-dimensional flood event is actively inundating the district (Hao and AghaKouchak, 2013; Cammalleri, Vogt and Salamon, 2016). This mitigates false positives and ensures the trigger activates only during a verified crisis.</w:t>
      </w:r>
    </w:p>
    <w:p w14:paraId="631778C9"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1681A2C5" w14:textId="77777777" w:rsidR="00014A1F" w:rsidRPr="002B2971" w:rsidRDefault="00000000" w:rsidP="002B2971">
      <w:pPr>
        <w:pStyle w:val="Heading2"/>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Latch Condition: Saturation Index &gt;= 95%</w:t>
      </w:r>
    </w:p>
    <w:p w14:paraId="064E1AB0"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7D629179"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Justification:</w:t>
      </w:r>
    </w:p>
    <w:p w14:paraId="4973D05C"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If the framework relied solely on the statistical SSI or SPI, the payout window would terminate shortly after the storm passes, as the relative anomaly decays. However, floodwaters often remain pooled in agricultural fields long after the rain stops. A purely statistical index does not capture this physical duration. The physical Saturation Index tracks the standing water.</w:t>
      </w:r>
    </w:p>
    <w:p w14:paraId="7B0D2792"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The 95% Threshold:</w:t>
      </w:r>
    </w:p>
    <w:p w14:paraId="42B3F730" w14:textId="77777777" w:rsidR="00014A1F" w:rsidRPr="002B2971" w:rsidRDefault="00000000" w:rsidP="002B2971">
      <w:pPr>
        <w:pStyle w:val="ListBulle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A 95% value indicates that the soil is holding 95% of its empirical maximum capacity. At this level, soil pores are almost entirely filled with water rather than air, guaranteeing the onset of root hypoxia. Utilizing this physical metric to hold the payout open aligns the financial compensation directly with the duration of the biological crop damage occurring on the ground.</w:t>
      </w:r>
    </w:p>
    <w:p w14:paraId="0D1EBCB0"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6F397404" w14:textId="77777777" w:rsidR="00014A1F" w:rsidRPr="002B2971" w:rsidRDefault="00000000" w:rsidP="002B2971">
      <w:pPr>
        <w:pStyle w:val="Heading1"/>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4. Conclusion</w:t>
      </w:r>
    </w:p>
    <w:p w14:paraId="0A24B39E"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3D0B791C"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 xml:space="preserve">By isolating statistical anomalies and anchoring the payout duration to physical soil hypoxia limits, this parametric framework provides a transparent and scientifically defendable method for assessing agricultural flood risk. It mitigates basis risk by </w:t>
      </w:r>
      <w:r w:rsidRPr="002B2971">
        <w:rPr>
          <w:rFonts w:ascii="Times New Roman" w:hAnsi="Times New Roman" w:cs="Times New Roman"/>
          <w:sz w:val="24"/>
          <w:szCs w:val="24"/>
        </w:rPr>
        <w:lastRenderedPageBreak/>
        <w:t>requiring multi-index consensus for activation and utilizes physical saturation tracking to ensure payouts reflect the true conditions experienced during the crop calendar.</w:t>
      </w:r>
    </w:p>
    <w:p w14:paraId="7C31F04C"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22DC9E9A" w14:textId="77777777" w:rsidR="00014A1F" w:rsidRPr="002B2971" w:rsidRDefault="00000000" w:rsidP="002B2971">
      <w:pPr>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________________________________________________________________________________</w:t>
      </w:r>
    </w:p>
    <w:p w14:paraId="04BD51B1"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6DF39B4F" w14:textId="77777777" w:rsidR="00014A1F" w:rsidRPr="002B2971" w:rsidRDefault="00000000" w:rsidP="002B2971">
      <w:pPr>
        <w:pStyle w:val="Heading1"/>
        <w:spacing w:line="240" w:lineRule="auto"/>
        <w:jc w:val="both"/>
        <w:rPr>
          <w:rFonts w:ascii="Times New Roman" w:hAnsi="Times New Roman" w:cs="Times New Roman"/>
          <w:sz w:val="24"/>
          <w:szCs w:val="24"/>
        </w:rPr>
      </w:pPr>
      <w:r w:rsidRPr="002B2971">
        <w:rPr>
          <w:rFonts w:ascii="Times New Roman" w:hAnsi="Times New Roman" w:cs="Times New Roman"/>
          <w:sz w:val="24"/>
          <w:szCs w:val="24"/>
        </w:rPr>
        <w:t>5. References</w:t>
      </w:r>
    </w:p>
    <w:p w14:paraId="359A25C1"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75A720EC"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Albergel, C., Rüdiger, C., Pellarin, L., Calvet, J.C., Fritz, N., Froissard, F., Suquia, D., Petitpa, A., Piguet, B. and Martin, E., 2008. From near-surface to root-zone soil moisture using an exponential filter: an assessment of the algorithm distance-to-land. Hydrology and Earth System Sciences, 12(6), pp.1323-1337.</w:t>
      </w:r>
    </w:p>
    <w:p w14:paraId="27A6E656"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48DF3A99"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Brocca, L., Hasenauer, S., Lacava, T., Melone, F., Moramarco, T., Wagner, W., Dorigo, W., Matgen, P., Martínez-Fernández, J., Llorens, P. and Nivorozhkin, A., 2010. Soil moisture estimation through ASCAT and AMSR-E sensors: An intercomparison and validation study across Europe. Remote Sensing of Environment, 114(11), pp.2542-2555.</w:t>
      </w:r>
    </w:p>
    <w:p w14:paraId="36D7D2C1"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10BD016B"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Cammalleri, C., Vogt, J.V. and Salamon, P., 2016. Development of a combined drought indicator for agricultural monitoring in Europe. Natural Hazards and Earth System Sciences, 16(6), pp.1399-1413.</w:t>
      </w:r>
    </w:p>
    <w:p w14:paraId="3DEC2E67"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28BCF8AA"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Copernicus Global Land Service (CGLS), 2021. Product User Manual: Soil Water Index (SWI) 1km Version 3. European Commission Joint Research Centre (JRC).</w:t>
      </w:r>
    </w:p>
    <w:p w14:paraId="749C6407"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2EB64B51"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Farahmand, A. and AghaKouchak, A., 2015. A generalized framework for deriving nonparametric standardized drought indicators. Advances in Water Resources, 76, pp.140-145.</w:t>
      </w:r>
    </w:p>
    <w:p w14:paraId="2274361F"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5F4D18FA"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Hao, Z. and AghaKouchak, A., 2013. Multivariate Standardized Drought Index: A multi-index approach for complementary drought and flood monitoring. Environmental Research Letters, 8(3), p.034030.</w:t>
      </w:r>
    </w:p>
    <w:p w14:paraId="2BC4273B"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1F21D84E"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Kauffeldt, A., Wetterhall, F., Pappenberger, F., Salamon, P. and Thielen, J., 2016. Technical review of large-scale hydrological models for implementation in operational flood forecasting. Hydrological Processes, 30(16), pp.2820-2835.</w:t>
      </w:r>
    </w:p>
    <w:p w14:paraId="7073E1F4"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28B041A2"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Ren, B., Zhang, J., Dong, S., Liu, P. and Zhao, B., 2014. Effects of waterlogging on leaf photosynthetic characteristics and grain yield of summer maize at different growth stages. Agricultural Water Management, 144, pp.134-143.</w:t>
      </w:r>
    </w:p>
    <w:p w14:paraId="0CD29E39"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p w14:paraId="070CB74B" w14:textId="77777777" w:rsidR="00014A1F" w:rsidRPr="002B2971" w:rsidRDefault="00000000" w:rsidP="002B2971">
      <w:pPr>
        <w:pStyle w:val="BodyText"/>
        <w:spacing w:after="0" w:line="240" w:lineRule="auto"/>
        <w:jc w:val="both"/>
        <w:rPr>
          <w:rFonts w:ascii="Times New Roman" w:hAnsi="Times New Roman" w:cs="Times New Roman"/>
          <w:sz w:val="24"/>
          <w:szCs w:val="24"/>
        </w:rPr>
      </w:pPr>
      <w:r w:rsidRPr="002B2971">
        <w:rPr>
          <w:rFonts w:ascii="Times New Roman" w:hAnsi="Times New Roman" w:cs="Times New Roman"/>
          <w:sz w:val="24"/>
          <w:szCs w:val="24"/>
        </w:rPr>
        <w:t>Wagner, W., Lemoine, G. and Stoffelen, A., 1999. A method for estimating soil moisture from ERS scatterometer and soil data. Remote Sensing of Environment, 70(2), pp.191-207.</w:t>
      </w:r>
    </w:p>
    <w:p w14:paraId="0DE06FC5" w14:textId="77777777" w:rsidR="00014A1F" w:rsidRPr="002B2971" w:rsidRDefault="00014A1F" w:rsidP="002B2971">
      <w:pPr>
        <w:pStyle w:val="BodyText"/>
        <w:spacing w:after="0" w:line="240" w:lineRule="auto"/>
        <w:jc w:val="both"/>
        <w:rPr>
          <w:rFonts w:ascii="Times New Roman" w:hAnsi="Times New Roman" w:cs="Times New Roman"/>
          <w:sz w:val="24"/>
          <w:szCs w:val="24"/>
        </w:rPr>
      </w:pPr>
    </w:p>
    <w:sectPr w:rsidR="00014A1F" w:rsidRPr="002B29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978964">
    <w:abstractNumId w:val="8"/>
  </w:num>
  <w:num w:numId="2" w16cid:durableId="1021709790">
    <w:abstractNumId w:val="6"/>
  </w:num>
  <w:num w:numId="3" w16cid:durableId="151721799">
    <w:abstractNumId w:val="5"/>
  </w:num>
  <w:num w:numId="4" w16cid:durableId="1202978891">
    <w:abstractNumId w:val="4"/>
  </w:num>
  <w:num w:numId="5" w16cid:durableId="189606958">
    <w:abstractNumId w:val="7"/>
  </w:num>
  <w:num w:numId="6" w16cid:durableId="225339541">
    <w:abstractNumId w:val="3"/>
  </w:num>
  <w:num w:numId="7" w16cid:durableId="1200044049">
    <w:abstractNumId w:val="2"/>
  </w:num>
  <w:num w:numId="8" w16cid:durableId="1132753110">
    <w:abstractNumId w:val="1"/>
  </w:num>
  <w:num w:numId="9" w16cid:durableId="146788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1F"/>
    <w:rsid w:val="00034616"/>
    <w:rsid w:val="0006063C"/>
    <w:rsid w:val="000621B9"/>
    <w:rsid w:val="0015074B"/>
    <w:rsid w:val="00263A66"/>
    <w:rsid w:val="0029639D"/>
    <w:rsid w:val="002B2971"/>
    <w:rsid w:val="00306C3B"/>
    <w:rsid w:val="00326F90"/>
    <w:rsid w:val="003A3B5D"/>
    <w:rsid w:val="003F33B4"/>
    <w:rsid w:val="006640BB"/>
    <w:rsid w:val="00AA1D8D"/>
    <w:rsid w:val="00B47730"/>
    <w:rsid w:val="00B71F69"/>
    <w:rsid w:val="00C16DA8"/>
    <w:rsid w:val="00CB0664"/>
    <w:rsid w:val="00F32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9089BB-2B95-42CA-9733-C4EB244D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2e768f6-fef1-4ac6-84bc-1d77352d9175}" enabled="0" method="" siteId="{e2e768f6-fef1-4ac6-84bc-1d77352d9175}" removed="1"/>
</clbl:labelList>
</file>

<file path=docProps/app.xml><?xml version="1.0" encoding="utf-8"?>
<Properties xmlns="http://schemas.openxmlformats.org/officeDocument/2006/extended-properties" xmlns:vt="http://schemas.openxmlformats.org/officeDocument/2006/docPropsVTypes">
  <Template>Normal</Template>
  <TotalTime>68</TotalTime>
  <Pages>4</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Flawiya Shirish More</cp:lastModifiedBy>
  <cp:revision>10</cp:revision>
  <dcterms:created xsi:type="dcterms:W3CDTF">2013-12-23T23:15:00Z</dcterms:created>
  <dcterms:modified xsi:type="dcterms:W3CDTF">2026-07-09T16:03:00Z</dcterms:modified>
  <cp:category/>
</cp:coreProperties>
</file>