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53751" w14:textId="3C5D1EC3" w:rsidR="005870AA" w:rsidRDefault="00624C68" w:rsidP="00A56B04">
      <w:pPr>
        <w:pStyle w:val="Titel"/>
      </w:pPr>
      <w:bookmarkStart w:id="0" w:name="_Hlk111223657"/>
      <w:bookmarkEnd w:id="0"/>
      <w:r>
        <w:t xml:space="preserve">IFNAR depend </w:t>
      </w:r>
      <w:r w:rsidR="00A56B04">
        <w:t xml:space="preserve">extramedullary stress erythropoiesis </w:t>
      </w:r>
    </w:p>
    <w:p w14:paraId="185A4AFE" w14:textId="682A1611" w:rsidR="00A56B04" w:rsidRDefault="00A56B04" w:rsidP="00A56B04"/>
    <w:p w14:paraId="319D89B4" w14:textId="30859284" w:rsidR="009B5ABB" w:rsidRDefault="009B5ABB" w:rsidP="009B5ABB">
      <w:pPr>
        <w:pStyle w:val="berschrift1"/>
      </w:pPr>
      <w:r>
        <w:t xml:space="preserve">Introduction </w:t>
      </w:r>
    </w:p>
    <w:p w14:paraId="1432E565" w14:textId="72795CB2" w:rsidR="003D0FF2" w:rsidRDefault="00937595" w:rsidP="00E31AE4">
      <w:pPr>
        <w:jc w:val="both"/>
      </w:pPr>
      <w:r>
        <w:t>Hematopoietic</w:t>
      </w:r>
      <w:r w:rsidR="000C3D81">
        <w:t xml:space="preserve"> stem cell</w:t>
      </w:r>
      <w:r>
        <w:t>s</w:t>
      </w:r>
      <w:r w:rsidR="000C3D81">
        <w:t xml:space="preserve"> (HSC</w:t>
      </w:r>
      <w:r w:rsidR="0035469E">
        <w:t>s</w:t>
      </w:r>
      <w:r w:rsidR="000C3D81">
        <w:t xml:space="preserve">) </w:t>
      </w:r>
      <w:r w:rsidR="009833CF">
        <w:t>can differentiate into all types of blood cells</w:t>
      </w:r>
      <w:r>
        <w:t xml:space="preserve">. </w:t>
      </w:r>
      <w:r w:rsidR="0019117C">
        <w:t xml:space="preserve">Recent evidence refined our understanding of hematopoiesis towards a dynamic model []. In this system, </w:t>
      </w:r>
      <w:r w:rsidR="0017279C">
        <w:t>cell lineages</w:t>
      </w:r>
      <w:r w:rsidR="0019117C">
        <w:t xml:space="preserve"> react differently through development [] and in response to external </w:t>
      </w:r>
      <w:r w:rsidR="00EE1329">
        <w:t>stimulus</w:t>
      </w:r>
      <w:r w:rsidR="0019117C">
        <w:t xml:space="preserve"> []. Thereby adjusting the output of immune cells </w:t>
      </w:r>
      <w:r w:rsidR="004A6AAB">
        <w:t xml:space="preserve">in homeostasis and according to </w:t>
      </w:r>
      <w:r w:rsidR="00EE1329">
        <w:t xml:space="preserve">a </w:t>
      </w:r>
      <w:r w:rsidR="004A6AAB">
        <w:t xml:space="preserve">context specific demand. </w:t>
      </w:r>
    </w:p>
    <w:p w14:paraId="3E389082" w14:textId="7F840031" w:rsidR="000C3D81" w:rsidRDefault="00E20BF7" w:rsidP="00E31AE4">
      <w:pPr>
        <w:jc w:val="both"/>
      </w:pPr>
      <w:r>
        <w:t xml:space="preserve">Under steady-state condition </w:t>
      </w:r>
      <w:r w:rsidR="00DC624A">
        <w:t>red blood cells (RBCs)</w:t>
      </w:r>
      <w:r w:rsidR="00033124">
        <w:t xml:space="preserve"> need to be constantly replenished</w:t>
      </w:r>
      <w:r w:rsidR="00DC624A">
        <w:t xml:space="preserve">. </w:t>
      </w:r>
      <w:r>
        <w:t>T</w:t>
      </w:r>
      <w:r w:rsidR="00DC624A">
        <w:t>he center of erythropoiesis resides in the bone marrow (BM)</w:t>
      </w:r>
      <w:r>
        <w:t xml:space="preserve"> and balances the erythrophagocytosis of senescent RBCs in the spleen</w:t>
      </w:r>
      <w:r w:rsidR="002308BE">
        <w:t xml:space="preserve"> and liver</w:t>
      </w:r>
      <w:r>
        <w:t xml:space="preserve">. </w:t>
      </w:r>
      <w:r w:rsidR="0035469E">
        <w:t xml:space="preserve">Red pulp macrophages (RPMs) </w:t>
      </w:r>
      <w:r w:rsidR="00836DB4">
        <w:t>facilitate both the development of RBC progenitors in erythroblastic islands (E</w:t>
      </w:r>
      <w:r w:rsidR="00CA3C82">
        <w:t>B</w:t>
      </w:r>
      <w:r w:rsidR="00836DB4">
        <w:t xml:space="preserve">Is) and their phagocytosis []. </w:t>
      </w:r>
      <w:r w:rsidR="00033124">
        <w:t xml:space="preserve">The </w:t>
      </w:r>
      <w:r w:rsidR="007400B6">
        <w:t xml:space="preserve">molecular </w:t>
      </w:r>
      <w:r w:rsidR="00033124">
        <w:t xml:space="preserve">signal to enhance erythropoiesis is the kidney derived hormone erythropoietin (EPO) which promotes survival, proliferation, and differentiation of RBC progenitors []. </w:t>
      </w:r>
    </w:p>
    <w:p w14:paraId="72AC5B71" w14:textId="00D58E85" w:rsidR="00F95642" w:rsidRDefault="00514B59" w:rsidP="00D74EB5">
      <w:pPr>
        <w:jc w:val="both"/>
      </w:pPr>
      <w:r>
        <w:t xml:space="preserve">Stress erythropoiesis is a response to conditions in which the steady-state erythropoiesis is not sufficient to supply RBCs. </w:t>
      </w:r>
      <w:r w:rsidR="00B82E3C">
        <w:t xml:space="preserve">Treatment with EPO induces stress erythropoiesis by enhancing </w:t>
      </w:r>
      <w:r w:rsidR="00872E26">
        <w:t>steady-state erythropoiesis</w:t>
      </w:r>
      <w:r w:rsidR="00352665">
        <w:t xml:space="preserve"> []</w:t>
      </w:r>
      <w:r w:rsidR="00872E26">
        <w:t>.</w:t>
      </w:r>
      <w:r w:rsidR="00B82E3C">
        <w:t xml:space="preserve"> </w:t>
      </w:r>
      <w:r w:rsidR="007B5D58">
        <w:t>It has been shown that EPO skews the BM multipotential progenitor (MPP) pool towards erythropoiesis [</w:t>
      </w:r>
      <w:r w:rsidR="007B5D58" w:rsidRPr="00773947">
        <w:t>Singh 201</w:t>
      </w:r>
      <w:r w:rsidR="007B5D58">
        <w:t xml:space="preserve">8, </w:t>
      </w:r>
      <w:proofErr w:type="spellStart"/>
      <w:r w:rsidR="007B5D58">
        <w:t>Tusi</w:t>
      </w:r>
      <w:proofErr w:type="spellEnd"/>
      <w:r w:rsidR="007B5D58">
        <w:t xml:space="preserve"> 2018]. </w:t>
      </w:r>
      <w:r w:rsidR="00872E26">
        <w:t xml:space="preserve">During </w:t>
      </w:r>
      <w:r w:rsidR="00A86655">
        <w:t xml:space="preserve">infection and </w:t>
      </w:r>
      <w:r w:rsidR="00872E26">
        <w:t xml:space="preserve">inflammation </w:t>
      </w:r>
      <w:r w:rsidR="004C587C">
        <w:t>however</w:t>
      </w:r>
      <w:r w:rsidR="00872E26">
        <w:t xml:space="preserve"> the </w:t>
      </w:r>
      <w:r w:rsidR="00A86655">
        <w:t xml:space="preserve">steady-state </w:t>
      </w:r>
      <w:r w:rsidR="00872E26">
        <w:t xml:space="preserve">BM hematopoiesis is </w:t>
      </w:r>
      <w:r w:rsidR="00A86655">
        <w:t>compromised by anemia of inflammation (AI) and the skewing of BM MPPs</w:t>
      </w:r>
      <w:r w:rsidR="00872E26">
        <w:t xml:space="preserve"> towards </w:t>
      </w:r>
      <w:r w:rsidR="004F5D4C">
        <w:t>myelopoiesis</w:t>
      </w:r>
      <w:r w:rsidR="00872E26">
        <w:t>.</w:t>
      </w:r>
      <w:r w:rsidR="004C587C">
        <w:t xml:space="preserve"> In this situation an alternative pathway </w:t>
      </w:r>
      <w:r w:rsidR="00352665">
        <w:t xml:space="preserve">to </w:t>
      </w:r>
      <w:r w:rsidR="001C34DD">
        <w:t xml:space="preserve">the </w:t>
      </w:r>
      <w:r w:rsidR="004F5D4C">
        <w:t xml:space="preserve">hypoxia induced </w:t>
      </w:r>
      <w:r w:rsidR="00352665">
        <w:t>EPO</w:t>
      </w:r>
      <w:r w:rsidR="001C34DD">
        <w:t>-stress response</w:t>
      </w:r>
      <w:r w:rsidR="00352665">
        <w:t xml:space="preserve"> </w:t>
      </w:r>
      <w:r w:rsidR="004C587C">
        <w:t>is needed</w:t>
      </w:r>
      <w:r w:rsidR="00F42C37">
        <w:t xml:space="preserve"> </w:t>
      </w:r>
      <w:r w:rsidR="0017279C">
        <w:t>to</w:t>
      </w:r>
      <w:r w:rsidR="00F42C37">
        <w:t xml:space="preserve"> avoid </w:t>
      </w:r>
      <w:r w:rsidR="002134FD">
        <w:t xml:space="preserve">tissue </w:t>
      </w:r>
      <w:r w:rsidR="009A5892">
        <w:t>anemia</w:t>
      </w:r>
      <w:r w:rsidR="004C587C">
        <w:t xml:space="preserve">. </w:t>
      </w:r>
    </w:p>
    <w:p w14:paraId="122B2B61" w14:textId="090693A7" w:rsidR="004A6AFC" w:rsidRDefault="00CF7620" w:rsidP="00D74EB5">
      <w:pPr>
        <w:jc w:val="both"/>
      </w:pPr>
      <w:r>
        <w:t>Paulson et al. 2011 and 2020 reviews</w:t>
      </w:r>
      <w:r w:rsidR="009C4866">
        <w:t xml:space="preserve"> his and others work on</w:t>
      </w:r>
      <w:r>
        <w:t xml:space="preserve"> the discovery of a bone morphogenetic protein </w:t>
      </w:r>
      <w:r w:rsidR="00FC4CCB">
        <w:t>4</w:t>
      </w:r>
      <w:r>
        <w:t xml:space="preserve"> (BMP4) dependent stress erythropoiesis progenitor</w:t>
      </w:r>
      <w:r w:rsidR="00FC4CCB">
        <w:t xml:space="preserve"> (SEP)</w:t>
      </w:r>
      <w:r>
        <w:t xml:space="preserve">. </w:t>
      </w:r>
      <w:r w:rsidR="00BE67F6">
        <w:t>I</w:t>
      </w:r>
      <w:r w:rsidR="00FC4CCB">
        <w:t xml:space="preserve">n </w:t>
      </w:r>
      <w:r w:rsidR="00BE67F6">
        <w:t>murine models</w:t>
      </w:r>
      <w:r w:rsidR="00FC4CCB">
        <w:t xml:space="preserve"> SEPs originate from BM short reconstituting HSC </w:t>
      </w:r>
      <w:r w:rsidR="00BE67F6">
        <w:t xml:space="preserve">which </w:t>
      </w:r>
      <w:r w:rsidR="00FC4CCB">
        <w:t>specify within the spleen</w:t>
      </w:r>
      <w:r w:rsidR="0017279C">
        <w:t xml:space="preserve"> []</w:t>
      </w:r>
      <w:r w:rsidR="00D74EB5">
        <w:t xml:space="preserve">. Upon infection </w:t>
      </w:r>
      <w:r w:rsidR="009C4866">
        <w:t>RPM erythrophagocytosis</w:t>
      </w:r>
      <w:r w:rsidR="00D74EB5">
        <w:t xml:space="preserve"> leads to heme-</w:t>
      </w:r>
      <w:r w:rsidR="001A0B5E">
        <w:t>dependent</w:t>
      </w:r>
      <w:r w:rsidR="00D74EB5">
        <w:t xml:space="preserve"> increase of </w:t>
      </w:r>
      <w:r w:rsidR="00A7469A">
        <w:t xml:space="preserve">RPM </w:t>
      </w:r>
      <w:proofErr w:type="spellStart"/>
      <w:r w:rsidR="00D74EB5">
        <w:t>SpiC</w:t>
      </w:r>
      <w:proofErr w:type="spellEnd"/>
      <w:r w:rsidR="00D74EB5">
        <w:t xml:space="preserve"> </w:t>
      </w:r>
      <w:r w:rsidR="001A0B5E">
        <w:t>and BMP4 expression</w:t>
      </w:r>
      <w:r w:rsidR="00D906EC">
        <w:t>. T</w:t>
      </w:r>
      <w:r w:rsidR="001A0B5E">
        <w:t>ogether with pro</w:t>
      </w:r>
      <w:r w:rsidR="00CC6EEE">
        <w:t>-</w:t>
      </w:r>
      <w:r w:rsidR="001A0B5E">
        <w:t xml:space="preserve">inflammatory cytokines </w:t>
      </w:r>
      <w:proofErr w:type="spellStart"/>
      <w:r w:rsidR="001A0B5E">
        <w:t>TNFa</w:t>
      </w:r>
      <w:proofErr w:type="spellEnd"/>
      <w:r w:rsidR="001A0B5E">
        <w:t xml:space="preserve"> and IL-1b </w:t>
      </w:r>
      <w:r w:rsidR="00D906EC">
        <w:t xml:space="preserve">those signals </w:t>
      </w:r>
      <w:r w:rsidR="001A0B5E">
        <w:t xml:space="preserve">promote SEP </w:t>
      </w:r>
      <w:r w:rsidR="00A7469A">
        <w:t>proliferation</w:t>
      </w:r>
      <w:r w:rsidR="00091D3C">
        <w:t xml:space="preserve"> in vitro</w:t>
      </w:r>
      <w:r w:rsidR="007726F7">
        <w:t xml:space="preserve">. </w:t>
      </w:r>
      <w:r w:rsidR="00125BD9">
        <w:t>Simultaneously</w:t>
      </w:r>
      <w:r w:rsidR="007726F7">
        <w:t xml:space="preserve"> monocytes are recruited into the spleen and </w:t>
      </w:r>
      <w:r w:rsidR="00125BD9">
        <w:t>develop into pre-RPM and RP</w:t>
      </w:r>
      <w:r w:rsidR="009C4866">
        <w:t xml:space="preserve">M. Monocytes and RPM interact with SEPs and promote the formation of stress EBIs which drive differentiation of </w:t>
      </w:r>
      <w:r w:rsidR="001F54F9">
        <w:t>SEPs</w:t>
      </w:r>
      <w:r w:rsidR="009C4866">
        <w:t xml:space="preserve">. </w:t>
      </w:r>
      <w:r w:rsidR="001F54F9">
        <w:t>While the early expansion of SEP</w:t>
      </w:r>
      <w:r w:rsidR="004A6AFC">
        <w:t>s</w:t>
      </w:r>
      <w:r w:rsidR="001F54F9">
        <w:t xml:space="preserve"> is independent of hypoxia the later differentiation is boosted by EPO. </w:t>
      </w:r>
      <w:r w:rsidR="009C4866">
        <w:t>Within seven days</w:t>
      </w:r>
      <w:r w:rsidR="004A6AFC">
        <w:t xml:space="preserve"> the</w:t>
      </w:r>
      <w:r w:rsidR="009C4866">
        <w:t xml:space="preserve"> extramedullary </w:t>
      </w:r>
      <w:r w:rsidR="004A6AFC">
        <w:t xml:space="preserve">stress </w:t>
      </w:r>
      <w:r w:rsidR="001F54F9">
        <w:t xml:space="preserve">erythropoiesis </w:t>
      </w:r>
      <w:r w:rsidR="007B5D58">
        <w:t xml:space="preserve">(ESE) </w:t>
      </w:r>
      <w:r w:rsidR="001F54F9">
        <w:t xml:space="preserve">reaches </w:t>
      </w:r>
      <w:r w:rsidR="007B5D58">
        <w:t>its</w:t>
      </w:r>
      <w:r w:rsidR="001F54F9">
        <w:t xml:space="preserve"> maximum output marked by splenomegaly</w:t>
      </w:r>
      <w:r w:rsidR="007B5D58">
        <w:t xml:space="preserve">. </w:t>
      </w:r>
    </w:p>
    <w:p w14:paraId="5C5B12C2" w14:textId="24B7D066" w:rsidR="009B5ABB" w:rsidRDefault="009B5ABB" w:rsidP="009B5ABB">
      <w:pPr>
        <w:pStyle w:val="berschrift1"/>
      </w:pPr>
      <w:r>
        <w:t xml:space="preserve">Aim and methods </w:t>
      </w:r>
    </w:p>
    <w:p w14:paraId="46293354" w14:textId="0F52A02E" w:rsidR="0017279C" w:rsidRDefault="00B32B8E" w:rsidP="0017279C">
      <w:pPr>
        <w:jc w:val="both"/>
      </w:pPr>
      <w:r>
        <w:t>Our</w:t>
      </w:r>
      <w:r w:rsidR="00881675">
        <w:t xml:space="preserve"> aim </w:t>
      </w:r>
      <w:r>
        <w:t xml:space="preserve">is </w:t>
      </w:r>
      <w:r w:rsidR="00881675">
        <w:t xml:space="preserve">to further </w:t>
      </w:r>
      <w:r w:rsidR="008A07DF">
        <w:t>refine the model of splenic stress erythropoiesis in infectious disease.</w:t>
      </w:r>
      <w:r w:rsidR="00084A3B">
        <w:t xml:space="preserve"> </w:t>
      </w:r>
      <w:r w:rsidR="0017279C">
        <w:t xml:space="preserve">We use a sterile inflammation model of viral infection by injecting mouse with TLR9 antagonist CpG. This induces inflammation and splenomegaly after seven days which indicates the peak of ESE. We then used an IFNAR/IFNBR double knock-out mice to identify cell types that react to the viral stimulus and are crucial for ESE. We conclude that monocytes and macrophage are driving ESE but not lymphocytes or granulocytes. Next, we designed a FACS sorting strategy to purify HSC, MPP, erythroblasts (progenitor sort) and monocytes, dendritic cells, macrophages (myeloid sort) from the mouse spleen. To compare splenic steady-state and stress erythropoiesis in an unbiased manner we perform 10x single cell 3’ RNA sequencing (scRNA-seq) of untreated (NaCl) and treated (CpG) mouse. We use the FACS strategy outlined above and pooled the cells of two mice per sample and two biological replicates per group. </w:t>
      </w:r>
    </w:p>
    <w:p w14:paraId="6FD7D076" w14:textId="209DCFCC" w:rsidR="009B5ABB" w:rsidRDefault="009B5ABB" w:rsidP="009B5ABB">
      <w:pPr>
        <w:pStyle w:val="berschrift1"/>
      </w:pPr>
      <w:r>
        <w:lastRenderedPageBreak/>
        <w:t xml:space="preserve">Results </w:t>
      </w:r>
    </w:p>
    <w:p w14:paraId="61398F5D" w14:textId="3C532760" w:rsidR="009B5ABB" w:rsidRPr="009B5ABB" w:rsidRDefault="009B5ABB" w:rsidP="009B5ABB">
      <w:pPr>
        <w:pStyle w:val="berschrift2"/>
      </w:pPr>
      <w:r>
        <w:t xml:space="preserve">Single cell integration </w:t>
      </w:r>
    </w:p>
    <w:p w14:paraId="607FB902" w14:textId="00638A27" w:rsidR="00783BA9" w:rsidRPr="002A7DA0" w:rsidRDefault="003C5F07" w:rsidP="002A7DA0">
      <w:pPr>
        <w:jc w:val="both"/>
      </w:pPr>
      <w:commentRangeStart w:id="1"/>
      <w:r>
        <w:rPr>
          <w:noProof/>
        </w:rPr>
        <mc:AlternateContent>
          <mc:Choice Requires="wps">
            <w:drawing>
              <wp:anchor distT="0" distB="0" distL="114300" distR="114300" simplePos="0" relativeHeight="251665408" behindDoc="0" locked="0" layoutInCell="1" allowOverlap="1" wp14:anchorId="0BB0A1CE" wp14:editId="39A98C33">
                <wp:simplePos x="0" y="0"/>
                <wp:positionH relativeFrom="column">
                  <wp:posOffset>0</wp:posOffset>
                </wp:positionH>
                <wp:positionV relativeFrom="paragraph">
                  <wp:posOffset>7806055</wp:posOffset>
                </wp:positionV>
                <wp:extent cx="5762625" cy="635"/>
                <wp:effectExtent l="0" t="0" r="0" b="0"/>
                <wp:wrapTopAndBottom/>
                <wp:docPr id="22" name="Textfeld 22"/>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14:paraId="58B76C5B" w14:textId="4CBED400" w:rsidR="003C5F07" w:rsidRPr="007232E9" w:rsidRDefault="003C5F07" w:rsidP="003C5F07">
                            <w:pPr>
                              <w:pStyle w:val="Beschriftung"/>
                              <w:rPr>
                                <w:noProof/>
                              </w:rPr>
                            </w:pPr>
                            <w:r>
                              <w:t xml:space="preserve">Figure </w:t>
                            </w:r>
                            <w:fldSimple w:instr=" SEQ Figure \* ARABIC ">
                              <w:r>
                                <w:rPr>
                                  <w:noProof/>
                                </w:rPr>
                                <w:t>1</w:t>
                              </w:r>
                            </w:fldSimple>
                            <w:r>
                              <w:t xml:space="preserve"> A UMAP B Cell type composition C Progenitor marker genes D PAGA connectivity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B0A1CE" id="_x0000_t202" coordsize="21600,21600" o:spt="202" path="m,l,21600r21600,l21600,xe">
                <v:stroke joinstyle="miter"/>
                <v:path gradientshapeok="t" o:connecttype="rect"/>
              </v:shapetype>
              <v:shape id="Textfeld 22" o:spid="_x0000_s1026" type="#_x0000_t202" style="position:absolute;left:0;text-align:left;margin-left:0;margin-top:614.65pt;width:453.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H+wFQIAADgEAAAOAAAAZHJzL2Uyb0RvYy54bWysU8GO2jAQvVfqP1i+lwAVt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" stroked="f">
                <v:textbox style="mso-fit-shape-to-text:t" inset="0,0,0,0">
                  <w:txbxContent>
                    <w:p w14:paraId="58B76C5B" w14:textId="4CBED400" w:rsidR="003C5F07" w:rsidRPr="007232E9" w:rsidRDefault="003C5F07" w:rsidP="003C5F07">
                      <w:pPr>
                        <w:pStyle w:val="Beschriftung"/>
                        <w:rPr>
                          <w:noProof/>
                        </w:rPr>
                      </w:pPr>
                      <w:r>
                        <w:t xml:space="preserve">Figure </w:t>
                      </w:r>
                      <w:fldSimple w:instr=" SEQ Figure \* ARABIC ">
                        <w:r>
                          <w:rPr>
                            <w:noProof/>
                          </w:rPr>
                          <w:t>1</w:t>
                        </w:r>
                      </w:fldSimple>
                      <w:r>
                        <w:t xml:space="preserve"> A UMAP B Cell type composition C Progenitor marker genes D PAGA connectivity matrix</w:t>
                      </w:r>
                    </w:p>
                  </w:txbxContent>
                </v:textbox>
                <w10:wrap type="topAndBottom"/>
              </v:shape>
            </w:pict>
          </mc:Fallback>
        </mc:AlternateContent>
      </w:r>
      <w:r w:rsidR="00782E51">
        <w:rPr>
          <w:noProof/>
        </w:rPr>
        <w:drawing>
          <wp:anchor distT="0" distB="0" distL="114300" distR="114300" simplePos="0" relativeHeight="251661312" behindDoc="0" locked="0" layoutInCell="1" allowOverlap="1" wp14:anchorId="3DBB6CD9" wp14:editId="69835863">
            <wp:simplePos x="0" y="0"/>
            <wp:positionH relativeFrom="margin">
              <wp:align>left</wp:align>
            </wp:positionH>
            <wp:positionV relativeFrom="paragraph">
              <wp:posOffset>1710055</wp:posOffset>
            </wp:positionV>
            <wp:extent cx="5762625" cy="6038850"/>
            <wp:effectExtent l="0" t="0" r="9525" b="0"/>
            <wp:wrapTopAndBottom/>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2625" cy="6038850"/>
                    </a:xfrm>
                    <a:prstGeom prst="rect">
                      <a:avLst/>
                    </a:prstGeom>
                    <a:noFill/>
                    <a:ln>
                      <a:noFill/>
                    </a:ln>
                  </pic:spPr>
                </pic:pic>
              </a:graphicData>
            </a:graphic>
          </wp:anchor>
        </w:drawing>
      </w:r>
      <w:r w:rsidR="009B0682">
        <w:t>The goal is to compare steady state with stress erythropoiesis</w:t>
      </w:r>
      <w:r w:rsidR="00503E30">
        <w:t xml:space="preserve">. To do so we </w:t>
      </w:r>
      <w:r w:rsidR="009B5ABB">
        <w:t xml:space="preserve">first </w:t>
      </w:r>
      <w:r w:rsidR="00503E30">
        <w:t xml:space="preserve">need to integrate cells across treatment condition. To this end we run the Seurat SCT integration workflow </w:t>
      </w:r>
      <w:r w:rsidR="009B5ABB">
        <w:t>with</w:t>
      </w:r>
      <w:r w:rsidR="00503E30">
        <w:t xml:space="preserve"> 2000, 4000, 6000 or 8000 highly variable genes</w:t>
      </w:r>
      <w:r w:rsidR="007D0E32">
        <w:t xml:space="preserve"> (HVGs)</w:t>
      </w:r>
      <w:r w:rsidR="00503E30">
        <w:t xml:space="preserve">. </w:t>
      </w:r>
      <w:r w:rsidR="007D0E32">
        <w:t xml:space="preserve">We used the same set of HVGs </w:t>
      </w:r>
      <w:r w:rsidR="008F72EE">
        <w:t xml:space="preserve">for </w:t>
      </w:r>
      <w:proofErr w:type="spellStart"/>
      <w:r w:rsidR="007D0E32">
        <w:t>Scanorama</w:t>
      </w:r>
      <w:proofErr w:type="spellEnd"/>
      <w:r w:rsidR="007D0E32">
        <w:t xml:space="preserve"> </w:t>
      </w:r>
      <w:r w:rsidR="00967D74">
        <w:t>graph-based</w:t>
      </w:r>
      <w:r w:rsidR="008F72EE">
        <w:t xml:space="preserve"> </w:t>
      </w:r>
      <w:r w:rsidR="007D0E32">
        <w:t xml:space="preserve">harmonization. Outputs were evaluated </w:t>
      </w:r>
      <w:r w:rsidR="00A215E7">
        <w:t>based</w:t>
      </w:r>
      <w:r w:rsidR="007D0E32">
        <w:t xml:space="preserve"> on marker gene expression</w:t>
      </w:r>
      <w:r w:rsidR="009B5ABB">
        <w:t xml:space="preserve">. We arbitrarily </w:t>
      </w:r>
      <w:r w:rsidR="007D0E32">
        <w:t>selected the Seurat integration workflow with 8000 HVGs for downstream analysis. Cluster were determined with the Louvain algorithm</w:t>
      </w:r>
      <w:r w:rsidR="00A215E7">
        <w:t xml:space="preserve"> (resolution 1)</w:t>
      </w:r>
      <w:r w:rsidR="007D0E32">
        <w:t xml:space="preserve">. We used the first ten dimension of the PCA build on the integrated SCT assay and k </w:t>
      </w:r>
      <w:r w:rsidR="009B5ABB">
        <w:t xml:space="preserve">set </w:t>
      </w:r>
      <w:r w:rsidR="007D0E32">
        <w:t xml:space="preserve">to 20 for the neighborhood graph. </w:t>
      </w:r>
      <w:r w:rsidR="00A215E7">
        <w:t xml:space="preserve">We subclustered three cluster on the same graph </w:t>
      </w:r>
      <w:r w:rsidR="009B5ABB">
        <w:t>on a lower resolution 0.25</w:t>
      </w:r>
      <w:r w:rsidR="00A215E7">
        <w:t>. For UMAP visualization we used the first 15 dimension of the PCA with k set to 100. The result is shown in Figure 1 A.</w:t>
      </w:r>
      <w:commentRangeEnd w:id="1"/>
      <w:r w:rsidR="00967D74">
        <w:rPr>
          <w:rStyle w:val="Kommentarzeichen"/>
        </w:rPr>
        <w:commentReference w:id="1"/>
      </w:r>
      <w:r w:rsidR="00A215E7">
        <w:t xml:space="preserve"> </w:t>
      </w:r>
      <w:r w:rsidR="00852E33">
        <w:t xml:space="preserve"> </w:t>
      </w:r>
      <w:r w:rsidR="00852E33">
        <w:rPr>
          <w:noProof/>
        </w:rPr>
        <mc:AlternateContent>
          <mc:Choice Requires="wps">
            <w:drawing>
              <wp:anchor distT="0" distB="0" distL="114300" distR="114300" simplePos="0" relativeHeight="251660288" behindDoc="0" locked="0" layoutInCell="1" allowOverlap="1" wp14:anchorId="6551221C" wp14:editId="13DB3C0F">
                <wp:simplePos x="0" y="0"/>
                <wp:positionH relativeFrom="column">
                  <wp:posOffset>167005</wp:posOffset>
                </wp:positionH>
                <wp:positionV relativeFrom="paragraph">
                  <wp:posOffset>5476875</wp:posOffset>
                </wp:positionV>
                <wp:extent cx="5753100" cy="635"/>
                <wp:effectExtent l="0" t="0" r="0" b="0"/>
                <wp:wrapTopAndBottom/>
                <wp:docPr id="1" name="Textfeld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2ABF9F0A" w14:textId="64D516A4" w:rsidR="00852E33" w:rsidRPr="008E2A84" w:rsidRDefault="00852E33" w:rsidP="00852E33">
                            <w:pPr>
                              <w:pStyle w:val="Beschriftung"/>
                              <w:rPr>
                                <w:noProof/>
                                <w:lang w:val="de-AT"/>
                              </w:rPr>
                            </w:pPr>
                            <w:r>
                              <w:t xml:space="preserve">Figure </w:t>
                            </w:r>
                            <w:fldSimple w:instr=" SEQ Figure \* ARABIC ">
                              <w:r w:rsidR="003C5F07">
                                <w:rPr>
                                  <w:noProof/>
                                </w:rPr>
                                <w:t>2</w:t>
                              </w:r>
                            </w:fldSimple>
                            <w:r>
                              <w:t>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1221C" id="Textfeld 1" o:spid="_x0000_s1027" type="#_x0000_t202" style="position:absolute;left:0;text-align:left;margin-left:13.15pt;margin-top:431.25pt;width:4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3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8+vZ1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" stroked="f">
                <v:textbox style="mso-fit-shape-to-text:t" inset="0,0,0,0">
                  <w:txbxContent>
                    <w:p w14:paraId="2ABF9F0A" w14:textId="64D516A4" w:rsidR="00852E33" w:rsidRPr="008E2A84" w:rsidRDefault="00852E33" w:rsidP="00852E33">
                      <w:pPr>
                        <w:pStyle w:val="Beschriftung"/>
                        <w:rPr>
                          <w:noProof/>
                          <w:lang w:val="de-AT"/>
                        </w:rPr>
                      </w:pPr>
                      <w:r>
                        <w:t xml:space="preserve">Figure </w:t>
                      </w:r>
                      <w:fldSimple w:instr=" SEQ Figure \* ARABIC ">
                        <w:r w:rsidR="003C5F07">
                          <w:rPr>
                            <w:noProof/>
                          </w:rPr>
                          <w:t>2</w:t>
                        </w:r>
                      </w:fldSimple>
                      <w:r>
                        <w:t>test</w:t>
                      </w:r>
                    </w:p>
                  </w:txbxContent>
                </v:textbox>
                <w10:wrap type="topAndBottom"/>
              </v:shape>
            </w:pict>
          </mc:Fallback>
        </mc:AlternateContent>
      </w:r>
    </w:p>
    <w:p w14:paraId="32CB9455" w14:textId="5442DC6E" w:rsidR="00852E33" w:rsidRDefault="00852E33" w:rsidP="00852E33">
      <w:pPr>
        <w:pStyle w:val="berschrift2"/>
      </w:pPr>
      <w:r>
        <w:lastRenderedPageBreak/>
        <w:t>Cell type annotation based on Louvain cluster</w:t>
      </w:r>
    </w:p>
    <w:p w14:paraId="1BF72F61" w14:textId="77777777" w:rsidR="00967D74" w:rsidRDefault="00852E33" w:rsidP="00064E68">
      <w:pPr>
        <w:jc w:val="both"/>
      </w:pPr>
      <w:r>
        <w:t>The cell type annotation of progenitor cells is base</w:t>
      </w:r>
      <w:r w:rsidR="00A215E7">
        <w:t xml:space="preserve">d on the marker gens from Dahlin </w:t>
      </w:r>
      <w:r>
        <w:t xml:space="preserve">et al., </w:t>
      </w:r>
      <w:r w:rsidR="00A215E7">
        <w:t>2018</w:t>
      </w:r>
      <w:r w:rsidR="009B5ABB">
        <w:t xml:space="preserve"> (Figure 1</w:t>
      </w:r>
      <w:r w:rsidR="00967D74">
        <w:t xml:space="preserve"> </w:t>
      </w:r>
      <w:r w:rsidR="009B5ABB">
        <w:t>C)</w:t>
      </w:r>
      <w:r w:rsidR="009B0682">
        <w:t>.</w:t>
      </w:r>
      <w:r>
        <w:t xml:space="preserve"> </w:t>
      </w:r>
      <w:r w:rsidR="000066F6">
        <w:t xml:space="preserve">We can identify small cluster of HSC, granulocyte and monocyte progenitors which confirms the accuracy of the integration process. </w:t>
      </w:r>
      <w:r>
        <w:t xml:space="preserve">Importantly, the marker gene expression of the erythroid lineage (MEP (1-3), Pro-Erythroblast (1-4), Erythroblast (1-5)) reflects a smooth continuum. Only MEP (1) and to a lesser extent MEP (2) show expression of Megakaryocyte genes. The </w:t>
      </w:r>
      <w:r w:rsidR="000066F6">
        <w:t>transition</w:t>
      </w:r>
      <w:r>
        <w:t xml:space="preserve"> from MEP (3) to Pro-Erythroblast (1) </w:t>
      </w:r>
      <w:r w:rsidR="00A12EB7">
        <w:t xml:space="preserve">is marked by expression of Car1 and </w:t>
      </w:r>
      <w:proofErr w:type="spellStart"/>
      <w:r w:rsidR="00A12EB7">
        <w:t>Epor</w:t>
      </w:r>
      <w:proofErr w:type="spellEnd"/>
      <w:r w:rsidR="00A12EB7">
        <w:t xml:space="preserve">. During the erythroblast stage (1-5) late-stage erythropoiesis genes are expressed (Car2, Gata1, </w:t>
      </w:r>
      <w:proofErr w:type="spellStart"/>
      <w:r w:rsidR="00A12EB7">
        <w:t>Tfrc</w:t>
      </w:r>
      <w:proofErr w:type="spellEnd"/>
      <w:r w:rsidR="00A12EB7">
        <w:t xml:space="preserve">, Hba-a1, Hba-a2). </w:t>
      </w:r>
      <w:commentRangeStart w:id="2"/>
      <w:r w:rsidR="00A12EB7">
        <w:t>The highest level of hemoglobin expression is observed in the last erythroblast cluster(5) which indicates the formation of basophilic erythroblast shortly before enucleatio</w:t>
      </w:r>
      <w:r w:rsidR="00783BA9">
        <w:t>n</w:t>
      </w:r>
      <w:commentRangeEnd w:id="2"/>
      <w:r w:rsidR="002A7DA0">
        <w:rPr>
          <w:rStyle w:val="Kommentarzeichen"/>
        </w:rPr>
        <w:commentReference w:id="2"/>
      </w:r>
      <w:r w:rsidR="00783BA9">
        <w:t xml:space="preserve">. </w:t>
      </w:r>
    </w:p>
    <w:p w14:paraId="075C3BE0" w14:textId="77777777" w:rsidR="00967D74" w:rsidRDefault="002A7DA0" w:rsidP="00064E68">
      <w:pPr>
        <w:jc w:val="both"/>
      </w:pPr>
      <w:r>
        <w:t xml:space="preserve">Erythropoiesis is known to be a linear process without branching. </w:t>
      </w:r>
      <w:r w:rsidR="008F72EE">
        <w:t>We confirm this by diffusion map and pseudotime</w:t>
      </w:r>
      <w:r w:rsidR="00FF1580">
        <w:t xml:space="preserve"> analysis</w:t>
      </w:r>
      <w:r w:rsidR="008F72EE">
        <w:t xml:space="preserve"> (Figure </w:t>
      </w:r>
      <w:r w:rsidR="00FF1580">
        <w:t>2</w:t>
      </w:r>
      <w:r w:rsidR="008F72EE">
        <w:t xml:space="preserve"> </w:t>
      </w:r>
      <w:r w:rsidR="00FF1580">
        <w:t>A</w:t>
      </w:r>
      <w:r w:rsidR="008F72EE">
        <w:t>)</w:t>
      </w:r>
      <w:r w:rsidR="00FF1580">
        <w:t xml:space="preserve">. In </w:t>
      </w:r>
      <w:r w:rsidR="00292A98">
        <w:t>addition,</w:t>
      </w:r>
      <w:r w:rsidR="00FF1580">
        <w:t xml:space="preserve"> we construct an PAGA graph of all progenitor cells to measure the probability that cells of a cluster transition into another </w:t>
      </w:r>
      <w:r w:rsidR="00292A98">
        <w:t xml:space="preserve">cluster state </w:t>
      </w:r>
      <w:r w:rsidR="00FF1580">
        <w:t>(Figure 1 D)</w:t>
      </w:r>
      <w:r w:rsidR="00292A98">
        <w:t xml:space="preserve">. The analysis concludes that early progenitor (MEP (1-3)) retain the capacity to convert towards each other transcriptional state. With the first pro-erythroblast (1) stage this plasticity is lost and based on the PAGA connectivity the cells do only transition towards the next cluster. The direction of the process from progenitor to erythroblast stage is confirmed by RNA-velocity analysis (Figure 3). </w:t>
      </w:r>
      <w:r w:rsidR="00783BA9" w:rsidRPr="00BC14B7">
        <w:rPr>
          <w:b/>
          <w:bCs/>
        </w:rPr>
        <w:t>We conclude that we have faithfully captured the complete erythroid lineage on single cell resolution</w:t>
      </w:r>
      <w:r w:rsidR="00783BA9">
        <w:t xml:space="preserve">. </w:t>
      </w:r>
    </w:p>
    <w:p w14:paraId="22DC17E2" w14:textId="74E16E95" w:rsidR="00BC14B7" w:rsidRDefault="00BC14B7" w:rsidP="00064E68">
      <w:pPr>
        <w:jc w:val="both"/>
      </w:pPr>
      <w:r>
        <w:t xml:space="preserve">We also detect a cluster of </w:t>
      </w:r>
      <w:proofErr w:type="gramStart"/>
      <w:r>
        <w:t>HSC</w:t>
      </w:r>
      <w:proofErr w:type="gramEnd"/>
      <w:r>
        <w:t xml:space="preserve"> with the potential to progress towards MEP, CMP, and GMP. The identity of the HSC cells was further confirmed by correlating the transcriptome profile with the </w:t>
      </w:r>
      <w:proofErr w:type="spellStart"/>
      <w:r>
        <w:t>ImmGen</w:t>
      </w:r>
      <w:proofErr w:type="spellEnd"/>
      <w:r>
        <w:t xml:space="preserve"> data bank (not shown). The HSC represent a potential source of BMP4 stress progenitors which is further investigated by RNA-velocity analysis. </w:t>
      </w:r>
    </w:p>
    <w:p w14:paraId="4B5AD086" w14:textId="5A7A5A03" w:rsidR="009B0682" w:rsidRPr="00BC14B7" w:rsidRDefault="00783BA9" w:rsidP="00064E68">
      <w:pPr>
        <w:jc w:val="both"/>
        <w:rPr>
          <w:b/>
          <w:bCs/>
        </w:rPr>
      </w:pPr>
      <w:commentRangeStart w:id="3"/>
      <w:r w:rsidRPr="00BC14B7">
        <w:rPr>
          <w:b/>
          <w:bCs/>
        </w:rPr>
        <w:t>The myeloid cell annotation is based on marker gene expression</w:t>
      </w:r>
      <w:r w:rsidR="009B5ABB" w:rsidRPr="00BC14B7">
        <w:rPr>
          <w:b/>
          <w:bCs/>
        </w:rPr>
        <w:t xml:space="preserve"> (not shown yet). </w:t>
      </w:r>
      <w:commentRangeEnd w:id="3"/>
      <w:r w:rsidR="00967D74">
        <w:rPr>
          <w:rStyle w:val="Kommentarzeichen"/>
        </w:rPr>
        <w:commentReference w:id="3"/>
      </w:r>
    </w:p>
    <w:p w14:paraId="750D9A29" w14:textId="021A6906" w:rsidR="008F72EE" w:rsidRDefault="008F72EE" w:rsidP="009B0682">
      <w:pPr>
        <w:pStyle w:val="berschrift2"/>
      </w:pPr>
      <w:r>
        <w:t xml:space="preserve">CpG treatment exacerbates extramedullary erythropoiesis </w:t>
      </w:r>
    </w:p>
    <w:p w14:paraId="6668BFA7" w14:textId="1C60A510" w:rsidR="003A45A7" w:rsidRDefault="003C5F07" w:rsidP="00064E68">
      <w:pPr>
        <w:jc w:val="both"/>
      </w:pPr>
      <w:r>
        <w:rPr>
          <w:noProof/>
        </w:rPr>
        <mc:AlternateContent>
          <mc:Choice Requires="wps">
            <w:drawing>
              <wp:anchor distT="0" distB="0" distL="114300" distR="114300" simplePos="0" relativeHeight="251670528" behindDoc="0" locked="0" layoutInCell="1" allowOverlap="1" wp14:anchorId="178BB4AC" wp14:editId="0E596B8C">
                <wp:simplePos x="0" y="0"/>
                <wp:positionH relativeFrom="column">
                  <wp:posOffset>0</wp:posOffset>
                </wp:positionH>
                <wp:positionV relativeFrom="paragraph">
                  <wp:posOffset>3568065</wp:posOffset>
                </wp:positionV>
                <wp:extent cx="5753100" cy="635"/>
                <wp:effectExtent l="0" t="0" r="0" b="0"/>
                <wp:wrapTopAndBottom/>
                <wp:docPr id="24" name="Textfeld 24"/>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47973AA1" w14:textId="589602AB" w:rsidR="003C5F07" w:rsidRPr="00FF310E" w:rsidRDefault="003C5F07" w:rsidP="003C5F07">
                            <w:pPr>
                              <w:pStyle w:val="Beschriftung"/>
                              <w:rPr>
                                <w:noProof/>
                              </w:rPr>
                            </w:pPr>
                            <w:r>
                              <w:t>Figure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BB4AC" id="Textfeld 24" o:spid="_x0000_s1028" type="#_x0000_t202" style="position:absolute;left:0;text-align:left;margin-left:0;margin-top:280.95pt;width:45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KY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xc3sy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" stroked="f">
                <v:textbox style="mso-fit-shape-to-text:t" inset="0,0,0,0">
                  <w:txbxContent>
                    <w:p w14:paraId="47973AA1" w14:textId="589602AB" w:rsidR="003C5F07" w:rsidRPr="00FF310E" w:rsidRDefault="003C5F07" w:rsidP="003C5F07">
                      <w:pPr>
                        <w:pStyle w:val="Beschriftung"/>
                        <w:rPr>
                          <w:noProof/>
                        </w:rPr>
                      </w:pPr>
                      <w:r>
                        <w:t>Figure 2</w:t>
                      </w:r>
                    </w:p>
                  </w:txbxContent>
                </v:textbox>
                <w10:wrap type="topAndBottom"/>
              </v:shape>
            </w:pict>
          </mc:Fallback>
        </mc:AlternateContent>
      </w:r>
      <w:r w:rsidR="005F4CD3">
        <w:rPr>
          <w:noProof/>
        </w:rPr>
        <w:drawing>
          <wp:anchor distT="0" distB="0" distL="114300" distR="114300" simplePos="0" relativeHeight="251662336" behindDoc="0" locked="0" layoutInCell="1" allowOverlap="1" wp14:anchorId="1FECD5D2" wp14:editId="2DE4D0A1">
            <wp:simplePos x="0" y="0"/>
            <wp:positionH relativeFrom="margin">
              <wp:align>left</wp:align>
            </wp:positionH>
            <wp:positionV relativeFrom="paragraph">
              <wp:posOffset>558165</wp:posOffset>
            </wp:positionV>
            <wp:extent cx="5753100" cy="2952750"/>
            <wp:effectExtent l="0" t="0" r="0" b="0"/>
            <wp:wrapTopAndBottom/>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2952750"/>
                    </a:xfrm>
                    <a:prstGeom prst="rect">
                      <a:avLst/>
                    </a:prstGeom>
                    <a:noFill/>
                    <a:ln>
                      <a:noFill/>
                    </a:ln>
                  </pic:spPr>
                </pic:pic>
              </a:graphicData>
            </a:graphic>
          </wp:anchor>
        </w:drawing>
      </w:r>
      <w:r w:rsidR="008F72EE">
        <w:t xml:space="preserve">Figure 1 B shows the cell type composition </w:t>
      </w:r>
      <w:r w:rsidR="0015794F">
        <w:t xml:space="preserve">of </w:t>
      </w:r>
      <w:r w:rsidR="00325831">
        <w:t>treated</w:t>
      </w:r>
      <w:r w:rsidR="0015794F">
        <w:t xml:space="preserve"> and untreated samples. The most pronounced effect is the expansion of erythroblasts in the CpG group while most cells of the NaCl erythroid lineage </w:t>
      </w:r>
      <w:r w:rsidR="00F23C1F">
        <w:t>halt at the MEP and pro-erythroblast stage</w:t>
      </w:r>
      <w:r w:rsidR="0015794F">
        <w:t xml:space="preserve">. </w:t>
      </w:r>
      <w:r w:rsidR="00F23C1F">
        <w:t xml:space="preserve">When plotting the cell </w:t>
      </w:r>
      <w:r w:rsidR="00967D74">
        <w:t>counts</w:t>
      </w:r>
      <w:r w:rsidR="00F23C1F">
        <w:t xml:space="preserve"> along the diffusion pseudotime </w:t>
      </w:r>
      <w:r w:rsidR="00325831">
        <w:t xml:space="preserve">(Figure 2 B left) </w:t>
      </w:r>
      <w:r w:rsidR="00F23C1F">
        <w:t xml:space="preserve">we identify a trimodal distribution </w:t>
      </w:r>
      <w:r w:rsidR="00325831">
        <w:t xml:space="preserve">in both samples for both conditions. </w:t>
      </w:r>
      <w:commentRangeStart w:id="4"/>
      <w:r w:rsidR="005F4CD3">
        <w:lastRenderedPageBreak/>
        <w:t>We can show that the peaks correlate to MEPs, pro-erythroblasts, and erythroblast clusters respectively</w:t>
      </w:r>
      <w:commentRangeEnd w:id="4"/>
      <w:r w:rsidR="00CD6014">
        <w:rPr>
          <w:rStyle w:val="Kommentarzeichen"/>
        </w:rPr>
        <w:commentReference w:id="4"/>
      </w:r>
      <w:r w:rsidR="005F4CD3">
        <w:t xml:space="preserve">. </w:t>
      </w:r>
      <w:r w:rsidR="00325831">
        <w:t xml:space="preserve">The </w:t>
      </w:r>
      <w:r w:rsidR="005F4CD3">
        <w:t xml:space="preserve">first and second peak </w:t>
      </w:r>
      <w:r w:rsidR="00325831">
        <w:t xml:space="preserve">of the distribution are predominantly cells in G1 phase (Figure 2 B right) while the later peak represents proliferating cells. </w:t>
      </w:r>
      <w:r w:rsidR="00CD6014">
        <w:t xml:space="preserve">That is in accordance with the development of erythrocytes from the literature. </w:t>
      </w:r>
      <w:r w:rsidR="00735952" w:rsidRPr="00CD6014">
        <w:rPr>
          <w:b/>
          <w:bCs/>
        </w:rPr>
        <w:t>In the CpG group the erythroid lineage shifts towards proliferating erythroblasts.</w:t>
      </w:r>
      <w:r w:rsidR="00735952">
        <w:t xml:space="preserve"> </w:t>
      </w:r>
    </w:p>
    <w:p w14:paraId="65202ACF" w14:textId="41E8D61B" w:rsidR="00735952" w:rsidRDefault="00735952" w:rsidP="00735952">
      <w:pPr>
        <w:pStyle w:val="berschrift2"/>
      </w:pPr>
      <w:r>
        <w:t>Extramedullary stress hematopoiesis is transcriptional distinct at progenitor states</w:t>
      </w:r>
    </w:p>
    <w:p w14:paraId="5C467E08" w14:textId="63A6891B" w:rsidR="003A79E2" w:rsidRDefault="007B605E" w:rsidP="00064E68">
      <w:pPr>
        <w:jc w:val="both"/>
      </w:pPr>
      <w:r>
        <w:t xml:space="preserve">We identified erythroid lineage marker along the diffusion pseudotime with </w:t>
      </w:r>
      <w:proofErr w:type="spellStart"/>
      <w:r>
        <w:t>tradeSeq</w:t>
      </w:r>
      <w:proofErr w:type="spellEnd"/>
      <w:r>
        <w:t xml:space="preserve">. We identified 1094 genes which are differential expressed along the trajectory in both treatment groups (Figure 2 C). Those include the known marker genes Gata2, Car1, Car2, </w:t>
      </w:r>
      <w:proofErr w:type="spellStart"/>
      <w:r>
        <w:t>Epor</w:t>
      </w:r>
      <w:proofErr w:type="spellEnd"/>
      <w:r>
        <w:t xml:space="preserve">, </w:t>
      </w:r>
      <w:proofErr w:type="spellStart"/>
      <w:r>
        <w:t>Tfrc</w:t>
      </w:r>
      <w:proofErr w:type="spellEnd"/>
      <w:r>
        <w:t xml:space="preserve">, Cd25a, Hba-a1, Hbba-a2. </w:t>
      </w:r>
      <w:commentRangeStart w:id="5"/>
      <w:r>
        <w:t xml:space="preserve">Conditioning the model on the treatment group yields 254 </w:t>
      </w:r>
      <w:r w:rsidR="00A247F4">
        <w:t xml:space="preserve">steady state </w:t>
      </w:r>
      <w:r w:rsidR="00CD6014">
        <w:t xml:space="preserve">erythropoiesis </w:t>
      </w:r>
      <w:r w:rsidR="00A247F4">
        <w:t xml:space="preserve">lineage </w:t>
      </w:r>
      <w:r>
        <w:t xml:space="preserve">genes </w:t>
      </w:r>
      <w:r w:rsidR="00A247F4">
        <w:t>and 399 stress erythropoiesis lineage genes</w:t>
      </w:r>
      <w:commentRangeEnd w:id="5"/>
      <w:r w:rsidR="00303055">
        <w:rPr>
          <w:rStyle w:val="Kommentarzeichen"/>
        </w:rPr>
        <w:commentReference w:id="5"/>
      </w:r>
      <w:r w:rsidR="00A247F4">
        <w:t xml:space="preserve">. Interestingly, while the steady state genes are distributed along the whole trajectory the stress specific genes accumulate at the beginning of the trajectory. We further investigate the differential lineage genes by pathway analysis (not done yet). </w:t>
      </w:r>
    </w:p>
    <w:p w14:paraId="7C98FFBD" w14:textId="6794593B" w:rsidR="00D972EA" w:rsidRDefault="00D972EA" w:rsidP="00D972EA">
      <w:pPr>
        <w:pStyle w:val="berschrift2"/>
      </w:pPr>
      <w:r>
        <w:t xml:space="preserve">RNA-velocity identifies different dynamics of stress erythropoiesis </w:t>
      </w:r>
    </w:p>
    <w:p w14:paraId="413015B5" w14:textId="26D7EF1A" w:rsidR="00D972EA" w:rsidRDefault="00D972EA" w:rsidP="00064E68">
      <w:pPr>
        <w:jc w:val="both"/>
      </w:pPr>
      <w:r>
        <w:t xml:space="preserve">RNA-velocity </w:t>
      </w:r>
      <w:r w:rsidR="00E16D74">
        <w:t xml:space="preserve">correctly identifies the direction, root, and end points of erythropoiesis (Figure 3). The </w:t>
      </w:r>
      <w:r w:rsidR="00E82475">
        <w:t>late-stage</w:t>
      </w:r>
      <w:r w:rsidR="00E16D74">
        <w:t xml:space="preserve"> erythroblast stage transition quickly in both groups which is in accordance with the cell cycle analysis.</w:t>
      </w:r>
      <w:r w:rsidR="00E82475">
        <w:t xml:space="preserve"> Differences between the treatment groups occur at the early stages. In the CpG group the MEP are </w:t>
      </w:r>
      <w:commentRangeStart w:id="6"/>
      <w:r w:rsidR="00E82475">
        <w:t>more likely</w:t>
      </w:r>
      <w:commentRangeEnd w:id="6"/>
      <w:r w:rsidR="00C5795A">
        <w:rPr>
          <w:rStyle w:val="Kommentarzeichen"/>
        </w:rPr>
        <w:commentReference w:id="6"/>
      </w:r>
      <w:r w:rsidR="00E82475">
        <w:t xml:space="preserve"> to transition towards the pro-erythroblast stage. We also observe a shift in root cells. In the CpG group the HSC are likely to develop into MEPs and the MEP (1) cluster is likely to harbor a subset of cells activated to proliferate. </w:t>
      </w:r>
      <w:commentRangeStart w:id="7"/>
      <w:r w:rsidR="00E82475">
        <w:t xml:space="preserve">The later subset might be the stress </w:t>
      </w:r>
      <w:r w:rsidR="00303055">
        <w:t>erythrocyte</w:t>
      </w:r>
      <w:r w:rsidR="00E82475">
        <w:t xml:space="preserve"> </w:t>
      </w:r>
      <w:r w:rsidR="00303055">
        <w:t xml:space="preserve">progenitors described by Paulson et al. </w:t>
      </w:r>
      <w:commentRangeEnd w:id="7"/>
      <w:r w:rsidR="00303055">
        <w:rPr>
          <w:rStyle w:val="Kommentarzeichen"/>
        </w:rPr>
        <w:commentReference w:id="7"/>
      </w:r>
    </w:p>
    <w:p w14:paraId="122C05DE" w14:textId="44FC8BB1" w:rsidR="003C5F07" w:rsidRDefault="003C5F07" w:rsidP="003C5F07">
      <w:pPr>
        <w:keepNext/>
        <w:jc w:val="both"/>
      </w:pPr>
      <w:r>
        <w:rPr>
          <w:noProof/>
        </w:rPr>
        <w:drawing>
          <wp:anchor distT="0" distB="0" distL="114300" distR="114300" simplePos="0" relativeHeight="251666432" behindDoc="0" locked="0" layoutInCell="1" allowOverlap="1" wp14:anchorId="7390D0D3" wp14:editId="41A1D08F">
            <wp:simplePos x="0" y="0"/>
            <wp:positionH relativeFrom="margin">
              <wp:align>right</wp:align>
            </wp:positionH>
            <wp:positionV relativeFrom="paragraph">
              <wp:posOffset>276860</wp:posOffset>
            </wp:positionV>
            <wp:extent cx="5762625" cy="2686050"/>
            <wp:effectExtent l="0" t="0" r="0" b="0"/>
            <wp:wrapTopAndBottom/>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2625" cy="2686050"/>
                    </a:xfrm>
                    <a:prstGeom prst="rect">
                      <a:avLst/>
                    </a:prstGeom>
                    <a:noFill/>
                    <a:ln>
                      <a:noFill/>
                    </a:ln>
                  </pic:spPr>
                </pic:pic>
              </a:graphicData>
            </a:graphic>
          </wp:anchor>
        </w:drawing>
      </w:r>
    </w:p>
    <w:p w14:paraId="217B7698" w14:textId="7C0C9A80" w:rsidR="00D972EA" w:rsidRDefault="003C5F07" w:rsidP="003C5F07">
      <w:pPr>
        <w:pStyle w:val="Beschriftung"/>
        <w:jc w:val="both"/>
      </w:pPr>
      <w:r>
        <w:t>Figure 3</w:t>
      </w:r>
      <w:r w:rsidR="00351C16">
        <w:t xml:space="preserve"> </w:t>
      </w:r>
      <w:proofErr w:type="gramStart"/>
      <w:r w:rsidR="00351C16">
        <w:t>A</w:t>
      </w:r>
      <w:proofErr w:type="gramEnd"/>
      <w:r w:rsidR="00351C16">
        <w:t xml:space="preserve"> RNA-velocity NaCl. B RNA-velocity CpG. I identified root and end points of the process. Velocity and latent pseudo time which are not too important right now. And the velocity length as well. </w:t>
      </w:r>
    </w:p>
    <w:p w14:paraId="1A415744" w14:textId="3AB19EA2" w:rsidR="00303055" w:rsidRDefault="00303055" w:rsidP="007B5D58">
      <w:pPr>
        <w:pStyle w:val="berschrift1"/>
      </w:pPr>
      <w:r>
        <w:lastRenderedPageBreak/>
        <w:t xml:space="preserve">Spleen myeloid cells show IFNAR activation signature </w:t>
      </w:r>
    </w:p>
    <w:p w14:paraId="6BB02D98" w14:textId="70CDD615" w:rsidR="00351C16" w:rsidRDefault="003C5F07" w:rsidP="00303055">
      <w:r>
        <w:rPr>
          <w:noProof/>
        </w:rPr>
        <mc:AlternateContent>
          <mc:Choice Requires="wps">
            <w:drawing>
              <wp:anchor distT="0" distB="0" distL="114300" distR="114300" simplePos="0" relativeHeight="251668480" behindDoc="0" locked="0" layoutInCell="1" allowOverlap="1" wp14:anchorId="2555E133" wp14:editId="2AF445D7">
                <wp:simplePos x="0" y="0"/>
                <wp:positionH relativeFrom="column">
                  <wp:posOffset>0</wp:posOffset>
                </wp:positionH>
                <wp:positionV relativeFrom="paragraph">
                  <wp:posOffset>3409315</wp:posOffset>
                </wp:positionV>
                <wp:extent cx="5753100" cy="635"/>
                <wp:effectExtent l="0" t="0" r="0" b="0"/>
                <wp:wrapTopAndBottom/>
                <wp:docPr id="23" name="Textfeld 23"/>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4B923C90" w14:textId="1D754E2A" w:rsidR="003C5F07" w:rsidRPr="00BC4E96" w:rsidRDefault="003C5F07" w:rsidP="003C5F07">
                            <w:pPr>
                              <w:pStyle w:val="Beschriftung"/>
                              <w:rPr>
                                <w:noProof/>
                              </w:rPr>
                            </w:pPr>
                            <w:r>
                              <w:t xml:space="preserve">Figure </w:t>
                            </w:r>
                            <w:r w:rsidR="00351C16">
                              <w:t xml:space="preserve">4 A module score for interferon alpha response per cell. B GSEA of interferon response. If the dots are red the response is significant in the CpG group. Gray means no significance. And blue would be significant in the NaCl group. C Average interferon response gene expression per cell type. Top NaCl bottom CpG.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55E133" id="Textfeld 23" o:spid="_x0000_s1029" type="#_x0000_t202" style="position:absolute;margin-left:0;margin-top:268.45pt;width:45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da9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FzMZ1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" stroked="f">
                <v:textbox style="mso-fit-shape-to-text:t" inset="0,0,0,0">
                  <w:txbxContent>
                    <w:p w14:paraId="4B923C90" w14:textId="1D754E2A" w:rsidR="003C5F07" w:rsidRPr="00BC4E96" w:rsidRDefault="003C5F07" w:rsidP="003C5F07">
                      <w:pPr>
                        <w:pStyle w:val="Beschriftung"/>
                        <w:rPr>
                          <w:noProof/>
                        </w:rPr>
                      </w:pPr>
                      <w:r>
                        <w:t xml:space="preserve">Figure </w:t>
                      </w:r>
                      <w:r w:rsidR="00351C16">
                        <w:t xml:space="preserve">4 A module score for interferon alpha response per cell. B GSEA of interferon response. If the dots are red the response is significant in the CpG group. Gray means no significance. And blue would be significant in the NaCl group. C Average interferon response gene expression per cell type. Top NaCl bottom CpG. </w:t>
                      </w:r>
                    </w:p>
                  </w:txbxContent>
                </v:textbox>
                <w10:wrap type="topAndBottom"/>
              </v:shape>
            </w:pict>
          </mc:Fallback>
        </mc:AlternateContent>
      </w:r>
      <w:r w:rsidR="00752846">
        <w:rPr>
          <w:noProof/>
        </w:rPr>
        <w:drawing>
          <wp:anchor distT="0" distB="0" distL="114300" distR="114300" simplePos="0" relativeHeight="251663360" behindDoc="0" locked="0" layoutInCell="1" allowOverlap="1" wp14:anchorId="5286C972" wp14:editId="3AB7C65D">
            <wp:simplePos x="0" y="0"/>
            <wp:positionH relativeFrom="margin">
              <wp:align>left</wp:align>
            </wp:positionH>
            <wp:positionV relativeFrom="paragraph">
              <wp:posOffset>485140</wp:posOffset>
            </wp:positionV>
            <wp:extent cx="5753100" cy="2867025"/>
            <wp:effectExtent l="0" t="0" r="0" b="9525"/>
            <wp:wrapTopAndBottom/>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2867025"/>
                    </a:xfrm>
                    <a:prstGeom prst="rect">
                      <a:avLst/>
                    </a:prstGeom>
                    <a:noFill/>
                    <a:ln>
                      <a:noFill/>
                    </a:ln>
                  </pic:spPr>
                </pic:pic>
              </a:graphicData>
            </a:graphic>
          </wp:anchor>
        </w:drawing>
      </w:r>
      <w:r w:rsidR="00752846">
        <w:t xml:space="preserve">To confirm the IFNAR knock out experiments we expect myeloid cells to express a IFNAR activation signature. We used the MSIGDB gene hallmark interferon response gene set as a reference </w:t>
      </w:r>
    </w:p>
    <w:p w14:paraId="4B1F71DC" w14:textId="6E038AD7" w:rsidR="00303055" w:rsidRPr="00303055" w:rsidRDefault="00752846" w:rsidP="00303055">
      <w:r>
        <w:t xml:space="preserve">to compute a module score per cell (Figure 4 A) and to perform gene set enrichment analysis (Figure 4 B). </w:t>
      </w:r>
      <w:r w:rsidR="00FC4632">
        <w:t xml:space="preserve">The interferon response signature is on average stronger in the CpG treated group compared to the NaCl group (Figure 4 A). </w:t>
      </w:r>
      <w:r w:rsidR="00C5795A">
        <w:t xml:space="preserve">The GSEA shows that only CpG treated cells show a significant </w:t>
      </w:r>
      <w:proofErr w:type="spellStart"/>
      <w:r w:rsidR="00C5795A">
        <w:t>ifna</w:t>
      </w:r>
      <w:proofErr w:type="spellEnd"/>
      <w:r w:rsidR="00C5795A">
        <w:t xml:space="preserve"> response signature (Figure 4 B). </w:t>
      </w:r>
      <w:commentRangeStart w:id="8"/>
      <w:r>
        <w:t>Interestingly, the RPM progenitor but not RPM show a strong signature for</w:t>
      </w:r>
      <w:r w:rsidR="00FC4632">
        <w:t xml:space="preserve"> </w:t>
      </w:r>
      <w:r>
        <w:t>interferon response in the CPG group</w:t>
      </w:r>
      <w:r w:rsidR="00FC4632">
        <w:t xml:space="preserve"> (Figure 4B)</w:t>
      </w:r>
      <w:commentRangeEnd w:id="8"/>
      <w:r w:rsidR="00877F37">
        <w:rPr>
          <w:rStyle w:val="Kommentarzeichen"/>
        </w:rPr>
        <w:commentReference w:id="8"/>
      </w:r>
      <w:r w:rsidR="00FC4632">
        <w:t xml:space="preserve">. The RPM progenitor GSEA is also the top hit by adjusted p-value. In </w:t>
      </w:r>
      <w:r w:rsidR="00877F37">
        <w:t>addition,</w:t>
      </w:r>
      <w:r w:rsidR="00FC4632">
        <w:t xml:space="preserve"> we </w:t>
      </w:r>
      <w:r w:rsidR="00877F37">
        <w:t xml:space="preserve">find that </w:t>
      </w:r>
      <w:r w:rsidR="00FC4632">
        <w:t>HSC, MEP (1-3</w:t>
      </w:r>
      <w:r w:rsidR="00877F37">
        <w:t xml:space="preserve">) show a strong activation signature in the CpG group. To a lesser extend Monocytes and DC. </w:t>
      </w:r>
      <w:commentRangeStart w:id="9"/>
      <w:r w:rsidR="00877F37">
        <w:t>Figure 4 C shows the interferon response gene and average expression per cell type separated by treatment groups</w:t>
      </w:r>
      <w:commentRangeEnd w:id="9"/>
      <w:r w:rsidR="00877F37">
        <w:rPr>
          <w:rStyle w:val="Kommentarzeichen"/>
        </w:rPr>
        <w:commentReference w:id="9"/>
      </w:r>
      <w:r w:rsidR="00877F37">
        <w:t xml:space="preserve">. </w:t>
      </w:r>
    </w:p>
    <w:p w14:paraId="71D72A32" w14:textId="12FBF46D" w:rsidR="00303055" w:rsidRDefault="0042184E" w:rsidP="0092294A">
      <w:pPr>
        <w:pStyle w:val="berschrift2"/>
      </w:pPr>
      <w:r>
        <w:t xml:space="preserve">Stress erythropoiesis needs cell communication rewiring </w:t>
      </w:r>
    </w:p>
    <w:p w14:paraId="66DCB46A" w14:textId="28648D29" w:rsidR="003C5F07" w:rsidRPr="003C5F07" w:rsidRDefault="003C5F07" w:rsidP="003C5F07">
      <w:r>
        <w:t>Next, we want to investigate which signals are required for stress erythropoiesis</w:t>
      </w:r>
      <w:r w:rsidR="00B22C7D">
        <w:t xml:space="preserve"> (</w:t>
      </w:r>
      <w:r>
        <w:t xml:space="preserve">Figure </w:t>
      </w:r>
      <w:r w:rsidR="00B22C7D">
        <w:t xml:space="preserve">5). I need to deeper analysis this but so far, I can tell that CpG treated RPM communicate with erythroblast (1-5) through Cxcl2-Ackr1 and Clc2-Ackr1. That is already interesting, but I need to have a closer look if the RPM progenitors interact with MEPs or earlier stages of erythropoiesis. </w:t>
      </w:r>
    </w:p>
    <w:p w14:paraId="2EB5507D" w14:textId="77777777" w:rsidR="003C5F07" w:rsidRDefault="003C5F07" w:rsidP="003C5F07">
      <w:pPr>
        <w:keepNext/>
      </w:pPr>
      <w:r>
        <w:rPr>
          <w:noProof/>
        </w:rPr>
        <w:lastRenderedPageBreak/>
        <w:drawing>
          <wp:inline distT="0" distB="0" distL="0" distR="0" wp14:anchorId="32871F79" wp14:editId="2DAFCF06">
            <wp:extent cx="5419725" cy="6315075"/>
            <wp:effectExtent l="0" t="0" r="9525" b="952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9725" cy="6315075"/>
                    </a:xfrm>
                    <a:prstGeom prst="rect">
                      <a:avLst/>
                    </a:prstGeom>
                    <a:noFill/>
                    <a:ln>
                      <a:noFill/>
                    </a:ln>
                  </pic:spPr>
                </pic:pic>
              </a:graphicData>
            </a:graphic>
          </wp:inline>
        </w:drawing>
      </w:r>
    </w:p>
    <w:p w14:paraId="37C7791E" w14:textId="13CFB637" w:rsidR="0092294A" w:rsidRPr="0092294A" w:rsidRDefault="003C5F07" w:rsidP="003C5F07">
      <w:pPr>
        <w:pStyle w:val="Beschriftung"/>
      </w:pPr>
      <w:r>
        <w:t xml:space="preserve">Figure </w:t>
      </w:r>
      <w:r w:rsidR="00351C16">
        <w:t xml:space="preserve">5 A Differences in the incoming/outgoing interaction strength between cell types and treatment groups. B shows the </w:t>
      </w:r>
      <w:r w:rsidR="00B22C7D">
        <w:t>ligand receptor interaction between RPM and the erythroid lineage. On the left NaCl and on the right hand CpG</w:t>
      </w:r>
    </w:p>
    <w:p w14:paraId="0888BB76" w14:textId="77777777" w:rsidR="00135042" w:rsidRDefault="00135042">
      <w:pPr>
        <w:rPr>
          <w:rFonts w:asciiTheme="majorHAnsi" w:eastAsiaTheme="majorEastAsia" w:hAnsiTheme="majorHAnsi" w:cstheme="majorBidi"/>
          <w:color w:val="2E74B5" w:themeColor="accent1" w:themeShade="BF"/>
          <w:sz w:val="32"/>
          <w:szCs w:val="32"/>
        </w:rPr>
      </w:pPr>
      <w:r>
        <w:br w:type="page"/>
      </w:r>
    </w:p>
    <w:p w14:paraId="6452B561" w14:textId="52FE8031" w:rsidR="00064E68" w:rsidRDefault="007B5D58" w:rsidP="007B5D58">
      <w:pPr>
        <w:pStyle w:val="berschrift1"/>
      </w:pPr>
      <w:r>
        <w:lastRenderedPageBreak/>
        <w:t xml:space="preserve">Source </w:t>
      </w:r>
    </w:p>
    <w:p w14:paraId="32CAAD17" w14:textId="530B0385" w:rsidR="00CA3C82" w:rsidRPr="007D696E" w:rsidRDefault="00CA3C82" w:rsidP="00E31AE4">
      <w:pPr>
        <w:jc w:val="both"/>
        <w:rPr>
          <w:lang w:val="de-DE"/>
        </w:rPr>
      </w:pPr>
      <w:r w:rsidRPr="007D696E">
        <w:rPr>
          <w:lang w:val="de-DE"/>
        </w:rPr>
        <w:t xml:space="preserve">Singh </w:t>
      </w:r>
      <w:r w:rsidR="00773947" w:rsidRPr="007D696E">
        <w:rPr>
          <w:lang w:val="de-DE"/>
        </w:rPr>
        <w:t xml:space="preserve">et al., </w:t>
      </w:r>
      <w:r w:rsidRPr="007D696E">
        <w:rPr>
          <w:lang w:val="de-DE"/>
        </w:rPr>
        <w:t xml:space="preserve">2018 </w:t>
      </w:r>
      <w:hyperlink r:id="rId13" w:tgtFrame="_blank" w:tooltip="Persistent link using digital object identifier" w:history="1">
        <w:r w:rsidRPr="007D696E">
          <w:rPr>
            <w:lang w:val="de-DE"/>
          </w:rPr>
          <w:t>https://doi.org/10.1016/j.stemcr.2018.04.012</w:t>
        </w:r>
      </w:hyperlink>
    </w:p>
    <w:p w14:paraId="3071F593" w14:textId="7993B4F7" w:rsidR="00773947" w:rsidRPr="007D696E" w:rsidRDefault="00773947" w:rsidP="00E31AE4">
      <w:pPr>
        <w:jc w:val="both"/>
        <w:rPr>
          <w:lang w:val="de-DE"/>
        </w:rPr>
      </w:pPr>
      <w:proofErr w:type="spellStart"/>
      <w:r w:rsidRPr="007D696E">
        <w:rPr>
          <w:lang w:val="de-DE"/>
        </w:rPr>
        <w:t>Tusi</w:t>
      </w:r>
      <w:proofErr w:type="spellEnd"/>
      <w:r w:rsidRPr="007D696E">
        <w:rPr>
          <w:lang w:val="de-DE"/>
        </w:rPr>
        <w:t xml:space="preserve"> et al., 2018 </w:t>
      </w:r>
      <w:r w:rsidR="007B5D58" w:rsidRPr="007D696E">
        <w:rPr>
          <w:lang w:val="de-DE"/>
        </w:rPr>
        <w:t>https://doi.org/10.1038%2Fnature25741</w:t>
      </w:r>
    </w:p>
    <w:p w14:paraId="0438F9CA" w14:textId="361057F9" w:rsidR="00B3758B" w:rsidRPr="007D696E" w:rsidRDefault="00B3758B" w:rsidP="00E31AE4">
      <w:pPr>
        <w:jc w:val="both"/>
        <w:rPr>
          <w:lang w:val="de-DE"/>
        </w:rPr>
      </w:pPr>
      <w:r w:rsidRPr="007D696E">
        <w:rPr>
          <w:lang w:val="de-DE"/>
        </w:rPr>
        <w:t xml:space="preserve">Paulson et al., 2020 </w:t>
      </w:r>
      <w:hyperlink r:id="rId14" w:history="1">
        <w:r w:rsidRPr="007D696E">
          <w:rPr>
            <w:lang w:val="de-DE"/>
          </w:rPr>
          <w:t>https://doi.org/10.3390/cells9030634</w:t>
        </w:r>
      </w:hyperlink>
    </w:p>
    <w:p w14:paraId="487ED802" w14:textId="573E01C8" w:rsidR="00B3758B" w:rsidRPr="00BC14B7" w:rsidRDefault="00B3758B" w:rsidP="00E31AE4">
      <w:pPr>
        <w:jc w:val="both"/>
        <w:rPr>
          <w:lang w:val="de-DE"/>
        </w:rPr>
      </w:pPr>
      <w:r w:rsidRPr="00BC14B7">
        <w:rPr>
          <w:lang w:val="de-DE"/>
        </w:rPr>
        <w:t>Paulson et al., 2020 https://doi.org/10.1016/j.exphem.2020.07.011</w:t>
      </w:r>
    </w:p>
    <w:p w14:paraId="60E304AE" w14:textId="035951BE" w:rsidR="00773947" w:rsidRPr="00B3758B" w:rsidRDefault="002273FA" w:rsidP="00E31AE4">
      <w:pPr>
        <w:jc w:val="both"/>
        <w:rPr>
          <w:lang w:val="de-DE"/>
        </w:rPr>
      </w:pPr>
      <w:r w:rsidRPr="00B3758B">
        <w:rPr>
          <w:lang w:val="de-DE"/>
        </w:rPr>
        <w:t xml:space="preserve">Paulson et al., 2011 </w:t>
      </w:r>
      <w:r w:rsidR="00F95642" w:rsidRPr="00F95642">
        <w:rPr>
          <w:lang w:val="de-DE"/>
        </w:rPr>
        <w:t>https://doi.org/10.1097%2FMOH.0b013e32834521c8</w:t>
      </w:r>
    </w:p>
    <w:p w14:paraId="6040C5F2" w14:textId="6205D738" w:rsidR="00773947" w:rsidRPr="00A215E7" w:rsidRDefault="00A215E7" w:rsidP="00E31AE4">
      <w:pPr>
        <w:jc w:val="both"/>
        <w:rPr>
          <w:lang w:val="de-DE"/>
        </w:rPr>
      </w:pPr>
      <w:r w:rsidRPr="00A215E7">
        <w:rPr>
          <w:lang w:val="de-DE"/>
        </w:rPr>
        <w:t>Dahlin et al., 2018 https://doi.org/10.1182/blood-2017-12-821413</w:t>
      </w:r>
    </w:p>
    <w:sectPr w:rsidR="00773947" w:rsidRPr="00A215E7" w:rsidSect="00D53D5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Florian Deckert" w:date="2022-08-12T20:29:00Z" w:initials="FD">
    <w:p w14:paraId="7048BEBC" w14:textId="77777777" w:rsidR="00967D74" w:rsidRDefault="00967D74" w:rsidP="003E4D06">
      <w:pPr>
        <w:pStyle w:val="Kommentartext"/>
      </w:pPr>
      <w:r>
        <w:rPr>
          <w:rStyle w:val="Kommentarzeichen"/>
        </w:rPr>
        <w:annotationRef/>
      </w:r>
      <w:r>
        <w:t>That’s not so interesting for your probably but I need to start somewhere</w:t>
      </w:r>
    </w:p>
  </w:comment>
  <w:comment w:id="2" w:author="Florian Deckert" w:date="2022-08-12T17:23:00Z" w:initials="FD">
    <w:p w14:paraId="2A696266" w14:textId="2732B106" w:rsidR="002A7DA0" w:rsidRDefault="002A7DA0" w:rsidP="00ED0D9C">
      <w:pPr>
        <w:pStyle w:val="Kommentartext"/>
      </w:pPr>
      <w:r>
        <w:rPr>
          <w:rStyle w:val="Kommentarzeichen"/>
        </w:rPr>
        <w:annotationRef/>
      </w:r>
      <w:r>
        <w:t xml:space="preserve">We can discuss known erythroblast types in more detail if needed. </w:t>
      </w:r>
    </w:p>
  </w:comment>
  <w:comment w:id="3" w:author="Florian Deckert" w:date="2022-08-12T20:32:00Z" w:initials="FD">
    <w:p w14:paraId="7871A9A8" w14:textId="77777777" w:rsidR="00967D74" w:rsidRDefault="00967D74" w:rsidP="00DE0724">
      <w:pPr>
        <w:pStyle w:val="Kommentartext"/>
      </w:pPr>
      <w:r>
        <w:rPr>
          <w:rStyle w:val="Kommentarzeichen"/>
        </w:rPr>
        <w:annotationRef/>
      </w:r>
      <w:r>
        <w:t xml:space="preserve">Sorry but I think with the cluster we have on our hands we can move forward. </w:t>
      </w:r>
    </w:p>
  </w:comment>
  <w:comment w:id="4" w:author="Florian Deckert" w:date="2022-08-12T20:35:00Z" w:initials="FD">
    <w:p w14:paraId="1BFCCFBA" w14:textId="77777777" w:rsidR="00CD6014" w:rsidRDefault="00CD6014" w:rsidP="00BA52D0">
      <w:pPr>
        <w:pStyle w:val="Kommentartext"/>
      </w:pPr>
      <w:r>
        <w:rPr>
          <w:rStyle w:val="Kommentarzeichen"/>
        </w:rPr>
        <w:annotationRef/>
      </w:r>
      <w:r>
        <w:t xml:space="preserve">I could make a plot for that. It somewhat shows that all MAP, pro-erythroblasts, and erythroblasts are similar and agglomerate along the trajectory.  While only a few cells transition. </w:t>
      </w:r>
    </w:p>
  </w:comment>
  <w:comment w:id="5" w:author="Florian Deckert" w:date="2022-08-12T19:44:00Z" w:initials="FD">
    <w:p w14:paraId="77343A91" w14:textId="7E3D368A" w:rsidR="00303055" w:rsidRDefault="00303055" w:rsidP="00101B83">
      <w:pPr>
        <w:pStyle w:val="Kommentartext"/>
      </w:pPr>
      <w:r>
        <w:rPr>
          <w:rStyle w:val="Kommentarzeichen"/>
        </w:rPr>
        <w:annotationRef/>
      </w:r>
      <w:r>
        <w:t xml:space="preserve">We can see in the plot that the effect might be mild or an artifact because the genes are expressed in both groups. </w:t>
      </w:r>
    </w:p>
  </w:comment>
  <w:comment w:id="6" w:author="Florian Deckert" w:date="2022-08-12T20:39:00Z" w:initials="FD">
    <w:p w14:paraId="38EA6E7D" w14:textId="77777777" w:rsidR="00C5795A" w:rsidRDefault="00C5795A" w:rsidP="000575EE">
      <w:pPr>
        <w:pStyle w:val="Kommentartext"/>
      </w:pPr>
      <w:r>
        <w:rPr>
          <w:rStyle w:val="Kommentarzeichen"/>
        </w:rPr>
        <w:annotationRef/>
      </w:r>
      <w:r>
        <w:t xml:space="preserve">More likely is probably wrong. You can just look at the arrows but it would be better to somehow quantify the effect. </w:t>
      </w:r>
    </w:p>
  </w:comment>
  <w:comment w:id="7" w:author="Florian Deckert" w:date="2022-08-12T19:44:00Z" w:initials="FD">
    <w:p w14:paraId="508D0120" w14:textId="2CBE8794" w:rsidR="00303055" w:rsidRDefault="00303055" w:rsidP="00017DED">
      <w:pPr>
        <w:pStyle w:val="Kommentartext"/>
      </w:pPr>
      <w:r>
        <w:rPr>
          <w:rStyle w:val="Kommentarzeichen"/>
        </w:rPr>
        <w:annotationRef/>
      </w:r>
      <w:r>
        <w:t>That would be cool. I need to look at the DEA</w:t>
      </w:r>
    </w:p>
  </w:comment>
  <w:comment w:id="8" w:author="Florian Deckert" w:date="2022-08-12T19:59:00Z" w:initials="FD">
    <w:p w14:paraId="24B26CE1" w14:textId="77777777" w:rsidR="00C5795A" w:rsidRDefault="00877F37" w:rsidP="00A924BE">
      <w:pPr>
        <w:pStyle w:val="Kommentartext"/>
      </w:pPr>
      <w:r>
        <w:rPr>
          <w:rStyle w:val="Kommentarzeichen"/>
        </w:rPr>
        <w:annotationRef/>
      </w:r>
      <w:r w:rsidR="00C5795A">
        <w:t>That makes sense but I need to double check if this is an artefact due to different numbers of RPM in each group. Maybe there are only very few in on group which makes DEA and GSEA not possible</w:t>
      </w:r>
    </w:p>
  </w:comment>
  <w:comment w:id="9" w:author="Florian Deckert" w:date="2022-08-12T20:03:00Z" w:initials="FD">
    <w:p w14:paraId="0A1F5D67" w14:textId="68A20F30" w:rsidR="00877F37" w:rsidRDefault="00877F37" w:rsidP="008C70BC">
      <w:pPr>
        <w:pStyle w:val="Kommentartext"/>
      </w:pPr>
      <w:r>
        <w:rPr>
          <w:rStyle w:val="Kommentarzeichen"/>
        </w:rPr>
        <w:annotationRef/>
      </w:r>
      <w:r>
        <w:t>I want to show the differences between NaCl and CpG but this is right now not so straight forward. You can only tell that erythroblasts don't express those genes. It would be good to pull down some candidates that are different between the treatment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48BEBC" w15:done="0"/>
  <w15:commentEx w15:paraId="2A696266" w15:done="0"/>
  <w15:commentEx w15:paraId="7871A9A8" w15:done="0"/>
  <w15:commentEx w15:paraId="1BFCCFBA" w15:done="0"/>
  <w15:commentEx w15:paraId="77343A91" w15:done="0"/>
  <w15:commentEx w15:paraId="38EA6E7D" w15:done="0"/>
  <w15:commentEx w15:paraId="508D0120" w15:done="0"/>
  <w15:commentEx w15:paraId="24B26CE1" w15:done="0"/>
  <w15:commentEx w15:paraId="0A1F5D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136C6" w16cex:dateUtc="2022-08-12T18:29:00Z"/>
  <w16cex:commentExtensible w16cex:durableId="26A10B15" w16cex:dateUtc="2022-08-12T15:23:00Z"/>
  <w16cex:commentExtensible w16cex:durableId="26A1375C" w16cex:dateUtc="2022-08-12T18:32:00Z"/>
  <w16cex:commentExtensible w16cex:durableId="26A137F8" w16cex:dateUtc="2022-08-12T18:35:00Z"/>
  <w16cex:commentExtensible w16cex:durableId="26A12C01" w16cex:dateUtc="2022-08-12T17:44:00Z"/>
  <w16cex:commentExtensible w16cex:durableId="26A1390B" w16cex:dateUtc="2022-08-12T18:39:00Z"/>
  <w16cex:commentExtensible w16cex:durableId="26A12C11" w16cex:dateUtc="2022-08-12T17:44:00Z"/>
  <w16cex:commentExtensible w16cex:durableId="26A12F9D" w16cex:dateUtc="2022-08-12T17:59:00Z"/>
  <w16cex:commentExtensible w16cex:durableId="26A1309A" w16cex:dateUtc="2022-08-12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48BEBC" w16cid:durableId="26A136C6"/>
  <w16cid:commentId w16cid:paraId="2A696266" w16cid:durableId="26A10B15"/>
  <w16cid:commentId w16cid:paraId="7871A9A8" w16cid:durableId="26A1375C"/>
  <w16cid:commentId w16cid:paraId="1BFCCFBA" w16cid:durableId="26A137F8"/>
  <w16cid:commentId w16cid:paraId="77343A91" w16cid:durableId="26A12C01"/>
  <w16cid:commentId w16cid:paraId="38EA6E7D" w16cid:durableId="26A1390B"/>
  <w16cid:commentId w16cid:paraId="508D0120" w16cid:durableId="26A12C11"/>
  <w16cid:commentId w16cid:paraId="24B26CE1" w16cid:durableId="26A12F9D"/>
  <w16cid:commentId w16cid:paraId="0A1F5D67" w16cid:durableId="26A130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lorian Deckert">
    <w15:presenceInfo w15:providerId="AD" w15:userId="S::fdeckert@cemm.at::d70319f9-bfe8-4656-a28f-c335e3cd6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04"/>
    <w:rsid w:val="000066F6"/>
    <w:rsid w:val="00033124"/>
    <w:rsid w:val="00064E68"/>
    <w:rsid w:val="00084A3B"/>
    <w:rsid w:val="00091D3C"/>
    <w:rsid w:val="000C3D81"/>
    <w:rsid w:val="000E52DC"/>
    <w:rsid w:val="00125BD9"/>
    <w:rsid w:val="001302E1"/>
    <w:rsid w:val="00135042"/>
    <w:rsid w:val="00144958"/>
    <w:rsid w:val="0015794F"/>
    <w:rsid w:val="0017279C"/>
    <w:rsid w:val="0019117C"/>
    <w:rsid w:val="001A0B5E"/>
    <w:rsid w:val="001C34DD"/>
    <w:rsid w:val="001F010A"/>
    <w:rsid w:val="001F54F9"/>
    <w:rsid w:val="002134FD"/>
    <w:rsid w:val="00224F0F"/>
    <w:rsid w:val="002273FA"/>
    <w:rsid w:val="002308BE"/>
    <w:rsid w:val="00231EAC"/>
    <w:rsid w:val="0024466D"/>
    <w:rsid w:val="00292A98"/>
    <w:rsid w:val="002A7DA0"/>
    <w:rsid w:val="002B3A07"/>
    <w:rsid w:val="00303055"/>
    <w:rsid w:val="00325831"/>
    <w:rsid w:val="00351C16"/>
    <w:rsid w:val="00352665"/>
    <w:rsid w:val="0035469E"/>
    <w:rsid w:val="003A45A7"/>
    <w:rsid w:val="003A79E2"/>
    <w:rsid w:val="003B42B3"/>
    <w:rsid w:val="003C5F07"/>
    <w:rsid w:val="003D0FF2"/>
    <w:rsid w:val="003F0E72"/>
    <w:rsid w:val="0042184E"/>
    <w:rsid w:val="004A6AAB"/>
    <w:rsid w:val="004A6AFC"/>
    <w:rsid w:val="004C587C"/>
    <w:rsid w:val="004F5D4C"/>
    <w:rsid w:val="00503E30"/>
    <w:rsid w:val="00514B59"/>
    <w:rsid w:val="005870AA"/>
    <w:rsid w:val="005F4CD3"/>
    <w:rsid w:val="00624C68"/>
    <w:rsid w:val="00653075"/>
    <w:rsid w:val="00690784"/>
    <w:rsid w:val="006B423B"/>
    <w:rsid w:val="006D7223"/>
    <w:rsid w:val="006E1367"/>
    <w:rsid w:val="006E2A6D"/>
    <w:rsid w:val="00735952"/>
    <w:rsid w:val="007400B6"/>
    <w:rsid w:val="00752846"/>
    <w:rsid w:val="00757732"/>
    <w:rsid w:val="007605DD"/>
    <w:rsid w:val="007726F7"/>
    <w:rsid w:val="00773947"/>
    <w:rsid w:val="00782E51"/>
    <w:rsid w:val="00783BA9"/>
    <w:rsid w:val="007B5D58"/>
    <w:rsid w:val="007B605E"/>
    <w:rsid w:val="007D0E32"/>
    <w:rsid w:val="007D696E"/>
    <w:rsid w:val="00836C02"/>
    <w:rsid w:val="00836DB4"/>
    <w:rsid w:val="00852E33"/>
    <w:rsid w:val="00867FE4"/>
    <w:rsid w:val="00872E26"/>
    <w:rsid w:val="00877F37"/>
    <w:rsid w:val="00881675"/>
    <w:rsid w:val="008A07DF"/>
    <w:rsid w:val="008D235E"/>
    <w:rsid w:val="008F72EE"/>
    <w:rsid w:val="0092294A"/>
    <w:rsid w:val="00937595"/>
    <w:rsid w:val="00967D74"/>
    <w:rsid w:val="00974B9D"/>
    <w:rsid w:val="009833CF"/>
    <w:rsid w:val="009A5892"/>
    <w:rsid w:val="009B0682"/>
    <w:rsid w:val="009B5ABB"/>
    <w:rsid w:val="009C4866"/>
    <w:rsid w:val="00A12EB7"/>
    <w:rsid w:val="00A215E7"/>
    <w:rsid w:val="00A247F4"/>
    <w:rsid w:val="00A56B04"/>
    <w:rsid w:val="00A7469A"/>
    <w:rsid w:val="00A86655"/>
    <w:rsid w:val="00AA7B7D"/>
    <w:rsid w:val="00AB54DD"/>
    <w:rsid w:val="00AC2725"/>
    <w:rsid w:val="00B22C7D"/>
    <w:rsid w:val="00B251F7"/>
    <w:rsid w:val="00B32B8E"/>
    <w:rsid w:val="00B3758B"/>
    <w:rsid w:val="00B633AE"/>
    <w:rsid w:val="00B82E3C"/>
    <w:rsid w:val="00BC14B7"/>
    <w:rsid w:val="00BD278B"/>
    <w:rsid w:val="00BE67F6"/>
    <w:rsid w:val="00C5795A"/>
    <w:rsid w:val="00CA3C82"/>
    <w:rsid w:val="00CB1666"/>
    <w:rsid w:val="00CC6EEE"/>
    <w:rsid w:val="00CD6014"/>
    <w:rsid w:val="00CF7620"/>
    <w:rsid w:val="00D163C9"/>
    <w:rsid w:val="00D52D84"/>
    <w:rsid w:val="00D53D5A"/>
    <w:rsid w:val="00D56458"/>
    <w:rsid w:val="00D74EB5"/>
    <w:rsid w:val="00D906EC"/>
    <w:rsid w:val="00D90D7A"/>
    <w:rsid w:val="00D972EA"/>
    <w:rsid w:val="00DC624A"/>
    <w:rsid w:val="00E060D0"/>
    <w:rsid w:val="00E16D74"/>
    <w:rsid w:val="00E20BF7"/>
    <w:rsid w:val="00E31AE4"/>
    <w:rsid w:val="00E82475"/>
    <w:rsid w:val="00EB735B"/>
    <w:rsid w:val="00EE1329"/>
    <w:rsid w:val="00F23C1F"/>
    <w:rsid w:val="00F42C37"/>
    <w:rsid w:val="00F77C94"/>
    <w:rsid w:val="00F95642"/>
    <w:rsid w:val="00FC4632"/>
    <w:rsid w:val="00FC4CCB"/>
    <w:rsid w:val="00FD59F6"/>
    <w:rsid w:val="00FF1580"/>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AFC2"/>
  <w15:chartTrackingRefBased/>
  <w15:docId w15:val="{82814D15-9AD5-48FD-9036-372187C2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6B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9B5A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6B04"/>
    <w:rPr>
      <w:rFonts w:asciiTheme="majorHAnsi" w:eastAsiaTheme="majorEastAsia" w:hAnsiTheme="majorHAnsi" w:cstheme="majorBidi"/>
      <w:color w:val="2E74B5" w:themeColor="accent1" w:themeShade="BF"/>
      <w:sz w:val="32"/>
      <w:szCs w:val="32"/>
    </w:rPr>
  </w:style>
  <w:style w:type="paragraph" w:styleId="Titel">
    <w:name w:val="Title"/>
    <w:basedOn w:val="Standard"/>
    <w:next w:val="Standard"/>
    <w:link w:val="TitelZchn"/>
    <w:uiPriority w:val="10"/>
    <w:qFormat/>
    <w:rsid w:val="00A56B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6B04"/>
    <w:rPr>
      <w:rFonts w:asciiTheme="majorHAnsi" w:eastAsiaTheme="majorEastAsia" w:hAnsiTheme="majorHAnsi" w:cstheme="majorBidi"/>
      <w:spacing w:val="-10"/>
      <w:kern w:val="28"/>
      <w:sz w:val="56"/>
      <w:szCs w:val="56"/>
    </w:rPr>
  </w:style>
  <w:style w:type="character" w:styleId="Hyperlink">
    <w:name w:val="Hyperlink"/>
    <w:basedOn w:val="Absatz-Standardschriftart"/>
    <w:uiPriority w:val="99"/>
    <w:unhideWhenUsed/>
    <w:rsid w:val="00CA3C82"/>
    <w:rPr>
      <w:color w:val="0000FF"/>
      <w:u w:val="single"/>
    </w:rPr>
  </w:style>
  <w:style w:type="character" w:styleId="NichtaufgelsteErwhnung">
    <w:name w:val="Unresolved Mention"/>
    <w:basedOn w:val="Absatz-Standardschriftart"/>
    <w:uiPriority w:val="99"/>
    <w:semiHidden/>
    <w:unhideWhenUsed/>
    <w:rsid w:val="00773947"/>
    <w:rPr>
      <w:color w:val="605E5C"/>
      <w:shd w:val="clear" w:color="auto" w:fill="E1DFDD"/>
    </w:rPr>
  </w:style>
  <w:style w:type="character" w:customStyle="1" w:styleId="berschrift2Zchn">
    <w:name w:val="Überschrift 2 Zchn"/>
    <w:basedOn w:val="Absatz-Standardschriftart"/>
    <w:link w:val="berschrift2"/>
    <w:uiPriority w:val="9"/>
    <w:rsid w:val="009B5ABB"/>
    <w:rPr>
      <w:rFonts w:asciiTheme="majorHAnsi" w:eastAsiaTheme="majorEastAsia" w:hAnsiTheme="majorHAnsi" w:cstheme="majorBidi"/>
      <w:color w:val="2E74B5" w:themeColor="accent1" w:themeShade="BF"/>
      <w:sz w:val="26"/>
      <w:szCs w:val="26"/>
    </w:rPr>
  </w:style>
  <w:style w:type="paragraph" w:styleId="Beschriftung">
    <w:name w:val="caption"/>
    <w:basedOn w:val="Standard"/>
    <w:next w:val="Standard"/>
    <w:uiPriority w:val="35"/>
    <w:unhideWhenUsed/>
    <w:qFormat/>
    <w:rsid w:val="00852E33"/>
    <w:pPr>
      <w:spacing w:after="200" w:line="240" w:lineRule="auto"/>
    </w:pPr>
    <w:rPr>
      <w:i/>
      <w:iCs/>
      <w:color w:val="44546A" w:themeColor="text2"/>
      <w:sz w:val="18"/>
      <w:szCs w:val="18"/>
    </w:rPr>
  </w:style>
  <w:style w:type="character" w:styleId="Kommentarzeichen">
    <w:name w:val="annotation reference"/>
    <w:basedOn w:val="Absatz-Standardschriftart"/>
    <w:uiPriority w:val="99"/>
    <w:semiHidden/>
    <w:unhideWhenUsed/>
    <w:rsid w:val="00783BA9"/>
    <w:rPr>
      <w:sz w:val="16"/>
      <w:szCs w:val="16"/>
    </w:rPr>
  </w:style>
  <w:style w:type="paragraph" w:styleId="Kommentartext">
    <w:name w:val="annotation text"/>
    <w:basedOn w:val="Standard"/>
    <w:link w:val="KommentartextZchn"/>
    <w:uiPriority w:val="99"/>
    <w:unhideWhenUsed/>
    <w:rsid w:val="00783BA9"/>
    <w:pPr>
      <w:spacing w:line="240" w:lineRule="auto"/>
    </w:pPr>
    <w:rPr>
      <w:sz w:val="20"/>
      <w:szCs w:val="20"/>
    </w:rPr>
  </w:style>
  <w:style w:type="character" w:customStyle="1" w:styleId="KommentartextZchn">
    <w:name w:val="Kommentartext Zchn"/>
    <w:basedOn w:val="Absatz-Standardschriftart"/>
    <w:link w:val="Kommentartext"/>
    <w:uiPriority w:val="99"/>
    <w:rsid w:val="00783BA9"/>
    <w:rPr>
      <w:sz w:val="20"/>
      <w:szCs w:val="20"/>
    </w:rPr>
  </w:style>
  <w:style w:type="paragraph" w:styleId="Kommentarthema">
    <w:name w:val="annotation subject"/>
    <w:basedOn w:val="Kommentartext"/>
    <w:next w:val="Kommentartext"/>
    <w:link w:val="KommentarthemaZchn"/>
    <w:uiPriority w:val="99"/>
    <w:semiHidden/>
    <w:unhideWhenUsed/>
    <w:rsid w:val="00783BA9"/>
    <w:rPr>
      <w:b/>
      <w:bCs/>
    </w:rPr>
  </w:style>
  <w:style w:type="character" w:customStyle="1" w:styleId="KommentarthemaZchn">
    <w:name w:val="Kommentarthema Zchn"/>
    <w:basedOn w:val="KommentartextZchn"/>
    <w:link w:val="Kommentarthema"/>
    <w:uiPriority w:val="99"/>
    <w:semiHidden/>
    <w:rsid w:val="00783B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16/j.stemcr.2018.04.012" TargetMode="Externa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hyperlink" Target="https://doi.org/10.3390/cells9030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2429</TotalTime>
  <Pages>7</Pages>
  <Words>1706</Words>
  <Characters>9726</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Deckert</dc:creator>
  <cp:keywords/>
  <dc:description/>
  <cp:lastModifiedBy>Florian Deckert</cp:lastModifiedBy>
  <cp:revision>12</cp:revision>
  <dcterms:created xsi:type="dcterms:W3CDTF">2022-08-10T10:48:00Z</dcterms:created>
  <dcterms:modified xsi:type="dcterms:W3CDTF">2022-08-12T18:42:00Z</dcterms:modified>
</cp:coreProperties>
</file>