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CLL Metabolic Integration Report</w:t>
      </w:r>
    </w:p>
    <w:p>
      <w:pPr>
        <w:jc w:val="center"/>
      </w:pPr>
      <w:r>
        <w:rPr>
          <w:i/>
          <w:sz w:val="24"/>
        </w:rPr>
        <w:t>Comprehensive Analysis: Chronic Lymphocytic Leukemia, MTHFR Polymorphism, and Hepatic Disease</w:t>
      </w:r>
    </w:p>
    <w:p>
      <w:pPr>
        <w:jc w:val="center"/>
      </w:pPr>
      <w:r>
        <w:rPr>
          <w:sz w:val="20"/>
        </w:rPr>
        <w:t>Report Date: October 22, 2025</w:t>
      </w:r>
    </w:p>
    <w:p>
      <w:pPr>
        <w:pStyle w:val="Heading1"/>
      </w:pPr>
      <w:r>
        <w:t>Executive Summary</w:t>
      </w:r>
    </w:p>
    <w:p>
      <w:r>
        <w:t>This report integrates bone marrow biopsy findings with emerging metabolic research (2024-2025) demonstrating critical interactions between CLL, MTHFR polymorphism, and non-alcoholic fatty liver disease (NAFLD). Recent research reveals that CLL is not merely a genetic disease but a complex metabolic-epigenetic disorder with significant implications for disease progression and therapeutic targeting.</w:t>
      </w:r>
    </w:p>
    <w:p>
      <w:pPr>
        <w:pStyle w:val="Heading2"/>
      </w:pPr>
      <w:r>
        <w:t>Key Clinical Findings</w:t>
      </w:r>
    </w:p>
    <w:p>
      <w:pPr>
        <w:pStyle w:val="ListBullet"/>
      </w:pPr>
      <w:r>
        <w:rPr>
          <w:b/>
        </w:rPr>
        <w:t>Low bone marrow involvement (5%) with high circulating disease (50%)</w:t>
      </w:r>
      <w:r>
        <w:t xml:space="preserve"> - suggests metabolically active circulating phase</w:t>
      </w:r>
    </w:p>
    <w:p>
      <w:pPr>
        <w:pStyle w:val="ListBullet"/>
      </w:pPr>
      <w:r>
        <w:rPr>
          <w:b/>
        </w:rPr>
        <w:t>NOTCH1 mutation present</w:t>
      </w:r>
      <w:r>
        <w:t xml:space="preserve"> - associated with metabolic reprogramming and more aggressive behavior</w:t>
      </w:r>
    </w:p>
    <w:p>
      <w:pPr>
        <w:pStyle w:val="ListBullet"/>
      </w:pPr>
      <w:r>
        <w:rPr>
          <w:b/>
        </w:rPr>
        <w:t>No TP53/ATM deletions</w:t>
      </w:r>
      <w:r>
        <w:t xml:space="preserve"> - favorable for treatment response</w:t>
      </w:r>
    </w:p>
    <w:p>
      <w:pPr>
        <w:pStyle w:val="ListBullet"/>
      </w:pPr>
      <w:r>
        <w:rPr>
          <w:b/>
        </w:rPr>
        <w:t>High CD38 expression (69%)</w:t>
      </w:r>
      <w:r>
        <w:t xml:space="preserve"> - correlates with potential unmutated IGHV status</w:t>
      </w:r>
    </w:p>
    <w:p>
      <w:pPr>
        <w:pStyle w:val="ListBullet"/>
      </w:pPr>
      <w:r>
        <w:rPr>
          <w:b/>
        </w:rPr>
        <w:t>Concurrent NAFLD and MTHFR polymorphism</w:t>
      </w:r>
      <w:r>
        <w:t xml:space="preserve"> - create unique metabolic landscape supporting CLL proliferation</w:t>
      </w:r>
    </w:p>
    <w:p>
      <w:r>
        <w:br w:type="page"/>
      </w:r>
    </w:p>
    <w:p>
      <w:pPr>
        <w:pStyle w:val="Heading1"/>
      </w:pPr>
      <w:r>
        <w:t>Bone Marrow Biopsy Analysis</w:t>
      </w:r>
    </w:p>
    <w:p>
      <w:pPr>
        <w:pStyle w:val="Heading2"/>
      </w:pPr>
      <w:r>
        <w:t>Morphologic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Bone Marrow Cellularity</w:t>
            </w:r>
          </w:p>
        </w:tc>
        <w:tc>
          <w:tcPr>
            <w:tcW w:type="dxa" w:w="4320"/>
          </w:tcPr>
          <w:p>
            <w:r>
              <w:t>Hypercellular (60% cellularity)</w:t>
            </w:r>
          </w:p>
        </w:tc>
      </w:tr>
      <w:tr>
        <w:tc>
          <w:tcPr>
            <w:tcW w:type="dxa" w:w="4320"/>
          </w:tcPr>
          <w:p>
            <w:r>
              <w:t>CLL Involvement</w:t>
            </w:r>
          </w:p>
        </w:tc>
        <w:tc>
          <w:tcPr>
            <w:tcW w:type="dxa" w:w="4320"/>
          </w:tcPr>
          <w:p>
            <w:r>
              <w:t>~5% of total cellularity</w:t>
            </w:r>
          </w:p>
        </w:tc>
      </w:tr>
      <w:tr>
        <w:tc>
          <w:tcPr>
            <w:tcW w:type="dxa" w:w="4320"/>
          </w:tcPr>
          <w:p>
            <w:r>
              <w:t>Peripheral Blood Disease</w:t>
            </w:r>
          </w:p>
        </w:tc>
        <w:tc>
          <w:tcPr>
            <w:tcW w:type="dxa" w:w="4320"/>
          </w:tcPr>
          <w:p>
            <w:r>
              <w:t>50% of circulating white blood cells are CLL cells</w:t>
            </w:r>
          </w:p>
        </w:tc>
      </w:tr>
      <w:tr>
        <w:tc>
          <w:tcPr>
            <w:tcW w:type="dxa" w:w="4320"/>
          </w:tcPr>
          <w:p>
            <w:r>
              <w:t>Blast Count</w:t>
            </w:r>
          </w:p>
        </w:tc>
        <w:tc>
          <w:tcPr>
            <w:tcW w:type="dxa" w:w="4320"/>
          </w:tcPr>
          <w:p>
            <w:r>
              <w:t>&lt;1% blasts - rules out aggressive transformation</w:t>
            </w:r>
          </w:p>
        </w:tc>
      </w:tr>
      <w:tr>
        <w:tc>
          <w:tcPr>
            <w:tcW w:type="dxa" w:w="4320"/>
          </w:tcPr>
          <w:p>
            <w:r>
              <w:t>Immunophenotype</w:t>
            </w:r>
          </w:p>
        </w:tc>
        <w:tc>
          <w:tcPr>
            <w:tcW w:type="dxa" w:w="4320"/>
          </w:tcPr>
          <w:p>
            <w:r>
              <w:t>CD5+/CD19+ kappa-restricted B-cells (classic CLL pattern)</w:t>
            </w:r>
          </w:p>
        </w:tc>
      </w:tr>
    </w:tbl>
    <w:p/>
    <w:p>
      <w:pPr>
        <w:pStyle w:val="Heading2"/>
      </w:pPr>
      <w:r>
        <w:t>Molecular and Cytogenetic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Result / Clinical Significance</w:t>
            </w:r>
          </w:p>
        </w:tc>
      </w:tr>
      <w:tr>
        <w:tc>
          <w:tcPr>
            <w:tcW w:type="dxa" w:w="4320"/>
          </w:tcPr>
          <w:p>
            <w:r>
              <w:t>FISH Analysis</w:t>
            </w:r>
          </w:p>
        </w:tc>
        <w:tc>
          <w:tcPr>
            <w:tcW w:type="dxa" w:w="4320"/>
          </w:tcPr>
          <w:p>
            <w:r>
              <w:t>NEGATIVE for TP53 deletion, ATM deletion, trisomy 12, and 13q14 deletion - Favorable prognostic profile</w:t>
            </w:r>
          </w:p>
        </w:tc>
      </w:tr>
      <w:tr>
        <w:tc>
          <w:tcPr>
            <w:tcW w:type="dxa" w:w="4320"/>
          </w:tcPr>
          <w:p>
            <w:r>
              <w:t>NOTCH1 Status</w:t>
            </w:r>
          </w:p>
        </w:tc>
        <w:tc>
          <w:tcPr>
            <w:tcW w:type="dxa" w:w="4320"/>
          </w:tcPr>
          <w:p>
            <w:r>
              <w:t>POSITIVE - Associated with more aggressive CLL and potentially shorter time to treatment</w:t>
            </w:r>
          </w:p>
        </w:tc>
      </w:tr>
      <w:tr>
        <w:tc>
          <w:tcPr>
            <w:tcW w:type="dxa" w:w="4320"/>
          </w:tcPr>
          <w:p>
            <w:r>
              <w:t>CD38 Expression</w:t>
            </w:r>
          </w:p>
        </w:tc>
        <w:tc>
          <w:tcPr>
            <w:tcW w:type="dxa" w:w="4320"/>
          </w:tcPr>
          <w:p>
            <w:r>
              <w:t>69% positive - Often correlates with unmutated IGHV (more aggressive phenotype)</w:t>
            </w:r>
          </w:p>
        </w:tc>
      </w:tr>
      <w:tr>
        <w:tc>
          <w:tcPr>
            <w:tcW w:type="dxa" w:w="4320"/>
          </w:tcPr>
          <w:p>
            <w:r>
              <w:t>Tumor Mutational Burden</w:t>
            </w:r>
          </w:p>
        </w:tc>
        <w:tc>
          <w:tcPr>
            <w:tcW w:type="dxa" w:w="4320"/>
          </w:tcPr>
          <w:p>
            <w:r>
              <w:t>1 Mut/Mb (very low) - Generally favorable</w:t>
            </w:r>
          </w:p>
        </w:tc>
      </w:tr>
      <w:tr>
        <w:tc>
          <w:tcPr>
            <w:tcW w:type="dxa" w:w="4320"/>
          </w:tcPr>
          <w:p>
            <w:r>
              <w:t>IGHV Mutation Status</w:t>
            </w:r>
          </w:p>
        </w:tc>
        <w:tc>
          <w:tcPr>
            <w:tcW w:type="dxa" w:w="4320"/>
          </w:tcPr>
          <w:p>
            <w:r>
              <w:t>PENDING - Critical prognostic indicator</w:t>
            </w:r>
          </w:p>
        </w:tc>
      </w:tr>
    </w:tbl>
    <w:p/>
    <w:p>
      <w:pPr>
        <w:pStyle w:val="Heading2"/>
      </w:pPr>
      <w:r>
        <w:t>Clinical Interpretation: The 5% vs 50% Paradox</w:t>
      </w:r>
    </w:p>
    <w:p>
      <w:r>
        <w:t>The discrepancy between low bone marrow involvement (5%) and high circulating disease (50%) is clinically significant. Recent research demonstrates that CLL cells in peripheral blood are metabolically inert compared to those in lymph nodes and bone marrow microenvironments. This pattern suggests:</w:t>
      </w:r>
    </w:p>
    <w:p>
      <w:pPr>
        <w:pStyle w:val="ListBullet"/>
      </w:pPr>
      <w:r>
        <w:t>CLL cells are preferentially circulating rather than residing in bone marrow</w:t>
      </w:r>
    </w:p>
    <w:p>
      <w:pPr>
        <w:pStyle w:val="ListBullet"/>
      </w:pPr>
      <w:r>
        <w:t>Cells may be seeking lipid-rich tissue microenvironments (particularly liver in context of NAFLD)</w:t>
      </w:r>
    </w:p>
    <w:p>
      <w:pPr>
        <w:pStyle w:val="ListBullet"/>
      </w:pPr>
      <w:r>
        <w:t>Disease may be responding to systemic inflammatory signals</w:t>
      </w:r>
    </w:p>
    <w:p>
      <w:pPr>
        <w:pStyle w:val="ListBullet"/>
      </w:pPr>
      <w:r>
        <w:t>Not yet heavily dependent on bone marrow stromal support</w:t>
      </w:r>
    </w:p>
    <w:p>
      <w:r>
        <w:br w:type="page"/>
      </w:r>
    </w:p>
    <w:p>
      <w:pPr>
        <w:pStyle w:val="Heading1"/>
      </w:pPr>
      <w:r>
        <w:t>Emerging Metabolic Research: CLL as a Metabolic Disease</w:t>
      </w:r>
    </w:p>
    <w:p>
      <w:pPr>
        <w:pStyle w:val="Heading2"/>
      </w:pPr>
      <w:r>
        <w:t>1. CLL's Unique Metabolic Dependency on Lipids</w:t>
      </w:r>
    </w:p>
    <w:p>
      <w:r>
        <w:rPr>
          <w:b/>
        </w:rPr>
        <w:t xml:space="preserve">Key Finding: </w:t>
      </w:r>
      <w:r>
        <w:t>Unlike most cancers that rely on glycolysis (Warburg effect), CLL cells uniquely depend on oxidative phosphorylation and lipid metabolism for energy production.</w:t>
      </w:r>
    </w:p>
    <w:p>
      <w:r>
        <w:rPr>
          <w:b/>
        </w:rPr>
        <w:t xml:space="preserve">Mechanism: </w:t>
      </w:r>
      <w:r>
        <w:t>CLL cells utilize fatty acids and mitochondrial respiration as primary fuel sources. They actively uptake lipoproteins, store them in cytoplasmic vacuoles, and oxidize them for energy through beta-oxidation.</w:t>
      </w:r>
    </w:p>
    <w:p>
      <w:r>
        <w:rPr>
          <w:b/>
        </w:rPr>
        <w:t xml:space="preserve">Clinical Relevance: </w:t>
      </w:r>
      <w:r>
        <w:t>This explains why HMGCR inhibitors (statins) and lipoprotein lipase inhibitors (orlistat) can induce CLL cell death. Your concurrent NAFLD may provide a metabolically favorable lipid-rich environment for CLL cells.</w:t>
      </w:r>
    </w:p>
    <w:p>
      <w:pPr>
        <w:pStyle w:val="Heading2"/>
      </w:pPr>
      <w:r>
        <w:t>2. STAT3-Lipoprotein Lipase Axis</w:t>
      </w:r>
    </w:p>
    <w:p>
      <w:r>
        <w:rPr>
          <w:b/>
        </w:rPr>
        <w:t xml:space="preserve">Key Finding: </w:t>
      </w:r>
      <w:r>
        <w:t>STAT3 is constitutively activated in CLL cells and drives expression of lipoprotein lipase (LPL), shifting cellular metabolism toward lipid utilization.</w:t>
      </w:r>
    </w:p>
    <w:p>
      <w:r>
        <w:rPr>
          <w:b/>
        </w:rPr>
        <w:t xml:space="preserve">Mechanism: </w:t>
      </w:r>
      <w:r>
        <w:t>Activated STAT3 → increased LPL expression → cellular uptake of lipoproteins → hydrolysis of triglycerides into free fatty acids → PPARα activation → enhanced oxidative phosphorylation</w:t>
      </w:r>
    </w:p>
    <w:p>
      <w:r>
        <w:rPr>
          <w:b/>
        </w:rPr>
        <w:t xml:space="preserve">Clinical Relevance: </w:t>
      </w:r>
      <w:r>
        <w:t>This creates a vicious cycle where CLL cells actively pull lipids from circulation. In patients with NAFLD, the liver represents a lipid-rich reservoir that may support CLL proliferation if cells infiltrate hepatic tissue.</w:t>
      </w:r>
    </w:p>
    <w:p>
      <w:pPr>
        <w:pStyle w:val="Heading2"/>
      </w:pPr>
      <w:r>
        <w:t>3. MTHFR and One-Carbon Metabolism</w:t>
      </w:r>
    </w:p>
    <w:p>
      <w:r>
        <w:rPr>
          <w:b/>
        </w:rPr>
        <w:t xml:space="preserve">Key Finding: </w:t>
      </w:r>
      <w:r>
        <w:t>MTHFR polymorphisms may function as independent prognostic markers influencing progression-free survival in CLL patients.</w:t>
      </w:r>
    </w:p>
    <w:p>
      <w:r>
        <w:rPr>
          <w:b/>
        </w:rPr>
        <w:t xml:space="preserve">Mechanism: </w:t>
      </w:r>
      <w:r>
        <w:t>MTHFR regulates folate and methionine metabolism, critical for DNA synthesis and methylation. Reduced MTHFR activity affects the folate pathway that CLL cells require for proliferation and epigenetic regulation.</w:t>
      </w:r>
    </w:p>
    <w:p>
      <w:r>
        <w:rPr>
          <w:b/>
        </w:rPr>
        <w:t xml:space="preserve">Clinical Relevance: </w:t>
      </w:r>
      <w:r>
        <w:t>Your MTHFR variant may influence how aggressively your CLL clone behaves through epigenetic mechanisms and could affect DNA methylation patterns in CLL cells.</w:t>
      </w:r>
    </w:p>
    <w:p>
      <w:pPr>
        <w:pStyle w:val="Heading2"/>
      </w:pPr>
      <w:r>
        <w:t>4. Gut Microbiome Dysbiosis and Disease Aggression</w:t>
      </w:r>
    </w:p>
    <w:p>
      <w:r>
        <w:rPr>
          <w:b/>
        </w:rPr>
        <w:t xml:space="preserve">Key Finding (2024 Research): </w:t>
      </w:r>
      <w:r>
        <w:t>CLL patients with lower gut microbiome diversity and enrichment of pathogenic bacteria have more advanced or aggressive disease.</w:t>
      </w:r>
    </w:p>
    <w:p>
      <w:r>
        <w:rPr>
          <w:b/>
        </w:rPr>
        <w:t xml:space="preserve">Mechanism: </w:t>
      </w:r>
      <w:r>
        <w:t>CLL patients show depletion of beneficial bacteria (Anaerostipes, Bifidobacterium, Blautia, Ruminococcus) and increased pathogenic bacteria (Bacteroides, Parabacteroides, Proteobacteria). This dysbiosis creates chronic inflammation through NF-κB and STAT3 pathways.</w:t>
      </w:r>
    </w:p>
    <w:p>
      <w:r>
        <w:rPr>
          <w:b/>
        </w:rPr>
        <w:t xml:space="preserve">Additional Finding: </w:t>
      </w:r>
      <w:r>
        <w:t>Murine CLL models show intestinal CLL involvement associated with altered tight junction permeability (leaky gut), allowing bacterial products to enter circulation and drive systemic inflammation.</w:t>
      </w:r>
    </w:p>
    <w:p>
      <w:r>
        <w:rPr>
          <w:b/>
        </w:rPr>
        <w:t xml:space="preserve">Clinical Relevance: </w:t>
      </w:r>
      <w:r>
        <w:t>Gut dysbiosis combined with NAFLD and potential intestinal permeability may create a pro-inflammatory systemic environment that provides CLL cells with survival advantages.</w:t>
      </w:r>
    </w:p>
    <w:p>
      <w:pPr>
        <w:pStyle w:val="Heading2"/>
      </w:pPr>
      <w:r>
        <w:t>5. Epigenetic (Not Genetic) Metabolic Reprogramming</w:t>
      </w:r>
    </w:p>
    <w:p>
      <w:r>
        <w:rPr>
          <w:b/>
        </w:rPr>
        <w:t xml:space="preserve">Critical Insight: </w:t>
      </w:r>
      <w:r>
        <w:t>None of the recurrent mutations in CLL directly alter metabolic pathways, suggesting metabolic reprogramming is epigenetically driven rather than genetically hardwired.</w:t>
      </w:r>
    </w:p>
    <w:p>
      <w:r>
        <w:rPr>
          <w:b/>
        </w:rPr>
        <w:t xml:space="preserve">Clinical Significance: </w:t>
      </w:r>
      <w:r>
        <w:t>This means CLL's metabolic behavior is potentially reversible and targetable without changing underlying genetic mutations. STAT3 and miR-125 are master regulators of this metabolic phenotype.</w:t>
      </w:r>
    </w:p>
    <w:p>
      <w:r>
        <w:br w:type="page"/>
      </w:r>
    </w:p>
    <w:p>
      <w:pPr>
        <w:pStyle w:val="Heading1"/>
      </w:pPr>
      <w:r>
        <w:t>Critical Connection: CLL and Hepatic Involvement</w:t>
      </w:r>
    </w:p>
    <w:p>
      <w:pPr>
        <w:pStyle w:val="Heading2"/>
      </w:pPr>
      <w:r>
        <w:t>Prevalence and Pattern of Liver Involvement</w:t>
      </w:r>
    </w:p>
    <w:p>
      <w:r>
        <w:t>Recent studies demonstrate that hepatic involvement in CLL is more common and prognostically significant than previously recognized:</w:t>
      </w:r>
    </w:p>
    <w:p>
      <w:pPr>
        <w:pStyle w:val="ListBullet"/>
      </w:pPr>
      <w:r>
        <w:t>Approximately 3.5% of newly diagnosed CLL patients have abnormal liver function tests at baseline</w:t>
      </w:r>
    </w:p>
    <w:p>
      <w:pPr>
        <w:pStyle w:val="ListBullet"/>
      </w:pPr>
      <w:r>
        <w:t>Of CLL patients who undergo liver biopsy, 73% show CLL infiltration (most commonly portal tracts)</w:t>
      </w:r>
    </w:p>
    <w:p>
      <w:pPr>
        <w:pStyle w:val="ListBullet"/>
      </w:pPr>
      <w:r>
        <w:t>Patients with abnormal liver function at baseline have shorter overall survival (HR 1.80)</w:t>
      </w:r>
    </w:p>
    <w:p>
      <w:pPr>
        <w:pStyle w:val="ListBullet"/>
      </w:pPr>
      <w:r>
        <w:t>Four distinct infiltration patterns exist: portal only, sinusoidal only, portal plus sinusoidal, and extensive involvement</w:t>
      </w:r>
    </w:p>
    <w:p>
      <w:pPr>
        <w:pStyle w:val="Heading2"/>
      </w:pPr>
      <w:r>
        <w:t>The NAFLD-CLL Metabolic Synergy</w:t>
      </w:r>
    </w:p>
    <w:p>
      <w:r>
        <w:t>The combination of CLL and NAFLD creates a unique metabolic environment:</w:t>
      </w:r>
    </w:p>
    <w:p>
      <w:r>
        <w:rPr>
          <w:b/>
        </w:rPr>
        <w:t xml:space="preserve">Lipid Availability: </w:t>
      </w:r>
      <w:r>
        <w:t>NAFLD liver tissue is rich in triglycerides and free fatty acids. Given CLL's dependence on lipid metabolism via the STAT3-LPL axis, hepatic fatty infiltration may provide an abundant local energy substrate for CLL cells that infiltrate the liver.</w:t>
      </w:r>
    </w:p>
    <w:p>
      <w:r>
        <w:rPr>
          <w:b/>
        </w:rPr>
        <w:t xml:space="preserve">Inflammatory Milieu: </w:t>
      </w:r>
      <w:r>
        <w:t>NAFLD is characterized by chronic inflammation, oxidative stress, and altered cytokine profiles. This inflammatory environment may provide survival signals to CLL cells through NF-κB and STAT3 activation.</w:t>
      </w:r>
    </w:p>
    <w:p>
      <w:r>
        <w:rPr>
          <w:b/>
        </w:rPr>
        <w:t xml:space="preserve">Metabolic Cross-Talk: </w:t>
      </w:r>
      <w:r>
        <w:t>Both conditions involve dysregulated lipid metabolism. CLL cells actively uptake lipids through LPL, while NAFLD represents failure of normal hepatic lipid handling - potentially creating a complementary metabolic relationship.</w:t>
      </w:r>
    </w:p>
    <w:p>
      <w:r>
        <w:rPr>
          <w:b/>
        </w:rPr>
        <w:t xml:space="preserve">Microenvironmental Support: </w:t>
      </w:r>
      <w:r>
        <w:t>The liver is part of the reticuloendothelial system. CLL cells may find supportive microenvironmental niches in hepatic tissue, similar to lymph nodes and bone marrow.</w:t>
      </w:r>
    </w:p>
    <w:p>
      <w:r>
        <w:br w:type="page"/>
      </w:r>
    </w:p>
    <w:p>
      <w:pPr>
        <w:pStyle w:val="Heading1"/>
      </w:pPr>
      <w:r>
        <w:t>Clinical Implications and Monitoring Recommendations</w:t>
      </w:r>
    </w:p>
    <w:p>
      <w:pPr>
        <w:pStyle w:val="Heading2"/>
      </w:pPr>
      <w:r>
        <w:t>For Hepatology Consultation (Priority Items for Friday)</w:t>
      </w:r>
    </w:p>
    <w:p>
      <w:pPr>
        <w:pStyle w:val="ListBullet"/>
      </w:pPr>
      <w:r>
        <w:rPr>
          <w:b/>
        </w:rPr>
        <w:t>Review liver fibrosis scan results</w:t>
      </w:r>
      <w:r>
        <w:t xml:space="preserve"> - in context of potential CLL infiltration</w:t>
      </w:r>
    </w:p>
    <w:p>
      <w:pPr>
        <w:pStyle w:val="ListBullet"/>
      </w:pPr>
      <w:r>
        <w:rPr>
          <w:b/>
        </w:rPr>
        <w:t>Establish baseline liver function monitoring protocol</w:t>
      </w:r>
      <w:r>
        <w:t xml:space="preserve"> - Abnormal LFTs are independent prognostic markers in CLL</w:t>
      </w:r>
    </w:p>
    <w:p>
      <w:pPr>
        <w:pStyle w:val="ListBullet"/>
      </w:pPr>
      <w:r>
        <w:rPr>
          <w:b/>
        </w:rPr>
        <w:t>Consider differential diagnosis</w:t>
      </w:r>
      <w:r>
        <w:t xml:space="preserve"> - between NAFLD progression vs. CLL hepatic infiltration if LFTs worsen</w:t>
      </w:r>
    </w:p>
    <w:p>
      <w:pPr>
        <w:pStyle w:val="ListBullet"/>
      </w:pPr>
      <w:r>
        <w:rPr>
          <w:b/>
        </w:rPr>
        <w:t>Discuss whether liver biopsy would be informative</w:t>
      </w:r>
      <w:r>
        <w:t xml:space="preserve"> - if clinical picture is unclear (though may not be indicated at this stage)</w:t>
      </w:r>
    </w:p>
    <w:p>
      <w:pPr>
        <w:pStyle w:val="ListBullet"/>
      </w:pPr>
      <w:r>
        <w:rPr>
          <w:b/>
        </w:rPr>
        <w:t>Evaluate metabolic interventions</w:t>
      </w:r>
      <w:r>
        <w:t xml:space="preserve"> - that could benefit both conditions (e.g., weight management, lipid optimization)</w:t>
      </w:r>
    </w:p>
    <w:p>
      <w:pPr>
        <w:pStyle w:val="Heading2"/>
      </w:pPr>
      <w:r>
        <w:t>For Oncology Follow-Up</w:t>
      </w:r>
    </w:p>
    <w:p>
      <w:pPr>
        <w:pStyle w:val="ListBullet"/>
      </w:pPr>
      <w:r>
        <w:rPr>
          <w:b/>
        </w:rPr>
        <w:t>Obtain IGHV mutation status</w:t>
      </w:r>
      <w:r>
        <w:t xml:space="preserve"> - single most important prognostic factor still pending</w:t>
      </w:r>
    </w:p>
    <w:p>
      <w:pPr>
        <w:pStyle w:val="ListBullet"/>
      </w:pPr>
      <w:r>
        <w:rPr>
          <w:b/>
        </w:rPr>
        <w:t>Regular liver function monitoring</w:t>
      </w:r>
      <w:r>
        <w:t xml:space="preserve"> - as part of CLL disease surveillance</w:t>
      </w:r>
    </w:p>
    <w:p>
      <w:pPr>
        <w:pStyle w:val="ListBullet"/>
      </w:pPr>
      <w:r>
        <w:rPr>
          <w:b/>
        </w:rPr>
        <w:t>Consider imaging</w:t>
      </w:r>
      <w:r>
        <w:t xml:space="preserve"> - (CT or MRI) to assess hepatosplenomegaly and lymphadenopathy</w:t>
      </w:r>
    </w:p>
    <w:p>
      <w:pPr>
        <w:pStyle w:val="ListBullet"/>
      </w:pPr>
      <w:r>
        <w:rPr>
          <w:b/>
        </w:rPr>
        <w:t>Discuss metabolic targeting strategies</w:t>
      </w:r>
      <w:r>
        <w:t xml:space="preserve"> - if treatment becomes necessary (BTK inhibitors, venetoclax, potential statin adjuvant therapy)</w:t>
      </w:r>
    </w:p>
    <w:p>
      <w:pPr>
        <w:pStyle w:val="ListBullet"/>
      </w:pPr>
      <w:r>
        <w:rPr>
          <w:b/>
        </w:rPr>
        <w:t>Microbiome assessment</w:t>
      </w:r>
      <w:r>
        <w:t xml:space="preserve"> - may be valuable given 2024 research linking gut diversity to CLL aggression</w:t>
      </w:r>
    </w:p>
    <w:p>
      <w:pPr>
        <w:pStyle w:val="Heading2"/>
      </w:pPr>
      <w:r>
        <w:t>Integrative Management Considerations</w:t>
      </w:r>
    </w:p>
    <w:p>
      <w:pPr>
        <w:pStyle w:val="ListBullet"/>
      </w:pPr>
      <w:r>
        <w:rPr>
          <w:b/>
        </w:rPr>
        <w:t>Optimize gut microbiome diversity</w:t>
      </w:r>
      <w:r>
        <w:t>: High-fiber diet, probiotics, minimize unnecessary antibiotics</w:t>
      </w:r>
    </w:p>
    <w:p>
      <w:pPr>
        <w:pStyle w:val="ListBullet"/>
      </w:pPr>
      <w:r>
        <w:rPr>
          <w:b/>
        </w:rPr>
        <w:t>Address NAFLD progression</w:t>
      </w:r>
      <w:r>
        <w:t>: Weight management, metabolic optimization, lipid control</w:t>
      </w:r>
    </w:p>
    <w:p>
      <w:pPr>
        <w:pStyle w:val="ListBullet"/>
      </w:pPr>
      <w:r>
        <w:rPr>
          <w:b/>
        </w:rPr>
        <w:t>Anti-inflammatory dietary patterns</w:t>
      </w:r>
      <w:r>
        <w:t>: May benefit both CLL and NAFLD</w:t>
      </w:r>
    </w:p>
    <w:p>
      <w:pPr>
        <w:pStyle w:val="ListBullet"/>
      </w:pPr>
      <w:r>
        <w:rPr>
          <w:b/>
        </w:rPr>
        <w:t>Regular monitoring of inflammatory markers</w:t>
      </w:r>
      <w:r>
        <w:t>: CRP, IL-6 if available</w:t>
      </w:r>
    </w:p>
    <w:p>
      <w:pPr>
        <w:pStyle w:val="ListBullet"/>
      </w:pPr>
      <w:r>
        <w:rPr>
          <w:b/>
        </w:rPr>
        <w:t>MTHFR-aware supplementation</w:t>
      </w:r>
      <w:r>
        <w:t>: Discuss methylated B vitamin forms with physicians</w:t>
      </w:r>
    </w:p>
    <w:p>
      <w:r>
        <w:br w:type="page"/>
      </w:r>
    </w:p>
    <w:p>
      <w:pPr>
        <w:pStyle w:val="Heading1"/>
      </w:pPr>
      <w:r>
        <w:t>Summary and Next Steps</w:t>
      </w:r>
    </w:p>
    <w:p>
      <w:r>
        <w:t>This patient presents with a complex clinical picture where CLL, MTHFR polymorphism, and NAFLD interact through metabolic pathways. The constellation of findings suggests:</w:t>
      </w:r>
    </w:p>
    <w:p>
      <w:pPr>
        <w:pStyle w:val="ListBullet"/>
      </w:pPr>
      <w:r>
        <w:t>CLL with favorable cytogenetics (no TP53/ATM deletions) but concerning features (NOTCH1 mutation, high CD38)</w:t>
      </w:r>
    </w:p>
    <w:p>
      <w:pPr>
        <w:pStyle w:val="ListBullet"/>
      </w:pPr>
      <w:r>
        <w:t>Metabolically active circulating disease seeking lipid-rich microenvironments</w:t>
      </w:r>
    </w:p>
    <w:p>
      <w:pPr>
        <w:pStyle w:val="ListBullet"/>
      </w:pPr>
      <w:r>
        <w:t>Potential synergy between CLL lipid metabolism and NAFLD creating favorable conditions for disease progression</w:t>
      </w:r>
    </w:p>
    <w:p>
      <w:pPr>
        <w:pStyle w:val="ListBullet"/>
      </w:pPr>
      <w:r>
        <w:t>Possible gut dysbiosis contributing to chronic inflammatory state</w:t>
      </w:r>
    </w:p>
    <w:p>
      <w:pPr>
        <w:pStyle w:val="ListBullet"/>
      </w:pPr>
      <w:r>
        <w:t>Need for integrated monitoring of both hematologic and hepatic parameters</w:t>
      </w:r>
    </w:p>
    <w:p/>
    <w:p>
      <w:r>
        <w:rPr>
          <w:b/>
          <w:sz w:val="24"/>
        </w:rPr>
        <w:t>Critical Missing Data:</w:t>
      </w:r>
    </w:p>
    <w:p>
      <w:pPr>
        <w:pStyle w:val="ListBullet"/>
      </w:pPr>
      <w:r>
        <w:t>IGHV mutation status (determines aggressive vs. indolent phenotype)</w:t>
      </w:r>
    </w:p>
    <w:p>
      <w:pPr>
        <w:pStyle w:val="ListBullet"/>
      </w:pPr>
      <w:r>
        <w:t>Current liver fibrosis staging</w:t>
      </w:r>
    </w:p>
    <w:p>
      <w:pPr>
        <w:pStyle w:val="ListBullet"/>
      </w:pPr>
      <w:r>
        <w:t>Baseline imaging to assess organomegaly and lymphadenopathy</w:t>
      </w:r>
    </w:p>
    <w:p/>
    <w:p>
      <w:r>
        <w:rPr>
          <w:i/>
        </w:rPr>
        <w:t>The emerging understanding of CLL as a metabolic disease rather than purely a genetic disorder opens new avenues for monitoring and potential therapeutic intervention. Close coordination between hematology and hepatology will be essential for optimal management of this patient's overlapping conditions.</w:t>
      </w:r>
    </w:p>
    <w:p>
      <w:r>
        <w:br w:type="page"/>
      </w:r>
    </w:p>
    <w:p>
      <w:pPr>
        <w:pStyle w:val="Heading1"/>
      </w:pPr>
      <w:r>
        <w:t>Key References (2022-2025)</w:t>
      </w:r>
    </w:p>
    <w:p>
      <w:pPr>
        <w:ind w:left="360" w:hanging="360"/>
      </w:pPr>
      <w:r>
        <w:rPr>
          <w:b/>
        </w:rPr>
        <w:t xml:space="preserve">1. </w:t>
      </w:r>
      <w:r>
        <w:t>Yang et al. Targeting metabolic reprogramming in chronic lymphocytic leukemia. Exp Hematol Oncol. 2022;11(1):33.</w:t>
      </w:r>
    </w:p>
    <w:p>
      <w:pPr>
        <w:ind w:left="360" w:hanging="360"/>
      </w:pPr>
      <w:r>
        <w:rPr>
          <w:b/>
        </w:rPr>
        <w:t xml:space="preserve">2. </w:t>
      </w:r>
      <w:r>
        <w:t>Hampel et al. Liver dysfunction in chronic lymphocytic leukemia: Prevalence, outcomes, and pathological findings. Am J Hematol. 2017;92(10):1362-1370.</w:t>
      </w:r>
    </w:p>
    <w:p>
      <w:pPr>
        <w:ind w:left="360" w:hanging="360"/>
      </w:pPr>
      <w:r>
        <w:rPr>
          <w:b/>
        </w:rPr>
        <w:t xml:space="preserve">3. </w:t>
      </w:r>
      <w:r>
        <w:t>Seifert et al. The gut microbiome in patients with chronic lymphocytic leukemia. Haematologica. 2022;107(9):2002-2014.</w:t>
      </w:r>
    </w:p>
    <w:p>
      <w:pPr>
        <w:ind w:left="360" w:hanging="360"/>
      </w:pPr>
      <w:r>
        <w:rPr>
          <w:b/>
        </w:rPr>
        <w:t xml:space="preserve">4. </w:t>
      </w:r>
      <w:r>
        <w:t>Meyerson et al. The diversity of the microbiome impacts chronic lymphocytic leukemia development in mice and humans. Haematologica. 2024;109(10):3217-3230.</w:t>
      </w:r>
    </w:p>
    <w:p>
      <w:pPr>
        <w:ind w:left="360" w:hanging="360"/>
      </w:pPr>
      <w:r>
        <w:rPr>
          <w:b/>
        </w:rPr>
        <w:t xml:space="preserve">5. </w:t>
      </w:r>
      <w:r>
        <w:t>Skupa et al. Gut Microbiome Profiling in Eμ-TCL1 Mice Reveals Intestinal Changes and a Dysbiotic Signature Specific to CLL. Cancer Res Commun. 2025;5(8):1344-1358.</w:t>
      </w:r>
    </w:p>
    <w:p>
      <w:pPr>
        <w:ind w:left="360" w:hanging="360"/>
      </w:pPr>
      <w:r>
        <w:rPr>
          <w:b/>
        </w:rPr>
        <w:t xml:space="preserve">6. </w:t>
      </w:r>
      <w:r>
        <w:t>Rozovski et al. Metabolism pathways in chronic lymphocytic leukemia. Leuk Lymphoma. 2016;57(4):758-765.</w:t>
      </w:r>
    </w:p>
    <w:p>
      <w:pPr>
        <w:ind w:left="360" w:hanging="360"/>
      </w:pPr>
      <w:r>
        <w:rPr>
          <w:b/>
        </w:rPr>
        <w:t xml:space="preserve">7. </w:t>
      </w:r>
      <w:r>
        <w:t>Nuckel et al. MTHFR polymorphisms and risk of chronic lymphocytic leukemia. Cancer Epidemiol Biomarkers Prev. 2004;13(11):1765-1770.</w:t>
      </w:r>
    </w:p>
    <w:p>
      <w:pPr>
        <w:ind w:left="360" w:hanging="360"/>
      </w:pPr>
      <w:r>
        <w:rPr>
          <w:b/>
        </w:rPr>
        <w:t xml:space="preserve">8. </w:t>
      </w:r>
      <w:r>
        <w:t>Kreiniz et al. The clinical spectrum of hepatic manifestations in chronic lymphocytic leukemia. Clin Lymphoma Myeloma Leuk. 2017;17(12):863-869.</w:t>
      </w:r>
    </w:p>
    <w:p/>
    <w:p>
      <w:pPr>
        <w:jc w:val="center"/>
      </w:pPr>
      <w:r>
        <w:rPr>
          <w:i/>
          <w:color w:val="666666"/>
          <w:sz w:val="18"/>
        </w:rPr>
        <w:t>Document prepared for medical consultation purposes</w:t>
      </w:r>
    </w:p>
    <w:p>
      <w:pPr>
        <w:jc w:val="center"/>
      </w:pPr>
      <w:r>
        <w:rPr>
          <w:i/>
          <w:color w:val="666666"/>
          <w:sz w:val="18"/>
        </w:rPr>
        <w:t>This report integrates peer-reviewed research with patient-specific findings for comprehensive clinical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