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09586" w14:textId="54458398" w:rsidR="00AE0BB8" w:rsidRDefault="00000000" w:rsidP="00287D0A">
      <w:pPr>
        <w:spacing w:after="60" w:line="276" w:lineRule="auto"/>
        <w:jc w:val="center"/>
      </w:pPr>
      <w:r>
        <w:rPr>
          <w:b/>
          <w:bCs/>
          <w:color w:val="1F3A8A"/>
        </w:rPr>
        <w:t>RESEARCH PROPOSAL</w:t>
      </w:r>
    </w:p>
    <w:p w14:paraId="79D84D21" w14:textId="77777777" w:rsidR="00287D0A" w:rsidRDefault="00287D0A" w:rsidP="00287D0A">
      <w:pPr>
        <w:spacing w:after="60" w:line="276" w:lineRule="auto"/>
        <w:jc w:val="cente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AE0BB8" w14:paraId="00975892"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6ED4FCEF" w14:textId="0BA882D8" w:rsidR="00AE0BB8" w:rsidRDefault="00000000">
            <w:r>
              <w:rPr>
                <w:b/>
                <w:bCs/>
                <w:color w:val="1F3A8A"/>
              </w:rPr>
              <w:t>Research title</w:t>
            </w:r>
          </w:p>
        </w:tc>
        <w:tc>
          <w:tcPr>
            <w:tcW w:w="6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8530F" w14:textId="77777777" w:rsidR="00AE0BB8" w:rsidRDefault="00000000">
            <w:r>
              <w:rPr>
                <w:color w:val="444441"/>
              </w:rPr>
              <w:t>Inter-Rater Reliability in Academic Software Engineering Hackathon Evaluation: A Study of SEAL Hackathon at FPT University</w:t>
            </w:r>
          </w:p>
        </w:tc>
      </w:tr>
      <w:tr w:rsidR="00AE0BB8" w14:paraId="13354419"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492D7EBA" w14:textId="77777777" w:rsidR="00AE0BB8" w:rsidRDefault="00000000">
            <w:r>
              <w:rPr>
                <w:b/>
                <w:bCs/>
                <w:color w:val="1F3A8A"/>
              </w:rPr>
              <w:t>Sub-committee</w:t>
            </w:r>
          </w:p>
        </w:tc>
        <w:tc>
          <w:tcPr>
            <w:tcW w:w="6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38D6B" w14:textId="77777777" w:rsidR="00AE0BB8" w:rsidRDefault="00000000">
            <w:r>
              <w:rPr>
                <w:color w:val="444441"/>
              </w:rPr>
              <w:t>Information Technology</w:t>
            </w:r>
          </w:p>
        </w:tc>
      </w:tr>
      <w:tr w:rsidR="00AE0BB8" w14:paraId="6118A760"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7D82413B" w14:textId="77777777" w:rsidR="00AE0BB8" w:rsidRDefault="00000000">
            <w:r>
              <w:rPr>
                <w:b/>
                <w:bCs/>
                <w:color w:val="1F3A8A"/>
              </w:rPr>
              <w:t>Group name</w:t>
            </w:r>
          </w:p>
        </w:tc>
        <w:tc>
          <w:tcPr>
            <w:tcW w:w="6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D5F96" w14:textId="6311435B" w:rsidR="00AE0BB8" w:rsidRDefault="00287D0A">
            <w:r>
              <w:rPr>
                <w:color w:val="444441"/>
              </w:rPr>
              <w:t>SEAL Hackathon Researchers</w:t>
            </w:r>
          </w:p>
        </w:tc>
      </w:tr>
      <w:tr w:rsidR="00AE0BB8" w14:paraId="5C2A567D"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09D9FC53" w14:textId="77777777" w:rsidR="00AE0BB8" w:rsidRDefault="00000000">
            <w:r>
              <w:rPr>
                <w:b/>
                <w:bCs/>
                <w:color w:val="1F3A8A"/>
              </w:rPr>
              <w:t>Authors</w:t>
            </w:r>
          </w:p>
        </w:tc>
        <w:tc>
          <w:tcPr>
            <w:tcW w:w="6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1A597" w14:textId="1BFDBDB4" w:rsidR="00AE0BB8" w:rsidRDefault="0097437C">
            <w:r>
              <w:rPr>
                <w:color w:val="444441"/>
              </w:rPr>
              <w:t>Trương Trí Đạt</w:t>
            </w:r>
          </w:p>
        </w:tc>
      </w:tr>
      <w:tr w:rsidR="00AE0BB8" w14:paraId="3D7DBCB2"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5F44E1EF" w14:textId="77777777" w:rsidR="00AE0BB8" w:rsidRDefault="00000000">
            <w:r>
              <w:rPr>
                <w:b/>
                <w:bCs/>
                <w:color w:val="1F3A8A"/>
              </w:rPr>
              <w:t>Mentor</w:t>
            </w:r>
          </w:p>
        </w:tc>
        <w:tc>
          <w:tcPr>
            <w:tcW w:w="6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C7692" w14:textId="32659A88" w:rsidR="00AE0BB8" w:rsidRDefault="0097437C">
            <w:proofErr w:type="spellStart"/>
            <w:r>
              <w:t>Trần</w:t>
            </w:r>
            <w:proofErr w:type="spellEnd"/>
            <w:r>
              <w:t xml:space="preserve"> Viễn Chí</w:t>
            </w:r>
          </w:p>
        </w:tc>
      </w:tr>
    </w:tbl>
    <w:p w14:paraId="1BBCC3AB" w14:textId="77777777" w:rsidR="00AE0BB8" w:rsidRDefault="00AE0BB8">
      <w:pPr>
        <w:spacing w:line="276" w:lineRule="auto"/>
      </w:pPr>
    </w:p>
    <w:p w14:paraId="33AB4A25" w14:textId="77777777" w:rsidR="00AE0BB8" w:rsidRDefault="00AE0BB8">
      <w:pPr>
        <w:pBdr>
          <w:bottom w:val="single" w:sz="1" w:space="0" w:color="CCCCCC"/>
        </w:pBdr>
        <w:spacing w:before="100" w:after="100"/>
      </w:pPr>
    </w:p>
    <w:p w14:paraId="4D482ACF" w14:textId="77777777" w:rsidR="00AE0BB8" w:rsidRDefault="00000000">
      <w:pPr>
        <w:spacing w:before="160" w:after="60" w:line="276" w:lineRule="auto"/>
      </w:pPr>
      <w:r>
        <w:rPr>
          <w:b/>
          <w:bCs/>
          <w:color w:val="1F3A8A"/>
        </w:rPr>
        <w:t>Abstract</w:t>
      </w:r>
    </w:p>
    <w:p w14:paraId="649F17F8" w14:textId="77777777" w:rsidR="00AE0BB8" w:rsidRDefault="00000000">
      <w:pPr>
        <w:spacing w:after="80" w:line="276" w:lineRule="auto"/>
        <w:jc w:val="both"/>
      </w:pPr>
      <w:r>
        <w:rPr>
          <w:color w:val="444441"/>
        </w:rPr>
        <w:t>Hackathon competitions have emerged as a prominent experiential learning format in academic software engineering (SE) programs, where student teams are evaluated by multiple judges using structured rubrics. The validity of such evaluations depends critically on the consistency of scoring across judges — a property formally measured as inter-rater reliability (IRR). However, despite the growing adoption of hackathons in SE education, no empirical study has systematically quantified IRR in this context, examined whether agreement differs across technical versus soft/subjective scoring criteria, or investigated the effect of judge background on scoring consistency.</w:t>
      </w:r>
    </w:p>
    <w:p w14:paraId="46677DF4" w14:textId="77777777" w:rsidR="00AE0BB8" w:rsidRDefault="00000000">
      <w:pPr>
        <w:spacing w:after="80" w:line="276" w:lineRule="auto"/>
        <w:jc w:val="both"/>
      </w:pPr>
      <w:r>
        <w:rPr>
          <w:color w:val="444441"/>
        </w:rPr>
        <w:t>This study addresses these gaps by examining the IRR of judge scoring in the SEAL Hackathon — an academic SE competition at FPT University, Vietnam. Using archival scoring data from 20–50 team submissions evaluated by multiple judges across recent editions of the competition, this study pursues three research questions: (RQ1) What is the overall IRR of SEAL Hackathon scoring, as measured by Intraclass Correlation Coefficient (ICC) and Krippendorff's Alpha? (RQ2) Which scoring criteria — technical or soft/subjective — exhibit the highest and lowest inter-rater agreement? (RQ3) Does judge type (SE Faculty vs. Guest Industry Judge) significantly affect scoring consistency?</w:t>
      </w:r>
    </w:p>
    <w:p w14:paraId="0B57D2F5" w14:textId="77777777" w:rsidR="00AE0BB8" w:rsidRDefault="00000000">
      <w:pPr>
        <w:spacing w:after="100" w:line="276" w:lineRule="auto"/>
        <w:jc w:val="both"/>
      </w:pPr>
      <w:r>
        <w:rPr>
          <w:color w:val="444441"/>
        </w:rPr>
        <w:t>IRR is computed per criterion and per judge group using ICC two-way mixed models (Koo &amp; Li, 2016) and Krippendorff's alpha (Hallgren, 2012), with between-group differences tested via Mann-Whitney U. Findings are expected to provide the first empirical evidence of evaluation reliability in an academic SE hackathon setting in Vietnam, and to yield actionable recommendations for rubric refinement and judge selection in future competitions.</w:t>
      </w:r>
    </w:p>
    <w:p w14:paraId="4344C843" w14:textId="77777777" w:rsidR="00AE0BB8" w:rsidRDefault="00000000">
      <w:pPr>
        <w:pBdr>
          <w:left w:val="single" w:sz="6" w:space="0" w:color="E07B00"/>
        </w:pBdr>
        <w:shd w:val="clear" w:color="auto" w:fill="FFF8DC"/>
        <w:spacing w:before="80" w:after="80"/>
        <w:ind w:left="360" w:right="360"/>
      </w:pPr>
      <w:r>
        <w:rPr>
          <w:color w:val="7A4A00"/>
          <w:sz w:val="20"/>
          <w:szCs w:val="20"/>
        </w:rPr>
        <w:t>Placeholder: confirm exact number of judges per submission and number of competition editions once data inventory is complete.</w:t>
      </w:r>
    </w:p>
    <w:p w14:paraId="40C38237" w14:textId="77777777" w:rsidR="00AE0BB8" w:rsidRDefault="00AE0BB8">
      <w:pPr>
        <w:spacing w:line="276" w:lineRule="auto"/>
      </w:pPr>
    </w:p>
    <w:p w14:paraId="27674396" w14:textId="77777777" w:rsidR="00AE0BB8" w:rsidRDefault="00000000">
      <w:pPr>
        <w:spacing w:after="100" w:line="276" w:lineRule="auto"/>
      </w:pPr>
      <w:r>
        <w:rPr>
          <w:b/>
          <w:bCs/>
          <w:color w:val="1F3A8A"/>
        </w:rPr>
        <w:t xml:space="preserve">Keywords: </w:t>
      </w:r>
      <w:r>
        <w:rPr>
          <w:color w:val="444441"/>
        </w:rPr>
        <w:t xml:space="preserve">inter-rater reliability; intraclass correlation coefficient; </w:t>
      </w:r>
      <w:proofErr w:type="spellStart"/>
      <w:r>
        <w:rPr>
          <w:color w:val="444441"/>
        </w:rPr>
        <w:t>Krippendorff's</w:t>
      </w:r>
      <w:proofErr w:type="spellEnd"/>
      <w:r>
        <w:rPr>
          <w:color w:val="444441"/>
        </w:rPr>
        <w:t xml:space="preserve"> alpha; hackathon; software engineering education; scoring rubric; assessment consistency; judge agreement</w:t>
      </w:r>
    </w:p>
    <w:p w14:paraId="3F988F88" w14:textId="77777777" w:rsidR="00AE0BB8" w:rsidRDefault="00AE0BB8">
      <w:pPr>
        <w:pBdr>
          <w:bottom w:val="single" w:sz="1" w:space="0" w:color="CCCCCC"/>
        </w:pBdr>
        <w:spacing w:before="100" w:after="100"/>
      </w:pPr>
    </w:p>
    <w:p w14:paraId="5AC73D88" w14:textId="77777777" w:rsidR="00AE0BB8" w:rsidRDefault="00000000">
      <w:pPr>
        <w:pStyle w:val="Heading1"/>
      </w:pPr>
      <w:r>
        <w:t>1. Introduction</w:t>
      </w:r>
    </w:p>
    <w:p w14:paraId="28905E2E" w14:textId="77777777" w:rsidR="00AE0BB8" w:rsidRDefault="00000000">
      <w:pPr>
        <w:pStyle w:val="Heading2"/>
      </w:pPr>
      <w:r>
        <w:t>1.1 Literature Review</w:t>
      </w:r>
    </w:p>
    <w:p w14:paraId="4579C109" w14:textId="77777777" w:rsidR="00AE0BB8" w:rsidRDefault="00000000">
      <w:pPr>
        <w:spacing w:before="60" w:after="100" w:line="276" w:lineRule="auto"/>
        <w:jc w:val="both"/>
      </w:pPr>
      <w:r>
        <w:rPr>
          <w:color w:val="444441"/>
        </w:rPr>
        <w:t xml:space="preserve">Research on inter-rater reliability (IRR) in educational assessment draws from a well-established methodological foundation. Shrout and Fleiss [1] defined six classical ICC models based on ANOVA decomposition, providing the mathematical basis for all modern ICC usage. Koo and Li [2] </w:t>
      </w:r>
      <w:r>
        <w:rPr>
          <w:color w:val="444441"/>
        </w:rPr>
        <w:lastRenderedPageBreak/>
        <w:t xml:space="preserve">subsequently offered the most widely adopted practical guideline, distinguishing ten ICC variants and recommending ICC values above 0.75 as indicative of good reliability, with values above 0.90 considered excellent. </w:t>
      </w:r>
      <w:proofErr w:type="spellStart"/>
      <w:r>
        <w:rPr>
          <w:color w:val="444441"/>
        </w:rPr>
        <w:t>Krippendorff</w:t>
      </w:r>
      <w:proofErr w:type="spellEnd"/>
      <w:r>
        <w:rPr>
          <w:color w:val="444441"/>
        </w:rPr>
        <w:t xml:space="preserve"> [3] </w:t>
      </w:r>
      <w:proofErr w:type="spellStart"/>
      <w:r>
        <w:rPr>
          <w:color w:val="444441"/>
        </w:rPr>
        <w:t>formalised</w:t>
      </w:r>
      <w:proofErr w:type="spellEnd"/>
      <w:r>
        <w:rPr>
          <w:color w:val="444441"/>
        </w:rPr>
        <w:t xml:space="preserve"> an alternative reliability coefficient, alpha, applicable across all levels of measurement. Hayes and </w:t>
      </w:r>
      <w:proofErr w:type="spellStart"/>
      <w:r>
        <w:rPr>
          <w:color w:val="444441"/>
        </w:rPr>
        <w:t>Krippendorff</w:t>
      </w:r>
      <w:proofErr w:type="spellEnd"/>
      <w:r>
        <w:rPr>
          <w:color w:val="444441"/>
        </w:rPr>
        <w:t xml:space="preserve"> [4] argued that alpha outperforms kappa-family statistics for multi-rater designs, and Stemler [5] showed that consistency-based (ICC) and measurement-based (alpha) approaches are complementary and should be used together when both reliability paradigms are relevant.</w:t>
      </w:r>
    </w:p>
    <w:p w14:paraId="6AEF4431" w14:textId="77777777" w:rsidR="00AE0BB8" w:rsidRDefault="00000000">
      <w:pPr>
        <w:spacing w:before="60" w:after="100" w:line="276" w:lineRule="auto"/>
        <w:jc w:val="both"/>
      </w:pPr>
      <w:r>
        <w:rPr>
          <w:color w:val="444441"/>
        </w:rPr>
        <w:t xml:space="preserve">Within educational assessment, rubric reliability has received sustained empirical attention. Moskal and Leydens [6] identified rubric clarity and rater training as the primary drivers of IRR. Jonsson and Svingby [7] </w:t>
      </w:r>
      <w:proofErr w:type="spellStart"/>
      <w:r>
        <w:rPr>
          <w:color w:val="444441"/>
        </w:rPr>
        <w:t>synthesised</w:t>
      </w:r>
      <w:proofErr w:type="spellEnd"/>
      <w:r>
        <w:rPr>
          <w:color w:val="444441"/>
        </w:rPr>
        <w:t xml:space="preserve"> 75 empirical studies to show that analytical rubrics consistently outperform holistic rubrics in inter-rater agreement. Kulkarni et al. [8] provided the largest empirical parallel to the present study, computing Krippendorff's alpha across 27,745 MOOC peer-review submissions and finding that alpha varied substantially by criterion type, with subjective criteria yielding systematically lower agreement. Mustapha et al. [9] validated a programming assignment rubric achieving Weighted kappa = 0.810, demonstrating that technical criteria can reach high reliability with well-designed instruments. Messer et al. [10] confirmed that moderate-to-low consistency among human graders remains common even in technical programming assessment.</w:t>
      </w:r>
    </w:p>
    <w:p w14:paraId="78180867" w14:textId="77777777" w:rsidR="00AE0BB8" w:rsidRDefault="00000000">
      <w:pPr>
        <w:spacing w:before="60" w:after="100" w:line="276" w:lineRule="auto"/>
        <w:jc w:val="both"/>
      </w:pPr>
      <w:r>
        <w:rPr>
          <w:color w:val="444441"/>
        </w:rPr>
        <w:t>In the hackathon and SE education literature, Porras et al. [11] documented a decade of academic hackathon events and identified evaluation inconsistency as a recurring challenge, without quantifying it empirically. Araújo et al. [12] recently provided preliminary evidence that soft skills — a core component of hackathon rubrics — remain difficult to assess objectively. Gama et al. [13] proposed a structured hackathon methodology including judging criteria, yet the reliability of those criteria was not examined. Marrujo-</w:t>
      </w:r>
      <w:proofErr w:type="spellStart"/>
      <w:r>
        <w:rPr>
          <w:color w:val="444441"/>
        </w:rPr>
        <w:t>Ingunza</w:t>
      </w:r>
      <w:proofErr w:type="spellEnd"/>
      <w:r>
        <w:rPr>
          <w:color w:val="444441"/>
        </w:rPr>
        <w:t xml:space="preserve"> and </w:t>
      </w:r>
      <w:proofErr w:type="spellStart"/>
      <w:r>
        <w:rPr>
          <w:color w:val="444441"/>
        </w:rPr>
        <w:t>Paico</w:t>
      </w:r>
      <w:proofErr w:type="spellEnd"/>
      <w:r>
        <w:rPr>
          <w:color w:val="444441"/>
        </w:rPr>
        <w:t>-Campos [14], in a 2025 PRISMA review of 73 hackathon papers, confirmed that soft-skill measurement remains systematically under-examined in the field.</w:t>
      </w:r>
    </w:p>
    <w:p w14:paraId="4D075A51" w14:textId="77777777" w:rsidR="00AE0BB8" w:rsidRDefault="00000000">
      <w:pPr>
        <w:spacing w:before="60" w:after="100" w:line="276" w:lineRule="auto"/>
        <w:jc w:val="both"/>
      </w:pPr>
      <w:r>
        <w:rPr>
          <w:color w:val="444441"/>
        </w:rPr>
        <w:t>Across all reviewed literature, no study has jointly examined IRR in an academic hackathon context, disaggregated scoring reliability by criterion type (technical vs. soft), and compared reliability across different judge backgrounds. This constitutes the primary research gap that the present study addresses.</w:t>
      </w:r>
    </w:p>
    <w:p w14:paraId="2E20BBDB" w14:textId="77777777" w:rsidR="00AE0BB8" w:rsidRDefault="00000000">
      <w:pPr>
        <w:pStyle w:val="Heading2"/>
      </w:pPr>
      <w:r>
        <w:t>1.2 The Necessity of the Research</w:t>
      </w:r>
    </w:p>
    <w:p w14:paraId="38D37FA6" w14:textId="77777777" w:rsidR="00AE0BB8" w:rsidRDefault="00000000">
      <w:pPr>
        <w:spacing w:before="60" w:after="100" w:line="276" w:lineRule="auto"/>
        <w:jc w:val="both"/>
      </w:pPr>
      <w:r>
        <w:rPr>
          <w:color w:val="444441"/>
        </w:rPr>
        <w:t>The SEAL Hackathon at FPT University brings together student teams evaluated by panels comprising SE faculty members and guest industry judges. This dual-panel structure introduces a natural between-group variable — judge background — that may systematically influence how scores are assigned, particularly for criteria requiring domain expertise (technical criteria) versus professional judgment (soft criteria such as presentation quality, creativity, and teamwork).</w:t>
      </w:r>
    </w:p>
    <w:p w14:paraId="24D4DAE6" w14:textId="77777777" w:rsidR="00AE0BB8" w:rsidRDefault="00000000">
      <w:pPr>
        <w:spacing w:before="60" w:after="40" w:line="276" w:lineRule="auto"/>
        <w:jc w:val="both"/>
      </w:pPr>
      <w:r>
        <w:rPr>
          <w:color w:val="444441"/>
        </w:rPr>
        <w:t>Without empirical measurement of IRR, three risks persist in the competition's evaluation process:</w:t>
      </w:r>
    </w:p>
    <w:p w14:paraId="14DE69FF" w14:textId="77777777" w:rsidR="00AE0BB8" w:rsidRDefault="00000000">
      <w:pPr>
        <w:pStyle w:val="ListParagraph"/>
        <w:numPr>
          <w:ilvl w:val="0"/>
          <w:numId w:val="2"/>
        </w:numPr>
        <w:spacing w:before="40" w:after="60" w:line="276" w:lineRule="auto"/>
      </w:pPr>
      <w:r>
        <w:rPr>
          <w:color w:val="444441"/>
        </w:rPr>
        <w:t>Fairness risk: if judges disagree substantially, a team's ranking depends not on merit but on which judge evaluated them.</w:t>
      </w:r>
    </w:p>
    <w:p w14:paraId="33951735" w14:textId="77777777" w:rsidR="00AE0BB8" w:rsidRDefault="00000000">
      <w:pPr>
        <w:pStyle w:val="ListParagraph"/>
        <w:numPr>
          <w:ilvl w:val="0"/>
          <w:numId w:val="2"/>
        </w:numPr>
        <w:spacing w:before="40" w:after="60" w:line="276" w:lineRule="auto"/>
      </w:pPr>
      <w:r>
        <w:rPr>
          <w:color w:val="444441"/>
        </w:rPr>
        <w:t>Feedback validity risk: low IRR means the scores convey noise rather than signal, undermining their educational value.</w:t>
      </w:r>
    </w:p>
    <w:p w14:paraId="79A80F3D" w14:textId="77777777" w:rsidR="00AE0BB8" w:rsidRDefault="00000000">
      <w:pPr>
        <w:pStyle w:val="ListParagraph"/>
        <w:numPr>
          <w:ilvl w:val="0"/>
          <w:numId w:val="2"/>
        </w:numPr>
        <w:spacing w:before="40" w:after="60" w:line="276" w:lineRule="auto"/>
      </w:pPr>
      <w:r>
        <w:rPr>
          <w:color w:val="444441"/>
        </w:rPr>
        <w:t xml:space="preserve">Rubric design risk: without knowing which criteria produce the lowest IRR, </w:t>
      </w:r>
      <w:proofErr w:type="spellStart"/>
      <w:r>
        <w:rPr>
          <w:color w:val="444441"/>
        </w:rPr>
        <w:t>organisers</w:t>
      </w:r>
      <w:proofErr w:type="spellEnd"/>
      <w:r>
        <w:rPr>
          <w:color w:val="444441"/>
        </w:rPr>
        <w:t xml:space="preserve"> cannot </w:t>
      </w:r>
      <w:proofErr w:type="spellStart"/>
      <w:r>
        <w:rPr>
          <w:color w:val="444441"/>
        </w:rPr>
        <w:t>prioritise</w:t>
      </w:r>
      <w:proofErr w:type="spellEnd"/>
      <w:r>
        <w:rPr>
          <w:color w:val="444441"/>
        </w:rPr>
        <w:t xml:space="preserve"> rubric improvements.</w:t>
      </w:r>
    </w:p>
    <w:p w14:paraId="3F5D7FD6" w14:textId="77777777" w:rsidR="00AE0BB8" w:rsidRDefault="00AE0BB8">
      <w:pPr>
        <w:spacing w:line="276" w:lineRule="auto"/>
      </w:pPr>
    </w:p>
    <w:p w14:paraId="00FE0525" w14:textId="77777777" w:rsidR="00AE0BB8" w:rsidRDefault="00000000">
      <w:pPr>
        <w:spacing w:before="60" w:after="100" w:line="276" w:lineRule="auto"/>
        <w:jc w:val="both"/>
      </w:pPr>
      <w:r>
        <w:rPr>
          <w:color w:val="444441"/>
        </w:rPr>
        <w:t>This study is original in three respects. First, it produces the first empirical IRR measurement for an academic SE hackathon in Vietnam. Second, it applies a dual-metric design (ICC + alpha) which captures both consistency and absolute agreement — a more complete reliability picture than single-</w:t>
      </w:r>
      <w:r>
        <w:rPr>
          <w:color w:val="444441"/>
        </w:rPr>
        <w:lastRenderedPageBreak/>
        <w:t>metric studies. Third, it tests judge type as a moderating variable, a comparison that has theoretical precedent (Jonsson &amp; Svingby [7]) but no empirical examination in competitive SE evaluation contexts.</w:t>
      </w:r>
    </w:p>
    <w:p w14:paraId="2C180C19" w14:textId="77777777" w:rsidR="00AE0BB8" w:rsidRDefault="00000000">
      <w:pPr>
        <w:pStyle w:val="Heading2"/>
      </w:pPr>
      <w:r>
        <w:t>1.3 Feasibility of Research</w:t>
      </w:r>
    </w:p>
    <w:p w14:paraId="3194E2A4" w14:textId="77777777" w:rsidR="00AE0BB8" w:rsidRDefault="00000000">
      <w:pPr>
        <w:spacing w:before="80" w:after="20" w:line="276" w:lineRule="auto"/>
      </w:pPr>
      <w:r>
        <w:rPr>
          <w:b/>
          <w:bCs/>
          <w:color w:val="444441"/>
        </w:rPr>
        <w:t xml:space="preserve">Research question: </w:t>
      </w:r>
    </w:p>
    <w:p w14:paraId="37C77E77" w14:textId="77777777" w:rsidR="00AE0BB8" w:rsidRDefault="00000000">
      <w:pPr>
        <w:pBdr>
          <w:left w:val="single" w:sz="8" w:space="0" w:color="1F3A8A"/>
        </w:pBdr>
        <w:shd w:val="clear" w:color="auto" w:fill="EEF2FB"/>
        <w:spacing w:before="80" w:after="80"/>
        <w:ind w:left="360" w:right="360"/>
      </w:pPr>
      <w:r>
        <w:rPr>
          <w:color w:val="1F3A8A"/>
        </w:rPr>
        <w:t>"To what extent do hackathon judges agree in their evaluation scores across technical and non-technical criteria in the SEAL Hackathon at FPT University, and does judge type (SE Faculty vs. Guest Judge) significantly affect inter-rater reliability as measured by ICC and Krippendorff's Alpha?"</w:t>
      </w:r>
    </w:p>
    <w:p w14:paraId="7B4B64FE" w14:textId="77777777" w:rsidR="00AE0BB8" w:rsidRDefault="00000000">
      <w:pPr>
        <w:spacing w:before="100" w:after="20" w:line="276" w:lineRule="auto"/>
      </w:pPr>
      <w:r>
        <w:rPr>
          <w:b/>
          <w:bCs/>
          <w:color w:val="444441"/>
        </w:rPr>
        <w:t xml:space="preserve">Research design: </w:t>
      </w:r>
    </w:p>
    <w:p w14:paraId="166E70FE" w14:textId="77777777" w:rsidR="00AE0BB8" w:rsidRDefault="00000000">
      <w:pPr>
        <w:spacing w:after="100" w:line="276" w:lineRule="auto"/>
        <w:jc w:val="both"/>
      </w:pPr>
      <w:r>
        <w:rPr>
          <w:color w:val="444441"/>
        </w:rPr>
        <w:t>Quantitative, observational, cross-sectional study using archival scoring data. No experimental manipulation; no active human-subjects interaction required beyond data access.</w:t>
      </w:r>
    </w:p>
    <w:p w14:paraId="25F1788C" w14:textId="77777777" w:rsidR="00AE0BB8" w:rsidRDefault="00000000">
      <w:pPr>
        <w:spacing w:before="80" w:after="20" w:line="276" w:lineRule="auto"/>
      </w:pPr>
      <w:r>
        <w:rPr>
          <w:b/>
          <w:bCs/>
          <w:color w:val="444441"/>
        </w:rPr>
        <w:t xml:space="preserve">Sample size and population: </w:t>
      </w:r>
    </w:p>
    <w:p w14:paraId="3BAA5625" w14:textId="77777777" w:rsidR="00AE0BB8" w:rsidRDefault="00000000">
      <w:pPr>
        <w:spacing w:after="100" w:line="276" w:lineRule="auto"/>
        <w:jc w:val="both"/>
      </w:pPr>
      <w:r>
        <w:rPr>
          <w:color w:val="444441"/>
        </w:rPr>
        <w:t>20–50 team submissions from recent SEAL Hackathon editions, each independently scored by multiple judges across a fixed rubric. Inclusion criterion: complete score records for all rubric criteria with judge identity information. Exclusion criterion: incomplete or anonymous score records.</w:t>
      </w:r>
    </w:p>
    <w:p w14:paraId="10B7A7A1" w14:textId="77777777" w:rsidR="00AE0BB8" w:rsidRDefault="00000000">
      <w:pPr>
        <w:spacing w:before="80" w:after="20" w:line="276" w:lineRule="auto"/>
      </w:pPr>
      <w:r>
        <w:rPr>
          <w:b/>
          <w:bCs/>
          <w:color w:val="444441"/>
        </w:rPr>
        <w:t xml:space="preserve">Data sources: </w:t>
      </w:r>
    </w:p>
    <w:p w14:paraId="70A68B53" w14:textId="77777777" w:rsidR="00AE0BB8" w:rsidRDefault="00000000">
      <w:pPr>
        <w:spacing w:after="100" w:line="276" w:lineRule="auto"/>
        <w:jc w:val="both"/>
      </w:pPr>
      <w:r>
        <w:rPr>
          <w:color w:val="444441"/>
        </w:rPr>
        <w:t xml:space="preserve">Archival score sheets from the SEAL Hackathon, obtained with permission from the FPT Faculty of Software Engineering. Data will be </w:t>
      </w:r>
      <w:proofErr w:type="spellStart"/>
      <w:r>
        <w:rPr>
          <w:color w:val="444441"/>
        </w:rPr>
        <w:t>anonymised</w:t>
      </w:r>
      <w:proofErr w:type="spellEnd"/>
      <w:r>
        <w:rPr>
          <w:color w:val="444441"/>
        </w:rPr>
        <w:t xml:space="preserve"> at the team and judge level prior to analysis. The group has confirmed access to this dataset.</w:t>
      </w:r>
    </w:p>
    <w:p w14:paraId="403BE610" w14:textId="77777777" w:rsidR="00AE0BB8" w:rsidRDefault="00000000">
      <w:pPr>
        <w:spacing w:before="80" w:after="20" w:line="276" w:lineRule="auto"/>
      </w:pPr>
      <w:r>
        <w:rPr>
          <w:b/>
          <w:bCs/>
          <w:color w:val="444441"/>
        </w:rPr>
        <w:t xml:space="preserve">Budget and funding: </w:t>
      </w:r>
    </w:p>
    <w:p w14:paraId="54F5D7D7" w14:textId="77777777" w:rsidR="00AE0BB8" w:rsidRDefault="00000000">
      <w:pPr>
        <w:spacing w:after="100" w:line="276" w:lineRule="auto"/>
        <w:jc w:val="both"/>
      </w:pPr>
      <w:r>
        <w:rPr>
          <w:color w:val="444441"/>
        </w:rPr>
        <w:t>No monetary budget required. Analysis conducted using R (</w:t>
      </w:r>
      <w:proofErr w:type="spellStart"/>
      <w:r>
        <w:rPr>
          <w:color w:val="444441"/>
        </w:rPr>
        <w:t>irr</w:t>
      </w:r>
      <w:proofErr w:type="spellEnd"/>
      <w:r>
        <w:rPr>
          <w:color w:val="444441"/>
        </w:rPr>
        <w:t xml:space="preserve">, </w:t>
      </w:r>
      <w:proofErr w:type="spellStart"/>
      <w:r>
        <w:rPr>
          <w:color w:val="444441"/>
        </w:rPr>
        <w:t>krippendorffsalpha</w:t>
      </w:r>
      <w:proofErr w:type="spellEnd"/>
      <w:r>
        <w:rPr>
          <w:color w:val="444441"/>
        </w:rPr>
        <w:t xml:space="preserve"> packages) and Python (</w:t>
      </w:r>
      <w:proofErr w:type="spellStart"/>
      <w:r>
        <w:rPr>
          <w:color w:val="444441"/>
        </w:rPr>
        <w:t>pingouin</w:t>
      </w:r>
      <w:proofErr w:type="spellEnd"/>
      <w:r>
        <w:rPr>
          <w:color w:val="444441"/>
        </w:rPr>
        <w:t xml:space="preserve">, </w:t>
      </w:r>
      <w:proofErr w:type="spellStart"/>
      <w:r>
        <w:rPr>
          <w:color w:val="444441"/>
        </w:rPr>
        <w:t>krippendorff</w:t>
      </w:r>
      <w:proofErr w:type="spellEnd"/>
      <w:r>
        <w:rPr>
          <w:color w:val="444441"/>
        </w:rPr>
        <w:t xml:space="preserve"> libraries) — both open-source and freely available.</w:t>
      </w:r>
    </w:p>
    <w:p w14:paraId="76663FC0" w14:textId="77777777" w:rsidR="00AE0BB8" w:rsidRDefault="00000000">
      <w:pPr>
        <w:spacing w:before="80" w:after="20" w:line="276" w:lineRule="auto"/>
      </w:pPr>
      <w:r>
        <w:rPr>
          <w:b/>
          <w:bCs/>
          <w:color w:val="444441"/>
        </w:rPr>
        <w:t xml:space="preserve">Timeframe: </w:t>
      </w:r>
    </w:p>
    <w:p w14:paraId="4BA89120" w14:textId="77777777" w:rsidR="00AE0BB8" w:rsidRDefault="00000000">
      <w:pPr>
        <w:spacing w:after="100" w:line="276" w:lineRule="auto"/>
      </w:pPr>
      <w:r>
        <w:rPr>
          <w:color w:val="444441"/>
        </w:rPr>
        <w:t>Estimated 16 weeks from data access confirmation to final submission. See Section 5 for the detailed milestone table.</w:t>
      </w:r>
    </w:p>
    <w:p w14:paraId="1CD45384" w14:textId="77777777" w:rsidR="00AE0BB8" w:rsidRDefault="00000000">
      <w:pPr>
        <w:spacing w:before="80" w:after="20" w:line="276" w:lineRule="auto"/>
      </w:pPr>
      <w:r>
        <w:rPr>
          <w:b/>
          <w:bCs/>
          <w:color w:val="444441"/>
        </w:rPr>
        <w:t xml:space="preserve">Potential challenges and risks: </w:t>
      </w:r>
    </w:p>
    <w:p w14:paraId="1894AF18" w14:textId="77777777" w:rsidR="00AE0BB8" w:rsidRDefault="00000000">
      <w:pPr>
        <w:pStyle w:val="ListParagraph"/>
        <w:numPr>
          <w:ilvl w:val="0"/>
          <w:numId w:val="2"/>
        </w:numPr>
        <w:spacing w:before="40" w:after="60" w:line="276" w:lineRule="auto"/>
      </w:pPr>
      <w:r>
        <w:rPr>
          <w:color w:val="444441"/>
        </w:rPr>
        <w:t>Data completeness: if some judge-criterion cells are missing, Krippendorff's alpha handles missing data natively; ICC may require imputation or listwise exclusion for unbalanced designs.</w:t>
      </w:r>
    </w:p>
    <w:p w14:paraId="1B0DF1C7" w14:textId="77777777" w:rsidR="00AE0BB8" w:rsidRDefault="00000000">
      <w:pPr>
        <w:pStyle w:val="ListParagraph"/>
        <w:numPr>
          <w:ilvl w:val="0"/>
          <w:numId w:val="2"/>
        </w:numPr>
        <w:spacing w:before="40" w:after="60" w:line="276" w:lineRule="auto"/>
      </w:pPr>
      <w:r>
        <w:rPr>
          <w:color w:val="444441"/>
        </w:rPr>
        <w:t>Small sample size: with 20–50 submissions, statistical power for between-group comparisons (RQ3) is limited; results will be reported with effect sizes and 95% confidence intervals and interpreted conservatively.</w:t>
      </w:r>
    </w:p>
    <w:p w14:paraId="010132C4" w14:textId="77777777" w:rsidR="00AE0BB8" w:rsidRDefault="00000000">
      <w:pPr>
        <w:pStyle w:val="ListParagraph"/>
        <w:numPr>
          <w:ilvl w:val="0"/>
          <w:numId w:val="2"/>
        </w:numPr>
        <w:spacing w:before="40" w:after="60" w:line="276" w:lineRule="auto"/>
      </w:pPr>
      <w:r>
        <w:rPr>
          <w:color w:val="444441"/>
        </w:rPr>
        <w:t xml:space="preserve">Ethical access: score data may contain identifiable judge information; all analyses will use </w:t>
      </w:r>
      <w:proofErr w:type="spellStart"/>
      <w:r>
        <w:rPr>
          <w:color w:val="444441"/>
        </w:rPr>
        <w:t>anonymised</w:t>
      </w:r>
      <w:proofErr w:type="spellEnd"/>
      <w:r>
        <w:rPr>
          <w:color w:val="444441"/>
        </w:rPr>
        <w:t xml:space="preserve"> identifiers only, stored on password-protected institutional drives.</w:t>
      </w:r>
    </w:p>
    <w:p w14:paraId="26054A05" w14:textId="77777777" w:rsidR="00AE0BB8" w:rsidRDefault="00AE0BB8">
      <w:pPr>
        <w:pBdr>
          <w:bottom w:val="single" w:sz="1" w:space="0" w:color="CCCCCC"/>
        </w:pBdr>
        <w:spacing w:before="100" w:after="100"/>
      </w:pPr>
    </w:p>
    <w:p w14:paraId="33F559DD" w14:textId="77777777" w:rsidR="00AE0BB8" w:rsidRDefault="00000000">
      <w:pPr>
        <w:pStyle w:val="Heading1"/>
      </w:pPr>
      <w:r>
        <w:t>2. Research Objectives</w:t>
      </w:r>
    </w:p>
    <w:p w14:paraId="66855387" w14:textId="77777777" w:rsidR="00AE0BB8" w:rsidRDefault="00000000">
      <w:pPr>
        <w:spacing w:before="60" w:after="40" w:line="276" w:lineRule="auto"/>
      </w:pPr>
      <w:r>
        <w:rPr>
          <w:color w:val="444441"/>
        </w:rPr>
        <w:t>This study aims to:</w:t>
      </w:r>
    </w:p>
    <w:p w14:paraId="23E25B3E" w14:textId="77777777" w:rsidR="00AE0BB8" w:rsidRDefault="00000000">
      <w:pPr>
        <w:pStyle w:val="ListParagraph"/>
        <w:numPr>
          <w:ilvl w:val="0"/>
          <w:numId w:val="2"/>
        </w:numPr>
        <w:spacing w:before="40" w:after="60" w:line="276" w:lineRule="auto"/>
      </w:pPr>
      <w:r>
        <w:rPr>
          <w:color w:val="444441"/>
        </w:rPr>
        <w:t>Measure the overall inter-rater reliability (ICC and Krippendorff's alpha) of judge scoring in the SEAL Hackathon at FPT University — addressing RQ1.</w:t>
      </w:r>
    </w:p>
    <w:p w14:paraId="3DD3189D" w14:textId="77777777" w:rsidR="00AE0BB8" w:rsidRDefault="00000000">
      <w:pPr>
        <w:pStyle w:val="ListParagraph"/>
        <w:numPr>
          <w:ilvl w:val="0"/>
          <w:numId w:val="2"/>
        </w:numPr>
        <w:spacing w:before="40" w:after="60" w:line="276" w:lineRule="auto"/>
      </w:pPr>
      <w:r>
        <w:rPr>
          <w:color w:val="444441"/>
        </w:rPr>
        <w:t xml:space="preserve">Identify which scoring criteria (technical or soft/subjective) produce the highest and lowest IRR, and </w:t>
      </w:r>
      <w:proofErr w:type="spellStart"/>
      <w:r>
        <w:rPr>
          <w:color w:val="444441"/>
        </w:rPr>
        <w:t>characterise</w:t>
      </w:r>
      <w:proofErr w:type="spellEnd"/>
      <w:r>
        <w:rPr>
          <w:color w:val="444441"/>
        </w:rPr>
        <w:t xml:space="preserve"> the magnitude of difference between criterion types — addressing RQ2.</w:t>
      </w:r>
    </w:p>
    <w:p w14:paraId="666416A0" w14:textId="77777777" w:rsidR="00AE0BB8" w:rsidRDefault="00000000">
      <w:pPr>
        <w:pStyle w:val="ListParagraph"/>
        <w:numPr>
          <w:ilvl w:val="0"/>
          <w:numId w:val="2"/>
        </w:numPr>
        <w:spacing w:before="40" w:after="60" w:line="276" w:lineRule="auto"/>
      </w:pPr>
      <w:r>
        <w:rPr>
          <w:color w:val="444441"/>
        </w:rPr>
        <w:lastRenderedPageBreak/>
        <w:t>Determine whether judge type (SE Faculty vs. Guest Industry Judge) has a statistically significant effect on scoring consistency, and quantify the direction and size of any difference — addressing RQ3.</w:t>
      </w:r>
    </w:p>
    <w:p w14:paraId="28C4DEEE" w14:textId="77777777" w:rsidR="00AE0BB8" w:rsidRDefault="00000000">
      <w:pPr>
        <w:pStyle w:val="ListParagraph"/>
        <w:numPr>
          <w:ilvl w:val="0"/>
          <w:numId w:val="2"/>
        </w:numPr>
        <w:spacing w:before="40" w:after="60" w:line="276" w:lineRule="auto"/>
      </w:pPr>
      <w:r>
        <w:rPr>
          <w:color w:val="444441"/>
        </w:rPr>
        <w:t>Produce evidence-based recommendations for improving rubric design and judge selection in future SEAL Hackathon editions.</w:t>
      </w:r>
    </w:p>
    <w:p w14:paraId="23A90C08" w14:textId="77777777" w:rsidR="00AE0BB8" w:rsidRDefault="00AE0BB8">
      <w:pPr>
        <w:pBdr>
          <w:bottom w:val="single" w:sz="1" w:space="0" w:color="CCCCCC"/>
        </w:pBdr>
        <w:spacing w:before="100" w:after="100"/>
      </w:pPr>
    </w:p>
    <w:p w14:paraId="273F51E5" w14:textId="77777777" w:rsidR="00AE0BB8" w:rsidRDefault="00000000">
      <w:pPr>
        <w:pStyle w:val="Heading1"/>
      </w:pPr>
      <w:r>
        <w:t>3. Research Scope</w:t>
      </w:r>
    </w:p>
    <w:p w14:paraId="43358081" w14:textId="77777777" w:rsidR="00AE0BB8" w:rsidRDefault="00000000">
      <w:pPr>
        <w:spacing w:before="60" w:after="40" w:line="276" w:lineRule="auto"/>
      </w:pPr>
      <w:r>
        <w:rPr>
          <w:color w:val="444441"/>
        </w:rPr>
        <w:t>This study is bounded by the following scope parameters:</w:t>
      </w:r>
    </w:p>
    <w:p w14:paraId="768FA52F" w14:textId="77777777" w:rsidR="00AE0BB8" w:rsidRDefault="00000000">
      <w:pPr>
        <w:pStyle w:val="ListParagraph"/>
        <w:numPr>
          <w:ilvl w:val="0"/>
          <w:numId w:val="2"/>
        </w:numPr>
        <w:spacing w:before="40" w:after="60" w:line="276" w:lineRule="auto"/>
      </w:pPr>
      <w:r>
        <w:rPr>
          <w:color w:val="444441"/>
        </w:rPr>
        <w:t>Competition: SEAL Hackathon, Faculty of Software Engineering, FPT University — not extended to other competitions or institutions in this study.</w:t>
      </w:r>
    </w:p>
    <w:p w14:paraId="7FC0F17C" w14:textId="77777777" w:rsidR="00AE0BB8" w:rsidRDefault="00000000">
      <w:pPr>
        <w:pStyle w:val="ListParagraph"/>
        <w:numPr>
          <w:ilvl w:val="0"/>
          <w:numId w:val="2"/>
        </w:numPr>
        <w:spacing w:before="40" w:after="60" w:line="276" w:lineRule="auto"/>
      </w:pPr>
      <w:r>
        <w:rPr>
          <w:color w:val="444441"/>
        </w:rPr>
        <w:t>Data: archival scoring records from recent editions for which complete multi-judge data are available; no new scoring sessions are conducted.</w:t>
      </w:r>
    </w:p>
    <w:p w14:paraId="27FD142A" w14:textId="77777777" w:rsidR="00AE0BB8" w:rsidRDefault="00000000">
      <w:pPr>
        <w:pStyle w:val="ListParagraph"/>
        <w:numPr>
          <w:ilvl w:val="0"/>
          <w:numId w:val="2"/>
        </w:numPr>
        <w:spacing w:before="40" w:after="60" w:line="276" w:lineRule="auto"/>
      </w:pPr>
      <w:r>
        <w:rPr>
          <w:color w:val="444441"/>
        </w:rPr>
        <w:t>Analysis type: quantitative only — IRR statistics and between-group comparison. Qualitative investigation of judges' reasoning is outside scope.</w:t>
      </w:r>
    </w:p>
    <w:p w14:paraId="32FB5B50" w14:textId="77777777" w:rsidR="00AE0BB8" w:rsidRDefault="00000000">
      <w:pPr>
        <w:pStyle w:val="ListParagraph"/>
        <w:numPr>
          <w:ilvl w:val="0"/>
          <w:numId w:val="2"/>
        </w:numPr>
        <w:spacing w:before="40" w:after="60" w:line="276" w:lineRule="auto"/>
      </w:pPr>
      <w:proofErr w:type="spellStart"/>
      <w:r>
        <w:rPr>
          <w:color w:val="444441"/>
        </w:rPr>
        <w:t>Generalisability</w:t>
      </w:r>
      <w:proofErr w:type="spellEnd"/>
      <w:r>
        <w:rPr>
          <w:color w:val="444441"/>
        </w:rPr>
        <w:t xml:space="preserve">: findings are directly applicable to SEAL Hackathon; broader </w:t>
      </w:r>
      <w:proofErr w:type="spellStart"/>
      <w:r>
        <w:rPr>
          <w:color w:val="444441"/>
        </w:rPr>
        <w:t>generalisation</w:t>
      </w:r>
      <w:proofErr w:type="spellEnd"/>
      <w:r>
        <w:rPr>
          <w:color w:val="444441"/>
        </w:rPr>
        <w:t xml:space="preserve"> to other academic hackathons is discussed as a limitation and future research direction.</w:t>
      </w:r>
    </w:p>
    <w:p w14:paraId="6FEACD8C" w14:textId="77777777" w:rsidR="00AE0BB8" w:rsidRDefault="00000000">
      <w:pPr>
        <w:pStyle w:val="ListParagraph"/>
        <w:numPr>
          <w:ilvl w:val="0"/>
          <w:numId w:val="2"/>
        </w:numPr>
        <w:spacing w:before="40" w:after="60" w:line="276" w:lineRule="auto"/>
      </w:pPr>
      <w:r>
        <w:rPr>
          <w:color w:val="444441"/>
        </w:rPr>
        <w:t>Criteria categories: criteria are grouped into Technical (code quality, functionality, architecture) and Soft/Subjective (presentation, creativity, teamwork, innovation) based on rubric content analysis — the study does not redesign the rubric.</w:t>
      </w:r>
    </w:p>
    <w:p w14:paraId="1DDC6AA0" w14:textId="77777777" w:rsidR="00AE0BB8" w:rsidRDefault="00AE0BB8">
      <w:pPr>
        <w:pBdr>
          <w:bottom w:val="single" w:sz="1" w:space="0" w:color="CCCCCC"/>
        </w:pBdr>
        <w:spacing w:before="100" w:after="100"/>
      </w:pPr>
    </w:p>
    <w:p w14:paraId="2BF32BDB" w14:textId="77777777" w:rsidR="00AE0BB8" w:rsidRDefault="00000000">
      <w:pPr>
        <w:pStyle w:val="Heading1"/>
      </w:pPr>
      <w:r>
        <w:t>4. Approach and Method</w:t>
      </w:r>
    </w:p>
    <w:p w14:paraId="2AE63F16" w14:textId="77777777" w:rsidR="00AE0BB8" w:rsidRDefault="00000000">
      <w:pPr>
        <w:pStyle w:val="Heading2"/>
      </w:pPr>
      <w:r>
        <w:t>4.1 Research Design</w:t>
      </w:r>
    </w:p>
    <w:p w14:paraId="5E0EF041" w14:textId="77777777" w:rsidR="00AE0BB8" w:rsidRDefault="00000000">
      <w:pPr>
        <w:spacing w:before="60" w:after="100" w:line="276" w:lineRule="auto"/>
        <w:jc w:val="both"/>
      </w:pPr>
      <w:r>
        <w:rPr>
          <w:color w:val="444441"/>
        </w:rPr>
        <w:t xml:space="preserve">This study employs a quantitative, observational design. Existing multi-judge scoring data are </w:t>
      </w:r>
      <w:proofErr w:type="spellStart"/>
      <w:r>
        <w:rPr>
          <w:color w:val="444441"/>
        </w:rPr>
        <w:t>analysed</w:t>
      </w:r>
      <w:proofErr w:type="spellEnd"/>
      <w:r>
        <w:rPr>
          <w:color w:val="444441"/>
        </w:rPr>
        <w:t xml:space="preserve"> without intervention. The design is cross-sectional: all scoring events are treated as simultaneous observations of the reliability property of the evaluation instrument.</w:t>
      </w:r>
    </w:p>
    <w:p w14:paraId="7E23CF77" w14:textId="77777777" w:rsidR="00AE0BB8" w:rsidRDefault="00000000">
      <w:pPr>
        <w:pStyle w:val="Heading2"/>
      </w:pPr>
      <w:r>
        <w:t>4.2 Data Preparation</w:t>
      </w:r>
    </w:p>
    <w:p w14:paraId="3EDB10FA" w14:textId="77777777" w:rsidR="00AE0BB8" w:rsidRDefault="00000000">
      <w:pPr>
        <w:spacing w:before="60" w:after="100" w:line="276" w:lineRule="auto"/>
        <w:jc w:val="both"/>
      </w:pPr>
      <w:r>
        <w:rPr>
          <w:color w:val="444441"/>
        </w:rPr>
        <w:t xml:space="preserve">Raw score sheets are restructured into a judge × submission × criterion matrix. Each cell contains one judge's score for one criterion on one submission. Judge identity is recoded into two categories: SE Faculty (F) and Guest Industry Judge (G). Criteria are </w:t>
      </w:r>
      <w:proofErr w:type="spellStart"/>
      <w:r>
        <w:rPr>
          <w:color w:val="444441"/>
        </w:rPr>
        <w:t>categorised</w:t>
      </w:r>
      <w:proofErr w:type="spellEnd"/>
      <w:r>
        <w:rPr>
          <w:color w:val="444441"/>
        </w:rPr>
        <w:t xml:space="preserve"> as Technical (T) or Soft (S) based on rubric content. Descriptive statistics (mean, SD, range) are computed per criterion prior to reliability analysis.</w:t>
      </w:r>
    </w:p>
    <w:p w14:paraId="75270D53" w14:textId="77777777" w:rsidR="00AE0BB8" w:rsidRDefault="00000000">
      <w:pPr>
        <w:pStyle w:val="Heading2"/>
      </w:pPr>
      <w:r>
        <w:t>4.3 IRR Metrics</w:t>
      </w:r>
    </w:p>
    <w:p w14:paraId="7637266E" w14:textId="77777777" w:rsidR="00AE0BB8" w:rsidRDefault="00000000">
      <w:pPr>
        <w:spacing w:before="80" w:after="20" w:line="276" w:lineRule="auto"/>
      </w:pPr>
      <w:r>
        <w:rPr>
          <w:b/>
          <w:bCs/>
          <w:color w:val="444441"/>
        </w:rPr>
        <w:t xml:space="preserve">ICC for RQ1 and RQ3: </w:t>
      </w:r>
    </w:p>
    <w:p w14:paraId="3CCA3EC6" w14:textId="77777777" w:rsidR="00AE0BB8" w:rsidRDefault="00000000">
      <w:pPr>
        <w:spacing w:after="100" w:line="276" w:lineRule="auto"/>
        <w:jc w:val="both"/>
      </w:pPr>
      <w:r>
        <w:rPr>
          <w:color w:val="444441"/>
        </w:rPr>
        <w:t>Two-way mixed-effects model, absolute agreement type (ICC Model 3,1 per Shrout &amp; Fleiss [1]; Model 3A per Koo &amp; Li [2]). Chosen because judges are a fixed effect (the same panel evaluates all submissions) and absolute agreement is required for fair score comparison. 95% confidence intervals are reported. Benchmarks: less than 0.50 poor, 0.50 to 0.75 moderate, 0.75 to 0.90 good, greater than 0.90 excellent [2].</w:t>
      </w:r>
    </w:p>
    <w:p w14:paraId="35D712AA" w14:textId="77777777" w:rsidR="00AE0BB8" w:rsidRDefault="00000000">
      <w:pPr>
        <w:spacing w:before="80" w:after="20" w:line="276" w:lineRule="auto"/>
      </w:pPr>
      <w:r>
        <w:rPr>
          <w:b/>
          <w:bCs/>
          <w:color w:val="444441"/>
        </w:rPr>
        <w:t xml:space="preserve">Krippendorff's alpha for RQ1 and RQ2: </w:t>
      </w:r>
    </w:p>
    <w:p w14:paraId="16F3CA58" w14:textId="77777777" w:rsidR="00AE0BB8" w:rsidRDefault="00000000">
      <w:pPr>
        <w:spacing w:after="100" w:line="276" w:lineRule="auto"/>
        <w:jc w:val="both"/>
      </w:pPr>
      <w:r>
        <w:rPr>
          <w:color w:val="444441"/>
        </w:rPr>
        <w:t xml:space="preserve">Ordinal alpha computed using the K-Alpha Calculator [15] and validated in R. Ordinal distance metric selected because rubric scores are ordered categories, not continuous values. Threshold: alpha greater </w:t>
      </w:r>
      <w:r>
        <w:rPr>
          <w:color w:val="444441"/>
        </w:rPr>
        <w:lastRenderedPageBreak/>
        <w:t>than or equal to 0.80 considered acceptable for research-grade conclusions [3]. Alpha handles missing data natively, making it robust to incomplete judge-criterion cells.</w:t>
      </w:r>
    </w:p>
    <w:p w14:paraId="21A6497E" w14:textId="77777777" w:rsidR="00AE0BB8" w:rsidRDefault="00000000">
      <w:pPr>
        <w:pStyle w:val="Heading2"/>
      </w:pPr>
      <w:r>
        <w:t>4.4 Between-Group Comparison (RQ3)</w:t>
      </w:r>
    </w:p>
    <w:p w14:paraId="035E311B" w14:textId="77777777" w:rsidR="00AE0BB8" w:rsidRDefault="00000000">
      <w:pPr>
        <w:spacing w:before="60" w:after="100" w:line="276" w:lineRule="auto"/>
        <w:jc w:val="both"/>
      </w:pPr>
      <w:r>
        <w:rPr>
          <w:color w:val="444441"/>
        </w:rPr>
        <w:t>ICC values are computed separately for the SE Faculty judge group and the Guest Judge group. Group difference is tested using the Mann-Whitney U test (non-parametric; appropriate given small per-group sample size). Effect size is reported as rank-biserial correlation r. Significance threshold: p less than 0.05.</w:t>
      </w:r>
    </w:p>
    <w:p w14:paraId="4F8E937A" w14:textId="77777777" w:rsidR="00AE0BB8" w:rsidRDefault="00000000">
      <w:pPr>
        <w:pStyle w:val="Heading2"/>
      </w:pPr>
      <w:r>
        <w:t>4.5 Tools</w:t>
      </w:r>
    </w:p>
    <w:p w14:paraId="2BBC91C7" w14:textId="77777777" w:rsidR="00AE0BB8" w:rsidRDefault="00000000">
      <w:pPr>
        <w:pStyle w:val="ListParagraph"/>
        <w:numPr>
          <w:ilvl w:val="0"/>
          <w:numId w:val="2"/>
        </w:numPr>
        <w:spacing w:before="40" w:after="60" w:line="276" w:lineRule="auto"/>
      </w:pPr>
      <w:r>
        <w:rPr>
          <w:color w:val="444441"/>
        </w:rPr>
        <w:t xml:space="preserve">R 4.x: </w:t>
      </w:r>
      <w:proofErr w:type="spellStart"/>
      <w:r>
        <w:rPr>
          <w:color w:val="444441"/>
        </w:rPr>
        <w:t>irr</w:t>
      </w:r>
      <w:proofErr w:type="spellEnd"/>
      <w:r>
        <w:rPr>
          <w:color w:val="444441"/>
        </w:rPr>
        <w:t xml:space="preserve"> package (ICC), </w:t>
      </w:r>
      <w:proofErr w:type="spellStart"/>
      <w:r>
        <w:rPr>
          <w:color w:val="444441"/>
        </w:rPr>
        <w:t>krippendorffsalpha</w:t>
      </w:r>
      <w:proofErr w:type="spellEnd"/>
      <w:r>
        <w:rPr>
          <w:color w:val="444441"/>
        </w:rPr>
        <w:t xml:space="preserve"> package, coin package (Mann-Whitney U)</w:t>
      </w:r>
    </w:p>
    <w:p w14:paraId="7C314CB1" w14:textId="77777777" w:rsidR="00AE0BB8" w:rsidRDefault="00000000">
      <w:pPr>
        <w:pStyle w:val="ListParagraph"/>
        <w:numPr>
          <w:ilvl w:val="0"/>
          <w:numId w:val="2"/>
        </w:numPr>
        <w:spacing w:before="40" w:after="60" w:line="276" w:lineRule="auto"/>
      </w:pPr>
      <w:r>
        <w:rPr>
          <w:color w:val="444441"/>
        </w:rPr>
        <w:t xml:space="preserve">Python 3.x: </w:t>
      </w:r>
      <w:proofErr w:type="spellStart"/>
      <w:r>
        <w:rPr>
          <w:color w:val="444441"/>
        </w:rPr>
        <w:t>pingouin</w:t>
      </w:r>
      <w:proofErr w:type="spellEnd"/>
      <w:r>
        <w:rPr>
          <w:color w:val="444441"/>
        </w:rPr>
        <w:t xml:space="preserve"> (ICC), </w:t>
      </w:r>
      <w:proofErr w:type="spellStart"/>
      <w:r>
        <w:rPr>
          <w:color w:val="444441"/>
        </w:rPr>
        <w:t>krippendorff</w:t>
      </w:r>
      <w:proofErr w:type="spellEnd"/>
      <w:r>
        <w:rPr>
          <w:color w:val="444441"/>
        </w:rPr>
        <w:t xml:space="preserve"> library, </w:t>
      </w:r>
      <w:proofErr w:type="spellStart"/>
      <w:proofErr w:type="gramStart"/>
      <w:r>
        <w:rPr>
          <w:color w:val="444441"/>
        </w:rPr>
        <w:t>scipy.stats</w:t>
      </w:r>
      <w:proofErr w:type="spellEnd"/>
      <w:proofErr w:type="gramEnd"/>
      <w:r>
        <w:rPr>
          <w:color w:val="444441"/>
        </w:rPr>
        <w:t xml:space="preserve"> (Mann-Whitney U)</w:t>
      </w:r>
    </w:p>
    <w:p w14:paraId="0A58147F" w14:textId="77777777" w:rsidR="00AE0BB8" w:rsidRDefault="00000000">
      <w:pPr>
        <w:pStyle w:val="ListParagraph"/>
        <w:numPr>
          <w:ilvl w:val="0"/>
          <w:numId w:val="2"/>
        </w:numPr>
        <w:spacing w:before="40" w:after="60" w:line="276" w:lineRule="auto"/>
      </w:pPr>
      <w:r>
        <w:rPr>
          <w:color w:val="444441"/>
        </w:rPr>
        <w:t>K-Alpha Calculator (k-alpha.org) for independent verification of alpha values [15]</w:t>
      </w:r>
    </w:p>
    <w:p w14:paraId="7016F8B7" w14:textId="77777777" w:rsidR="00AE0BB8" w:rsidRDefault="00000000">
      <w:pPr>
        <w:pStyle w:val="ListParagraph"/>
        <w:numPr>
          <w:ilvl w:val="0"/>
          <w:numId w:val="2"/>
        </w:numPr>
        <w:spacing w:before="40" w:after="60" w:line="276" w:lineRule="auto"/>
      </w:pPr>
      <w:r>
        <w:rPr>
          <w:color w:val="444441"/>
        </w:rPr>
        <w:t>Microsoft Excel or Google Sheets: data cleaning and codebook management</w:t>
      </w:r>
    </w:p>
    <w:p w14:paraId="3C50879B" w14:textId="77777777" w:rsidR="00AE0BB8" w:rsidRDefault="00AE0BB8">
      <w:pPr>
        <w:pBdr>
          <w:bottom w:val="single" w:sz="1" w:space="0" w:color="CCCCCC"/>
        </w:pBdr>
        <w:spacing w:before="100" w:after="100"/>
      </w:pPr>
    </w:p>
    <w:p w14:paraId="786F1A59" w14:textId="77777777" w:rsidR="00AE0BB8" w:rsidRDefault="00000000">
      <w:pPr>
        <w:pStyle w:val="Heading1"/>
      </w:pPr>
      <w:r>
        <w:t>5. Research Plan</w:t>
      </w:r>
    </w:p>
    <w:p w14:paraId="5952CEC1" w14:textId="77777777" w:rsidR="00AE0BB8" w:rsidRDefault="00000000">
      <w:pPr>
        <w:spacing w:before="60" w:after="120" w:line="276" w:lineRule="auto"/>
        <w:jc w:val="both"/>
      </w:pPr>
      <w:r>
        <w:rPr>
          <w:color w:val="444441"/>
        </w:rPr>
        <w:t xml:space="preserve">The table below presents nine tasks with estimated dates, expected outputs, and responsibility assignments. Date ranges marked in brackets are to be confirmed once the group's academic calendar is </w:t>
      </w:r>
      <w:proofErr w:type="spellStart"/>
      <w:r>
        <w:rPr>
          <w:color w:val="444441"/>
        </w:rPr>
        <w:t>finalised</w:t>
      </w:r>
      <w:proofErr w:type="spellEnd"/>
      <w:r>
        <w:rPr>
          <w:color w:val="444441"/>
        </w:rP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
        <w:gridCol w:w="1780"/>
        <w:gridCol w:w="2574"/>
        <w:gridCol w:w="2473"/>
        <w:gridCol w:w="1978"/>
      </w:tblGrid>
      <w:tr w:rsidR="00AE0BB8" w14:paraId="7B8BC041" w14:textId="77777777">
        <w:tc>
          <w:tcPr>
            <w:tcW w:w="400" w:type="dxa"/>
            <w:tcBorders>
              <w:top w:val="single" w:sz="1" w:space="0" w:color="1F3A8A"/>
              <w:left w:val="single" w:sz="1" w:space="0" w:color="1F3A8A"/>
              <w:bottom w:val="single" w:sz="1" w:space="0" w:color="1F3A8A"/>
              <w:right w:val="single" w:sz="1" w:space="0" w:color="1F3A8A"/>
            </w:tcBorders>
            <w:shd w:val="clear" w:color="auto" w:fill="1F3A8A"/>
            <w:tcMar>
              <w:top w:w="80" w:type="dxa"/>
              <w:left w:w="100" w:type="dxa"/>
              <w:bottom w:w="80" w:type="dxa"/>
              <w:right w:w="100" w:type="dxa"/>
            </w:tcMar>
            <w:vAlign w:val="center"/>
          </w:tcPr>
          <w:p w14:paraId="58D296DB" w14:textId="77777777" w:rsidR="00AE0BB8" w:rsidRDefault="00000000">
            <w:pPr>
              <w:jc w:val="center"/>
            </w:pPr>
            <w:r>
              <w:rPr>
                <w:b/>
                <w:bCs/>
                <w:color w:val="FFFFFF"/>
                <w:sz w:val="20"/>
                <w:szCs w:val="20"/>
              </w:rPr>
              <w:t>No.</w:t>
            </w:r>
          </w:p>
        </w:tc>
        <w:tc>
          <w:tcPr>
            <w:tcW w:w="1800" w:type="dxa"/>
            <w:tcBorders>
              <w:top w:val="single" w:sz="1" w:space="0" w:color="1F3A8A"/>
              <w:left w:val="single" w:sz="1" w:space="0" w:color="1F3A8A"/>
              <w:bottom w:val="single" w:sz="1" w:space="0" w:color="1F3A8A"/>
              <w:right w:val="single" w:sz="1" w:space="0" w:color="1F3A8A"/>
            </w:tcBorders>
            <w:shd w:val="clear" w:color="auto" w:fill="1F3A8A"/>
            <w:tcMar>
              <w:top w:w="80" w:type="dxa"/>
              <w:left w:w="100" w:type="dxa"/>
              <w:bottom w:w="80" w:type="dxa"/>
              <w:right w:w="100" w:type="dxa"/>
            </w:tcMar>
            <w:vAlign w:val="center"/>
          </w:tcPr>
          <w:p w14:paraId="21F23A1C" w14:textId="77777777" w:rsidR="00AE0BB8" w:rsidRDefault="00000000">
            <w:pPr>
              <w:jc w:val="center"/>
            </w:pPr>
            <w:r>
              <w:rPr>
                <w:b/>
                <w:bCs/>
                <w:color w:val="FFFFFF"/>
                <w:sz w:val="20"/>
                <w:szCs w:val="20"/>
              </w:rPr>
              <w:t>Date</w:t>
            </w:r>
          </w:p>
        </w:tc>
        <w:tc>
          <w:tcPr>
            <w:tcW w:w="2600" w:type="dxa"/>
            <w:tcBorders>
              <w:top w:val="single" w:sz="1" w:space="0" w:color="1F3A8A"/>
              <w:left w:val="single" w:sz="1" w:space="0" w:color="1F3A8A"/>
              <w:bottom w:val="single" w:sz="1" w:space="0" w:color="1F3A8A"/>
              <w:right w:val="single" w:sz="1" w:space="0" w:color="1F3A8A"/>
            </w:tcBorders>
            <w:shd w:val="clear" w:color="auto" w:fill="1F3A8A"/>
            <w:tcMar>
              <w:top w:w="80" w:type="dxa"/>
              <w:left w:w="100" w:type="dxa"/>
              <w:bottom w:w="80" w:type="dxa"/>
              <w:right w:w="100" w:type="dxa"/>
            </w:tcMar>
            <w:vAlign w:val="center"/>
          </w:tcPr>
          <w:p w14:paraId="64AC02E3" w14:textId="77777777" w:rsidR="00AE0BB8" w:rsidRDefault="00000000">
            <w:pPr>
              <w:jc w:val="center"/>
            </w:pPr>
            <w:r>
              <w:rPr>
                <w:b/>
                <w:bCs/>
                <w:color w:val="FFFFFF"/>
                <w:sz w:val="20"/>
                <w:szCs w:val="20"/>
              </w:rPr>
              <w:t>Task</w:t>
            </w:r>
          </w:p>
        </w:tc>
        <w:tc>
          <w:tcPr>
            <w:tcW w:w="2500" w:type="dxa"/>
            <w:tcBorders>
              <w:top w:val="single" w:sz="1" w:space="0" w:color="1F3A8A"/>
              <w:left w:val="single" w:sz="1" w:space="0" w:color="1F3A8A"/>
              <w:bottom w:val="single" w:sz="1" w:space="0" w:color="1F3A8A"/>
              <w:right w:val="single" w:sz="1" w:space="0" w:color="1F3A8A"/>
            </w:tcBorders>
            <w:shd w:val="clear" w:color="auto" w:fill="1F3A8A"/>
            <w:tcMar>
              <w:top w:w="80" w:type="dxa"/>
              <w:left w:w="100" w:type="dxa"/>
              <w:bottom w:w="80" w:type="dxa"/>
              <w:right w:w="100" w:type="dxa"/>
            </w:tcMar>
            <w:vAlign w:val="center"/>
          </w:tcPr>
          <w:p w14:paraId="35F79994" w14:textId="77777777" w:rsidR="00AE0BB8" w:rsidRDefault="00000000">
            <w:pPr>
              <w:jc w:val="center"/>
            </w:pPr>
            <w:r>
              <w:rPr>
                <w:b/>
                <w:bCs/>
                <w:color w:val="FFFFFF"/>
                <w:sz w:val="20"/>
                <w:szCs w:val="20"/>
              </w:rPr>
              <w:t>Output</w:t>
            </w:r>
          </w:p>
        </w:tc>
        <w:tc>
          <w:tcPr>
            <w:tcW w:w="2000" w:type="dxa"/>
            <w:tcBorders>
              <w:top w:val="single" w:sz="1" w:space="0" w:color="1F3A8A"/>
              <w:left w:val="single" w:sz="1" w:space="0" w:color="1F3A8A"/>
              <w:bottom w:val="single" w:sz="1" w:space="0" w:color="1F3A8A"/>
              <w:right w:val="single" w:sz="1" w:space="0" w:color="1F3A8A"/>
            </w:tcBorders>
            <w:shd w:val="clear" w:color="auto" w:fill="1F3A8A"/>
            <w:tcMar>
              <w:top w:w="80" w:type="dxa"/>
              <w:left w:w="100" w:type="dxa"/>
              <w:bottom w:w="80" w:type="dxa"/>
              <w:right w:w="100" w:type="dxa"/>
            </w:tcMar>
            <w:vAlign w:val="center"/>
          </w:tcPr>
          <w:p w14:paraId="76CB97CE" w14:textId="77777777" w:rsidR="00AE0BB8" w:rsidRDefault="00000000">
            <w:pPr>
              <w:jc w:val="center"/>
            </w:pPr>
            <w:r>
              <w:rPr>
                <w:b/>
                <w:bCs/>
                <w:color w:val="FFFFFF"/>
                <w:sz w:val="20"/>
                <w:szCs w:val="20"/>
              </w:rPr>
              <w:t>Person in charge</w:t>
            </w:r>
          </w:p>
        </w:tc>
      </w:tr>
      <w:tr w:rsidR="00AE0BB8" w14:paraId="61F9FD39" w14:textId="77777777">
        <w:tc>
          <w:tcPr>
            <w:tcW w:w="4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00" w:type="dxa"/>
              <w:bottom w:w="80" w:type="dxa"/>
              <w:right w:w="100" w:type="dxa"/>
            </w:tcMar>
            <w:vAlign w:val="center"/>
          </w:tcPr>
          <w:p w14:paraId="3B5B78B9" w14:textId="77777777" w:rsidR="00AE0BB8" w:rsidRDefault="00000000">
            <w:pPr>
              <w:jc w:val="center"/>
            </w:pPr>
            <w:r>
              <w:rPr>
                <w:b/>
                <w:bCs/>
                <w:color w:val="1F3A8A"/>
                <w:sz w:val="19"/>
                <w:szCs w:val="19"/>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00" w:type="dxa"/>
              <w:bottom w:w="80" w:type="dxa"/>
              <w:right w:w="100" w:type="dxa"/>
            </w:tcMar>
          </w:tcPr>
          <w:p w14:paraId="3F331578" w14:textId="77777777" w:rsidR="00AE0BB8" w:rsidRDefault="00000000">
            <w:r>
              <w:rPr>
                <w:color w:val="444441"/>
                <w:sz w:val="19"/>
                <w:szCs w:val="19"/>
              </w:rPr>
              <w:t>[dd/mm – dd/mm]</w:t>
            </w:r>
          </w:p>
        </w:tc>
        <w:tc>
          <w:tcPr>
            <w:tcW w:w="26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00" w:type="dxa"/>
              <w:bottom w:w="80" w:type="dxa"/>
              <w:right w:w="100" w:type="dxa"/>
            </w:tcMar>
          </w:tcPr>
          <w:p w14:paraId="25CB6247" w14:textId="77777777" w:rsidR="00AE0BB8" w:rsidRDefault="00000000">
            <w:r>
              <w:rPr>
                <w:color w:val="444441"/>
                <w:sz w:val="19"/>
                <w:szCs w:val="19"/>
              </w:rPr>
              <w:t>Finalize data access &amp; ethical clearance with SEAL Hackathon committee</w:t>
            </w:r>
          </w:p>
        </w:tc>
        <w:tc>
          <w:tcPr>
            <w:tcW w:w="25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00" w:type="dxa"/>
              <w:bottom w:w="80" w:type="dxa"/>
              <w:right w:w="100" w:type="dxa"/>
            </w:tcMar>
          </w:tcPr>
          <w:p w14:paraId="068614CA" w14:textId="77777777" w:rsidR="00AE0BB8" w:rsidRDefault="00000000">
            <w:r>
              <w:rPr>
                <w:color w:val="444441"/>
                <w:sz w:val="19"/>
                <w:szCs w:val="19"/>
              </w:rPr>
              <w:t xml:space="preserve">Data access agreement; </w:t>
            </w:r>
            <w:proofErr w:type="spellStart"/>
            <w:r>
              <w:rPr>
                <w:color w:val="444441"/>
                <w:sz w:val="19"/>
                <w:szCs w:val="19"/>
              </w:rPr>
              <w:t>anonymised</w:t>
            </w:r>
            <w:proofErr w:type="spellEnd"/>
            <w:r>
              <w:rPr>
                <w:color w:val="444441"/>
                <w:sz w:val="19"/>
                <w:szCs w:val="19"/>
              </w:rPr>
              <w:t xml:space="preserve"> score dataset</w:t>
            </w:r>
          </w:p>
        </w:tc>
        <w:tc>
          <w:tcPr>
            <w:tcW w:w="20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00" w:type="dxa"/>
              <w:bottom w:w="80" w:type="dxa"/>
              <w:right w:w="100" w:type="dxa"/>
            </w:tcMar>
          </w:tcPr>
          <w:p w14:paraId="60D83870" w14:textId="77777777" w:rsidR="00AE0BB8" w:rsidRDefault="00000000">
            <w:r>
              <w:rPr>
                <w:color w:val="444441"/>
                <w:sz w:val="19"/>
                <w:szCs w:val="19"/>
              </w:rPr>
              <w:t>[Name]</w:t>
            </w:r>
          </w:p>
        </w:tc>
      </w:tr>
      <w:tr w:rsidR="00AE0BB8" w14:paraId="63D834FD"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4E745A0F" w14:textId="77777777" w:rsidR="00AE0BB8" w:rsidRDefault="00000000">
            <w:pPr>
              <w:jc w:val="center"/>
            </w:pPr>
            <w:r>
              <w:rPr>
                <w:b/>
                <w:bCs/>
                <w:color w:val="1F3A8A"/>
                <w:sz w:val="19"/>
                <w:szCs w:val="19"/>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AFCFEF" w14:textId="77777777" w:rsidR="00AE0BB8" w:rsidRDefault="00000000">
            <w:r>
              <w:rPr>
                <w:color w:val="444441"/>
                <w:sz w:val="19"/>
                <w:szCs w:val="19"/>
              </w:rPr>
              <w:t>[dd/mm – dd/mm]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3C8DF89" w14:textId="77777777" w:rsidR="00AE0BB8" w:rsidRDefault="00000000">
            <w:r>
              <w:rPr>
                <w:color w:val="444441"/>
                <w:sz w:val="19"/>
                <w:szCs w:val="19"/>
              </w:rPr>
              <w:t>Data cleaning &amp; codebook development (criterion labels, judge categories)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C347132" w14:textId="77777777" w:rsidR="00AE0BB8" w:rsidRDefault="00000000">
            <w:r>
              <w:rPr>
                <w:color w:val="444441"/>
                <w:sz w:val="19"/>
                <w:szCs w:val="19"/>
              </w:rPr>
              <w:t>Clean dataset (.xlsx); codebook (.pdf)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2E7709D" w14:textId="77777777" w:rsidR="00AE0BB8" w:rsidRDefault="00000000">
            <w:r>
              <w:rPr>
                <w:color w:val="444441"/>
                <w:sz w:val="19"/>
                <w:szCs w:val="19"/>
              </w:rPr>
              <w:t>[Name]</w:t>
            </w:r>
          </w:p>
        </w:tc>
      </w:tr>
      <w:tr w:rsidR="00AE0BB8" w14:paraId="7E60C8C5" w14:textId="77777777">
        <w:tc>
          <w:tcPr>
            <w:tcW w:w="4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00" w:type="dxa"/>
              <w:bottom w:w="80" w:type="dxa"/>
              <w:right w:w="100" w:type="dxa"/>
            </w:tcMar>
            <w:vAlign w:val="center"/>
          </w:tcPr>
          <w:p w14:paraId="7875B4B5" w14:textId="77777777" w:rsidR="00AE0BB8" w:rsidRDefault="00000000">
            <w:pPr>
              <w:jc w:val="center"/>
            </w:pPr>
            <w:r>
              <w:rPr>
                <w:b/>
                <w:bCs/>
                <w:color w:val="1F3A8A"/>
                <w:sz w:val="19"/>
                <w:szCs w:val="19"/>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00" w:type="dxa"/>
              <w:bottom w:w="80" w:type="dxa"/>
              <w:right w:w="100" w:type="dxa"/>
            </w:tcMar>
          </w:tcPr>
          <w:p w14:paraId="56A28C0C" w14:textId="77777777" w:rsidR="00AE0BB8" w:rsidRDefault="00000000">
            <w:r>
              <w:rPr>
                <w:color w:val="444441"/>
                <w:sz w:val="19"/>
                <w:szCs w:val="19"/>
              </w:rPr>
              <w:t>[dd/mm – dd/mm]</w:t>
            </w:r>
          </w:p>
        </w:tc>
        <w:tc>
          <w:tcPr>
            <w:tcW w:w="26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00" w:type="dxa"/>
              <w:bottom w:w="80" w:type="dxa"/>
              <w:right w:w="100" w:type="dxa"/>
            </w:tcMar>
          </w:tcPr>
          <w:p w14:paraId="34E391C9" w14:textId="77777777" w:rsidR="00AE0BB8" w:rsidRDefault="00000000">
            <w:r>
              <w:rPr>
                <w:color w:val="444441"/>
                <w:sz w:val="19"/>
                <w:szCs w:val="19"/>
              </w:rPr>
              <w:t>Compute ICC (two-way mixed) per criterion and overall — RQ1</w:t>
            </w:r>
          </w:p>
        </w:tc>
        <w:tc>
          <w:tcPr>
            <w:tcW w:w="25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00" w:type="dxa"/>
              <w:bottom w:w="80" w:type="dxa"/>
              <w:right w:w="100" w:type="dxa"/>
            </w:tcMar>
          </w:tcPr>
          <w:p w14:paraId="195C954D" w14:textId="77777777" w:rsidR="00AE0BB8" w:rsidRDefault="00000000">
            <w:r>
              <w:rPr>
                <w:color w:val="444441"/>
                <w:sz w:val="19"/>
                <w:szCs w:val="19"/>
              </w:rPr>
              <w:t>ICC results table; R/Python script</w:t>
            </w:r>
          </w:p>
        </w:tc>
        <w:tc>
          <w:tcPr>
            <w:tcW w:w="20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00" w:type="dxa"/>
              <w:bottom w:w="80" w:type="dxa"/>
              <w:right w:w="100" w:type="dxa"/>
            </w:tcMar>
          </w:tcPr>
          <w:p w14:paraId="0FD8772E" w14:textId="77777777" w:rsidR="00AE0BB8" w:rsidRDefault="00000000">
            <w:r>
              <w:rPr>
                <w:color w:val="444441"/>
                <w:sz w:val="19"/>
                <w:szCs w:val="19"/>
              </w:rPr>
              <w:t>[Name]</w:t>
            </w:r>
          </w:p>
        </w:tc>
      </w:tr>
      <w:tr w:rsidR="00AE0BB8" w14:paraId="592E09B4"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62031C15" w14:textId="77777777" w:rsidR="00AE0BB8" w:rsidRDefault="00000000">
            <w:pPr>
              <w:jc w:val="center"/>
            </w:pPr>
            <w:r>
              <w:rPr>
                <w:b/>
                <w:bCs/>
                <w:color w:val="1F3A8A"/>
                <w:sz w:val="19"/>
                <w:szCs w:val="19"/>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C594ED6" w14:textId="77777777" w:rsidR="00AE0BB8" w:rsidRDefault="00000000">
            <w:r>
              <w:rPr>
                <w:color w:val="444441"/>
                <w:sz w:val="19"/>
                <w:szCs w:val="19"/>
              </w:rPr>
              <w:t>[dd/mm – dd/mm]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9322F38" w14:textId="77777777" w:rsidR="00AE0BB8" w:rsidRDefault="00000000">
            <w:r>
              <w:rPr>
                <w:color w:val="444441"/>
                <w:sz w:val="19"/>
                <w:szCs w:val="19"/>
              </w:rPr>
              <w:t>Compute Krippendorff's alpha per criterion — RQ1 &amp; RQ2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54A827D" w14:textId="77777777" w:rsidR="00AE0BB8" w:rsidRDefault="00000000">
            <w:r>
              <w:rPr>
                <w:color w:val="444441"/>
                <w:sz w:val="19"/>
                <w:szCs w:val="19"/>
              </w:rPr>
              <w:t>Alpha results; Technical vs. Soft comparison table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67CB4B9" w14:textId="77777777" w:rsidR="00AE0BB8" w:rsidRDefault="00000000">
            <w:r>
              <w:rPr>
                <w:color w:val="444441"/>
                <w:sz w:val="19"/>
                <w:szCs w:val="19"/>
              </w:rPr>
              <w:t>[Name]</w:t>
            </w:r>
          </w:p>
        </w:tc>
      </w:tr>
      <w:tr w:rsidR="00AE0BB8" w14:paraId="5A74CEE0" w14:textId="77777777">
        <w:tc>
          <w:tcPr>
            <w:tcW w:w="4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00" w:type="dxa"/>
              <w:bottom w:w="80" w:type="dxa"/>
              <w:right w:w="100" w:type="dxa"/>
            </w:tcMar>
            <w:vAlign w:val="center"/>
          </w:tcPr>
          <w:p w14:paraId="563718D4" w14:textId="77777777" w:rsidR="00AE0BB8" w:rsidRDefault="00000000">
            <w:pPr>
              <w:jc w:val="center"/>
            </w:pPr>
            <w:r>
              <w:rPr>
                <w:b/>
                <w:bCs/>
                <w:color w:val="1F3A8A"/>
                <w:sz w:val="19"/>
                <w:szCs w:val="19"/>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00" w:type="dxa"/>
              <w:bottom w:w="80" w:type="dxa"/>
              <w:right w:w="100" w:type="dxa"/>
            </w:tcMar>
          </w:tcPr>
          <w:p w14:paraId="1AC06013" w14:textId="77777777" w:rsidR="00AE0BB8" w:rsidRDefault="00000000">
            <w:r>
              <w:rPr>
                <w:color w:val="444441"/>
                <w:sz w:val="19"/>
                <w:szCs w:val="19"/>
              </w:rPr>
              <w:t>[dd/mm – dd/mm]</w:t>
            </w:r>
          </w:p>
        </w:tc>
        <w:tc>
          <w:tcPr>
            <w:tcW w:w="26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00" w:type="dxa"/>
              <w:bottom w:w="80" w:type="dxa"/>
              <w:right w:w="100" w:type="dxa"/>
            </w:tcMar>
          </w:tcPr>
          <w:p w14:paraId="61327152" w14:textId="77777777" w:rsidR="00AE0BB8" w:rsidRDefault="00000000">
            <w:r>
              <w:rPr>
                <w:color w:val="444441"/>
                <w:sz w:val="19"/>
                <w:szCs w:val="19"/>
              </w:rPr>
              <w:t>Between-group IRR analysis: SE Faculty vs. Guest Judges — RQ3</w:t>
            </w:r>
          </w:p>
        </w:tc>
        <w:tc>
          <w:tcPr>
            <w:tcW w:w="25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00" w:type="dxa"/>
              <w:bottom w:w="80" w:type="dxa"/>
              <w:right w:w="100" w:type="dxa"/>
            </w:tcMar>
          </w:tcPr>
          <w:p w14:paraId="67324E5F" w14:textId="77777777" w:rsidR="00AE0BB8" w:rsidRDefault="00000000">
            <w:r>
              <w:rPr>
                <w:color w:val="444441"/>
                <w:sz w:val="19"/>
                <w:szCs w:val="19"/>
              </w:rPr>
              <w:t xml:space="preserve">Mann-Whitney U results; boxplot </w:t>
            </w:r>
            <w:proofErr w:type="spellStart"/>
            <w:r>
              <w:rPr>
                <w:color w:val="444441"/>
                <w:sz w:val="19"/>
                <w:szCs w:val="19"/>
              </w:rPr>
              <w:t>visualisation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00" w:type="dxa"/>
              <w:bottom w:w="80" w:type="dxa"/>
              <w:right w:w="100" w:type="dxa"/>
            </w:tcMar>
          </w:tcPr>
          <w:p w14:paraId="0FF58ED2" w14:textId="77777777" w:rsidR="00AE0BB8" w:rsidRDefault="00000000">
            <w:r>
              <w:rPr>
                <w:color w:val="444441"/>
                <w:sz w:val="19"/>
                <w:szCs w:val="19"/>
              </w:rPr>
              <w:t>[Name]</w:t>
            </w:r>
          </w:p>
        </w:tc>
      </w:tr>
      <w:tr w:rsidR="00AE0BB8" w14:paraId="5CB24F3B"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4E31573E" w14:textId="77777777" w:rsidR="00AE0BB8" w:rsidRDefault="00000000">
            <w:pPr>
              <w:jc w:val="center"/>
            </w:pPr>
            <w:r>
              <w:rPr>
                <w:b/>
                <w:bCs/>
                <w:color w:val="1F3A8A"/>
                <w:sz w:val="19"/>
                <w:szCs w:val="19"/>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5ECC6A1" w14:textId="77777777" w:rsidR="00AE0BB8" w:rsidRDefault="00000000">
            <w:r>
              <w:rPr>
                <w:color w:val="444441"/>
                <w:sz w:val="19"/>
                <w:szCs w:val="19"/>
              </w:rPr>
              <w:t>[dd/mm – dd/mm]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78CF7E9" w14:textId="77777777" w:rsidR="00AE0BB8" w:rsidRDefault="00000000">
            <w:r>
              <w:rPr>
                <w:color w:val="444441"/>
                <w:sz w:val="19"/>
                <w:szCs w:val="19"/>
              </w:rPr>
              <w:t>Write: Introduction, Literature Review, Methodology sections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60F9549" w14:textId="77777777" w:rsidR="00AE0BB8" w:rsidRDefault="00000000">
            <w:r>
              <w:rPr>
                <w:color w:val="444441"/>
                <w:sz w:val="19"/>
                <w:szCs w:val="19"/>
              </w:rPr>
              <w:t>Draft ~4,000 words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DF043C" w14:textId="77777777" w:rsidR="00AE0BB8" w:rsidRDefault="00000000">
            <w:r>
              <w:rPr>
                <w:color w:val="444441"/>
                <w:sz w:val="19"/>
                <w:szCs w:val="19"/>
              </w:rPr>
              <w:t>[Name]</w:t>
            </w:r>
          </w:p>
        </w:tc>
      </w:tr>
      <w:tr w:rsidR="00AE0BB8" w14:paraId="5A43E294" w14:textId="77777777">
        <w:tc>
          <w:tcPr>
            <w:tcW w:w="4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00" w:type="dxa"/>
              <w:bottom w:w="80" w:type="dxa"/>
              <w:right w:w="100" w:type="dxa"/>
            </w:tcMar>
            <w:vAlign w:val="center"/>
          </w:tcPr>
          <w:p w14:paraId="3F9677AE" w14:textId="77777777" w:rsidR="00AE0BB8" w:rsidRDefault="00000000">
            <w:pPr>
              <w:jc w:val="center"/>
            </w:pPr>
            <w:r>
              <w:rPr>
                <w:b/>
                <w:bCs/>
                <w:color w:val="1F3A8A"/>
                <w:sz w:val="19"/>
                <w:szCs w:val="19"/>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00" w:type="dxa"/>
              <w:bottom w:w="80" w:type="dxa"/>
              <w:right w:w="100" w:type="dxa"/>
            </w:tcMar>
          </w:tcPr>
          <w:p w14:paraId="0A7A219C" w14:textId="77777777" w:rsidR="00AE0BB8" w:rsidRDefault="00000000">
            <w:r>
              <w:rPr>
                <w:color w:val="444441"/>
                <w:sz w:val="19"/>
                <w:szCs w:val="19"/>
              </w:rPr>
              <w:t>[dd/mm – dd/mm]</w:t>
            </w:r>
          </w:p>
        </w:tc>
        <w:tc>
          <w:tcPr>
            <w:tcW w:w="26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00" w:type="dxa"/>
              <w:bottom w:w="80" w:type="dxa"/>
              <w:right w:w="100" w:type="dxa"/>
            </w:tcMar>
          </w:tcPr>
          <w:p w14:paraId="0A681785" w14:textId="77777777" w:rsidR="00AE0BB8" w:rsidRDefault="00000000">
            <w:r>
              <w:rPr>
                <w:color w:val="444441"/>
                <w:sz w:val="19"/>
                <w:szCs w:val="19"/>
              </w:rPr>
              <w:t>Write: Results, Discussion, Conclusion sections</w:t>
            </w:r>
          </w:p>
        </w:tc>
        <w:tc>
          <w:tcPr>
            <w:tcW w:w="25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00" w:type="dxa"/>
              <w:bottom w:w="80" w:type="dxa"/>
              <w:right w:w="100" w:type="dxa"/>
            </w:tcMar>
          </w:tcPr>
          <w:p w14:paraId="565B057C" w14:textId="77777777" w:rsidR="00AE0BB8" w:rsidRDefault="00000000">
            <w:r>
              <w:rPr>
                <w:color w:val="444441"/>
                <w:sz w:val="19"/>
                <w:szCs w:val="19"/>
              </w:rPr>
              <w:t>Draft ~3,000 words</w:t>
            </w:r>
          </w:p>
        </w:tc>
        <w:tc>
          <w:tcPr>
            <w:tcW w:w="20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00" w:type="dxa"/>
              <w:bottom w:w="80" w:type="dxa"/>
              <w:right w:w="100" w:type="dxa"/>
            </w:tcMar>
          </w:tcPr>
          <w:p w14:paraId="7CEE3A6A" w14:textId="77777777" w:rsidR="00AE0BB8" w:rsidRDefault="00000000">
            <w:r>
              <w:rPr>
                <w:color w:val="444441"/>
                <w:sz w:val="19"/>
                <w:szCs w:val="19"/>
              </w:rPr>
              <w:t>[Name]</w:t>
            </w:r>
          </w:p>
        </w:tc>
      </w:tr>
      <w:tr w:rsidR="00AE0BB8" w14:paraId="4CA06B8C"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79581B28" w14:textId="77777777" w:rsidR="00AE0BB8" w:rsidRDefault="00000000">
            <w:pPr>
              <w:jc w:val="center"/>
            </w:pPr>
            <w:r>
              <w:rPr>
                <w:b/>
                <w:bCs/>
                <w:color w:val="1F3A8A"/>
                <w:sz w:val="19"/>
                <w:szCs w:val="19"/>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416D41A" w14:textId="77777777" w:rsidR="00AE0BB8" w:rsidRDefault="00000000">
            <w:r>
              <w:rPr>
                <w:color w:val="444441"/>
                <w:sz w:val="19"/>
                <w:szCs w:val="19"/>
              </w:rPr>
              <w:t>[dd/mm – dd/mm]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AD3CBFA" w14:textId="77777777" w:rsidR="00AE0BB8" w:rsidRDefault="00000000">
            <w:r>
              <w:rPr>
                <w:color w:val="444441"/>
                <w:sz w:val="19"/>
                <w:szCs w:val="19"/>
              </w:rPr>
              <w:t>Internal review, revision, and mentor feedback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A450A30" w14:textId="77777777" w:rsidR="00AE0BB8" w:rsidRDefault="00000000">
            <w:r>
              <w:rPr>
                <w:color w:val="444441"/>
                <w:sz w:val="19"/>
                <w:szCs w:val="19"/>
              </w:rPr>
              <w:t>Revised full draft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5A4C181" w14:textId="77777777" w:rsidR="00AE0BB8" w:rsidRDefault="00000000">
            <w:r>
              <w:rPr>
                <w:color w:val="444441"/>
                <w:sz w:val="19"/>
                <w:szCs w:val="19"/>
              </w:rPr>
              <w:t>All members</w:t>
            </w:r>
          </w:p>
        </w:tc>
      </w:tr>
      <w:tr w:rsidR="00AE0BB8" w14:paraId="7EF3AE77" w14:textId="77777777">
        <w:tc>
          <w:tcPr>
            <w:tcW w:w="4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00" w:type="dxa"/>
              <w:bottom w:w="80" w:type="dxa"/>
              <w:right w:w="100" w:type="dxa"/>
            </w:tcMar>
            <w:vAlign w:val="center"/>
          </w:tcPr>
          <w:p w14:paraId="414AB319" w14:textId="77777777" w:rsidR="00AE0BB8" w:rsidRDefault="00000000">
            <w:pPr>
              <w:jc w:val="center"/>
            </w:pPr>
            <w:r>
              <w:rPr>
                <w:b/>
                <w:bCs/>
                <w:color w:val="1F3A8A"/>
                <w:sz w:val="19"/>
                <w:szCs w:val="19"/>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00" w:type="dxa"/>
              <w:bottom w:w="80" w:type="dxa"/>
              <w:right w:w="100" w:type="dxa"/>
            </w:tcMar>
          </w:tcPr>
          <w:p w14:paraId="69C5ACBB" w14:textId="77777777" w:rsidR="00AE0BB8" w:rsidRDefault="00000000">
            <w:r>
              <w:rPr>
                <w:color w:val="444441"/>
                <w:sz w:val="19"/>
                <w:szCs w:val="19"/>
              </w:rPr>
              <w:t>[dd/mm – dd/mm]</w:t>
            </w:r>
          </w:p>
        </w:tc>
        <w:tc>
          <w:tcPr>
            <w:tcW w:w="26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00" w:type="dxa"/>
              <w:bottom w:w="80" w:type="dxa"/>
              <w:right w:w="100" w:type="dxa"/>
            </w:tcMar>
          </w:tcPr>
          <w:p w14:paraId="5F807C4A" w14:textId="77777777" w:rsidR="00AE0BB8" w:rsidRDefault="00000000">
            <w:r>
              <w:rPr>
                <w:color w:val="444441"/>
                <w:sz w:val="19"/>
                <w:szCs w:val="19"/>
              </w:rPr>
              <w:t>Final proofreading and submission preparation</w:t>
            </w:r>
          </w:p>
        </w:tc>
        <w:tc>
          <w:tcPr>
            <w:tcW w:w="25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00" w:type="dxa"/>
              <w:bottom w:w="80" w:type="dxa"/>
              <w:right w:w="100" w:type="dxa"/>
            </w:tcMar>
          </w:tcPr>
          <w:p w14:paraId="5F2D1479" w14:textId="77777777" w:rsidR="00AE0BB8" w:rsidRDefault="00000000">
            <w:r>
              <w:rPr>
                <w:color w:val="444441"/>
                <w:sz w:val="19"/>
                <w:szCs w:val="19"/>
              </w:rPr>
              <w:t>Final paper + presentation slides</w:t>
            </w:r>
          </w:p>
        </w:tc>
        <w:tc>
          <w:tcPr>
            <w:tcW w:w="20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00" w:type="dxa"/>
              <w:bottom w:w="80" w:type="dxa"/>
              <w:right w:w="100" w:type="dxa"/>
            </w:tcMar>
          </w:tcPr>
          <w:p w14:paraId="5F774DE2" w14:textId="77777777" w:rsidR="00AE0BB8" w:rsidRDefault="00000000">
            <w:r>
              <w:rPr>
                <w:color w:val="444441"/>
                <w:sz w:val="19"/>
                <w:szCs w:val="19"/>
              </w:rPr>
              <w:t>All members</w:t>
            </w:r>
          </w:p>
        </w:tc>
      </w:tr>
    </w:tbl>
    <w:p w14:paraId="6579037D" w14:textId="77777777" w:rsidR="00AE0BB8" w:rsidRDefault="00AE0BB8">
      <w:pPr>
        <w:spacing w:line="276" w:lineRule="auto"/>
      </w:pPr>
    </w:p>
    <w:p w14:paraId="6E87C0C7" w14:textId="77777777" w:rsidR="00AE0BB8" w:rsidRDefault="00000000">
      <w:pPr>
        <w:pBdr>
          <w:left w:val="single" w:sz="6" w:space="0" w:color="E07B00"/>
        </w:pBdr>
        <w:shd w:val="clear" w:color="auto" w:fill="FFF8DC"/>
        <w:spacing w:before="80" w:after="80"/>
        <w:ind w:left="360" w:right="360"/>
      </w:pPr>
      <w:r>
        <w:rPr>
          <w:color w:val="7A4A00"/>
          <w:sz w:val="20"/>
          <w:szCs w:val="20"/>
        </w:rPr>
        <w:t>Assign person-in-charge and confirm date ranges before submitting this proposal to your mentor.</w:t>
      </w:r>
    </w:p>
    <w:p w14:paraId="68FB817C" w14:textId="77777777" w:rsidR="00AE0BB8" w:rsidRDefault="00AE0BB8">
      <w:pPr>
        <w:pBdr>
          <w:bottom w:val="single" w:sz="1" w:space="0" w:color="CCCCCC"/>
        </w:pBdr>
        <w:spacing w:before="100" w:after="100"/>
      </w:pPr>
    </w:p>
    <w:p w14:paraId="13A3612B" w14:textId="77777777" w:rsidR="00AE0BB8" w:rsidRDefault="00000000">
      <w:pPr>
        <w:pStyle w:val="Heading1"/>
      </w:pPr>
      <w:r>
        <w:lastRenderedPageBreak/>
        <w:t>6. Expected Results</w:t>
      </w:r>
    </w:p>
    <w:p w14:paraId="7DD37068" w14:textId="77777777" w:rsidR="00AE0BB8" w:rsidRDefault="00000000">
      <w:pPr>
        <w:pStyle w:val="Heading2"/>
      </w:pPr>
      <w:r>
        <w:t>6.1 Theoretical Contributions</w:t>
      </w:r>
    </w:p>
    <w:p w14:paraId="338C320E" w14:textId="77777777" w:rsidR="00AE0BB8" w:rsidRDefault="00000000">
      <w:pPr>
        <w:pStyle w:val="ListParagraph"/>
        <w:numPr>
          <w:ilvl w:val="0"/>
          <w:numId w:val="2"/>
        </w:numPr>
        <w:spacing w:before="40" w:after="60" w:line="276" w:lineRule="auto"/>
      </w:pPr>
      <w:r>
        <w:rPr>
          <w:color w:val="444441"/>
        </w:rPr>
        <w:t>First empirical ICC and Krippendorff's alpha measurement of judge scoring in an academic SE hackathon, contributing to the empirical software engineering education literature.</w:t>
      </w:r>
    </w:p>
    <w:p w14:paraId="246908B2" w14:textId="77777777" w:rsidR="00AE0BB8" w:rsidRDefault="00000000">
      <w:pPr>
        <w:pStyle w:val="ListParagraph"/>
        <w:numPr>
          <w:ilvl w:val="0"/>
          <w:numId w:val="2"/>
        </w:numPr>
        <w:spacing w:before="40" w:after="60" w:line="276" w:lineRule="auto"/>
      </w:pPr>
      <w:r>
        <w:rPr>
          <w:color w:val="444441"/>
        </w:rPr>
        <w:t>Evidence on whether technical criteria reliably produce higher IRR than soft/subjective criteria — testing a widely assumed but empirically unconfirmed claim in rubric reliability research (Jonsson &amp; Svingby [7]).</w:t>
      </w:r>
    </w:p>
    <w:p w14:paraId="6C7F64AF" w14:textId="77777777" w:rsidR="00AE0BB8" w:rsidRDefault="00000000">
      <w:pPr>
        <w:pStyle w:val="ListParagraph"/>
        <w:numPr>
          <w:ilvl w:val="0"/>
          <w:numId w:val="2"/>
        </w:numPr>
        <w:spacing w:before="40" w:after="60" w:line="276" w:lineRule="auto"/>
      </w:pPr>
      <w:r>
        <w:rPr>
          <w:color w:val="444441"/>
        </w:rPr>
        <w:t>Quantified data on the moderating effect of judge background (academic vs. industry) on scoring consistency in competitive SE evaluation.</w:t>
      </w:r>
    </w:p>
    <w:p w14:paraId="6E468D79" w14:textId="77777777" w:rsidR="00AE0BB8" w:rsidRDefault="00000000">
      <w:pPr>
        <w:pStyle w:val="Heading2"/>
      </w:pPr>
      <w:r>
        <w:t>6.2 Practical Contributions</w:t>
      </w:r>
    </w:p>
    <w:p w14:paraId="23AE5D8F" w14:textId="77777777" w:rsidR="00AE0BB8" w:rsidRDefault="00000000">
      <w:pPr>
        <w:pStyle w:val="ListParagraph"/>
        <w:numPr>
          <w:ilvl w:val="0"/>
          <w:numId w:val="2"/>
        </w:numPr>
        <w:spacing w:before="40" w:after="60" w:line="276" w:lineRule="auto"/>
      </w:pPr>
      <w:r>
        <w:rPr>
          <w:color w:val="444441"/>
        </w:rPr>
        <w:t xml:space="preserve">Criterion-level IRR report delivered to the SEAL Hackathon </w:t>
      </w:r>
      <w:proofErr w:type="spellStart"/>
      <w:r>
        <w:rPr>
          <w:color w:val="444441"/>
        </w:rPr>
        <w:t>organising</w:t>
      </w:r>
      <w:proofErr w:type="spellEnd"/>
      <w:r>
        <w:rPr>
          <w:color w:val="444441"/>
        </w:rPr>
        <w:t xml:space="preserve"> committee, identifying which specific rubric items require redesign or clarification.</w:t>
      </w:r>
    </w:p>
    <w:p w14:paraId="73480180" w14:textId="77777777" w:rsidR="00AE0BB8" w:rsidRDefault="00000000">
      <w:pPr>
        <w:pStyle w:val="ListParagraph"/>
        <w:numPr>
          <w:ilvl w:val="0"/>
          <w:numId w:val="2"/>
        </w:numPr>
        <w:spacing w:before="40" w:after="60" w:line="276" w:lineRule="auto"/>
      </w:pPr>
      <w:r>
        <w:rPr>
          <w:color w:val="444441"/>
        </w:rPr>
        <w:t>Evidence-based recommendations for judge selection, training, and calibration procedures in future SEAL Hackathon editions.</w:t>
      </w:r>
    </w:p>
    <w:p w14:paraId="2C6E8170" w14:textId="77777777" w:rsidR="00AE0BB8" w:rsidRDefault="00000000">
      <w:pPr>
        <w:pStyle w:val="ListParagraph"/>
        <w:numPr>
          <w:ilvl w:val="0"/>
          <w:numId w:val="2"/>
        </w:numPr>
        <w:spacing w:before="40" w:after="60" w:line="276" w:lineRule="auto"/>
      </w:pPr>
      <w:r>
        <w:rPr>
          <w:color w:val="444441"/>
        </w:rPr>
        <w:t>A replicable analysis pipeline (R and Python scripts) for ongoing IRR monitoring in subsequent hackathon editions.</w:t>
      </w:r>
    </w:p>
    <w:p w14:paraId="26687BEF" w14:textId="77777777" w:rsidR="00AE0BB8" w:rsidRDefault="00000000">
      <w:pPr>
        <w:pStyle w:val="Heading2"/>
      </w:pPr>
      <w:r>
        <w:t>6.3 Plans for Application</w:t>
      </w:r>
    </w:p>
    <w:p w14:paraId="116735ED" w14:textId="77777777" w:rsidR="00AE0BB8" w:rsidRDefault="00000000">
      <w:pPr>
        <w:spacing w:before="60" w:after="100" w:line="276" w:lineRule="auto"/>
        <w:jc w:val="both"/>
      </w:pPr>
      <w:r>
        <w:rPr>
          <w:color w:val="444441"/>
        </w:rPr>
        <w:t xml:space="preserve">Findings will be presented to the SEAL Hackathon </w:t>
      </w:r>
      <w:proofErr w:type="spellStart"/>
      <w:r>
        <w:rPr>
          <w:color w:val="444441"/>
        </w:rPr>
        <w:t>organising</w:t>
      </w:r>
      <w:proofErr w:type="spellEnd"/>
      <w:r>
        <w:rPr>
          <w:color w:val="444441"/>
        </w:rPr>
        <w:t xml:space="preserve"> committee at FPT University. The rubric redesign recommendations will be submitted as a structured improvement proposal. The methodology and </w:t>
      </w:r>
      <w:proofErr w:type="spellStart"/>
      <w:r>
        <w:rPr>
          <w:color w:val="444441"/>
        </w:rPr>
        <w:t>anonymised</w:t>
      </w:r>
      <w:proofErr w:type="spellEnd"/>
      <w:r>
        <w:rPr>
          <w:color w:val="444441"/>
        </w:rPr>
        <w:t xml:space="preserve"> dataset will be made available for replication by future research groups within the faculty.</w:t>
      </w:r>
    </w:p>
    <w:p w14:paraId="3F8C7E1E" w14:textId="77777777" w:rsidR="00AE0BB8" w:rsidRDefault="00AE0BB8">
      <w:pPr>
        <w:pBdr>
          <w:bottom w:val="single" w:sz="1" w:space="0" w:color="CCCCCC"/>
        </w:pBdr>
        <w:spacing w:before="100" w:after="100"/>
      </w:pPr>
    </w:p>
    <w:p w14:paraId="0BCF2782" w14:textId="77777777" w:rsidR="00AE0BB8" w:rsidRDefault="00000000">
      <w:pPr>
        <w:pStyle w:val="Heading1"/>
      </w:pPr>
      <w:r>
        <w:t>References</w:t>
      </w:r>
    </w:p>
    <w:p w14:paraId="252B5B34" w14:textId="77777777" w:rsidR="00AE0BB8" w:rsidRDefault="00000000">
      <w:pPr>
        <w:spacing w:before="40" w:after="40" w:line="276" w:lineRule="auto"/>
        <w:ind w:left="360" w:hanging="360"/>
      </w:pPr>
      <w:r>
        <w:rPr>
          <w:color w:val="444441"/>
        </w:rPr>
        <w:t>[1</w:t>
      </w:r>
      <w:proofErr w:type="gramStart"/>
      <w:r>
        <w:rPr>
          <w:color w:val="444441"/>
        </w:rPr>
        <w:t>]  P.</w:t>
      </w:r>
      <w:proofErr w:type="gramEnd"/>
      <w:r>
        <w:rPr>
          <w:color w:val="444441"/>
        </w:rPr>
        <w:t xml:space="preserve"> E. Shrout and J. L. Fleiss, "Intraclass correlations: Uses in assessing rater reliability," Psychol. Bull., vol. 86, no. 2, pp. 420-428, 1979.</w:t>
      </w:r>
    </w:p>
    <w:p w14:paraId="0B569D7B" w14:textId="77777777" w:rsidR="00AE0BB8" w:rsidRDefault="00000000">
      <w:pPr>
        <w:spacing w:after="40" w:line="276" w:lineRule="auto"/>
        <w:ind w:left="360" w:hanging="360"/>
      </w:pPr>
      <w:r>
        <w:rPr>
          <w:color w:val="444441"/>
        </w:rPr>
        <w:t>[2</w:t>
      </w:r>
      <w:proofErr w:type="gramStart"/>
      <w:r>
        <w:rPr>
          <w:color w:val="444441"/>
        </w:rPr>
        <w:t>]  T.</w:t>
      </w:r>
      <w:proofErr w:type="gramEnd"/>
      <w:r>
        <w:rPr>
          <w:color w:val="444441"/>
        </w:rPr>
        <w:t xml:space="preserve"> K. Koo and M. Y. Li, "A guideline of selecting and reporting intraclass correlation coefficients for reliability research," J. </w:t>
      </w:r>
      <w:proofErr w:type="spellStart"/>
      <w:r>
        <w:rPr>
          <w:color w:val="444441"/>
        </w:rPr>
        <w:t>Chiropr</w:t>
      </w:r>
      <w:proofErr w:type="spellEnd"/>
      <w:r>
        <w:rPr>
          <w:color w:val="444441"/>
        </w:rPr>
        <w:t>. Med., vol. 15, no. 2, pp. 155-163, 2016.</w:t>
      </w:r>
    </w:p>
    <w:p w14:paraId="14E42505" w14:textId="77777777" w:rsidR="00AE0BB8" w:rsidRDefault="00000000">
      <w:pPr>
        <w:spacing w:after="40" w:line="276" w:lineRule="auto"/>
        <w:ind w:left="360" w:hanging="360"/>
      </w:pPr>
      <w:r>
        <w:rPr>
          <w:color w:val="444441"/>
        </w:rPr>
        <w:t>[3</w:t>
      </w:r>
      <w:proofErr w:type="gramStart"/>
      <w:r>
        <w:rPr>
          <w:color w:val="444441"/>
        </w:rPr>
        <w:t>]  K.</w:t>
      </w:r>
      <w:proofErr w:type="gramEnd"/>
      <w:r>
        <w:rPr>
          <w:color w:val="444441"/>
        </w:rPr>
        <w:t xml:space="preserve"> Krippendorff, Content Analysis: An Introduction to Its Methodology, 2nd ed. Thousand Oaks, CA: Sage, 2004.</w:t>
      </w:r>
    </w:p>
    <w:p w14:paraId="0F6CE02D" w14:textId="77777777" w:rsidR="00AE0BB8" w:rsidRDefault="00000000">
      <w:pPr>
        <w:spacing w:after="40" w:line="276" w:lineRule="auto"/>
        <w:ind w:left="360" w:hanging="360"/>
      </w:pPr>
      <w:r>
        <w:rPr>
          <w:color w:val="444441"/>
        </w:rPr>
        <w:t>[4</w:t>
      </w:r>
      <w:proofErr w:type="gramStart"/>
      <w:r>
        <w:rPr>
          <w:color w:val="444441"/>
        </w:rPr>
        <w:t>]  A.</w:t>
      </w:r>
      <w:proofErr w:type="gramEnd"/>
      <w:r>
        <w:rPr>
          <w:color w:val="444441"/>
        </w:rPr>
        <w:t xml:space="preserve"> F. Hayes and K. Krippendorff, "Answering the call for a standard reliability measure for coding data," Commun. Methods Meas., vol. 1, no. 1, pp. 77-89, 2007.</w:t>
      </w:r>
    </w:p>
    <w:p w14:paraId="5EE0CA07" w14:textId="77777777" w:rsidR="00AE0BB8" w:rsidRDefault="00000000">
      <w:pPr>
        <w:spacing w:after="40" w:line="276" w:lineRule="auto"/>
        <w:ind w:left="360" w:hanging="360"/>
      </w:pPr>
      <w:r>
        <w:rPr>
          <w:color w:val="444441"/>
        </w:rPr>
        <w:t>[5</w:t>
      </w:r>
      <w:proofErr w:type="gramStart"/>
      <w:r>
        <w:rPr>
          <w:color w:val="444441"/>
        </w:rPr>
        <w:t>]  S.</w:t>
      </w:r>
      <w:proofErr w:type="gramEnd"/>
      <w:r>
        <w:rPr>
          <w:color w:val="444441"/>
        </w:rPr>
        <w:t xml:space="preserve"> E. Stemler, "A comparison of consensus, consistency, and measurement approaches to estimating </w:t>
      </w:r>
      <w:proofErr w:type="gramStart"/>
      <w:r>
        <w:rPr>
          <w:color w:val="444441"/>
        </w:rPr>
        <w:t>interrater</w:t>
      </w:r>
      <w:proofErr w:type="gramEnd"/>
      <w:r>
        <w:rPr>
          <w:color w:val="444441"/>
        </w:rPr>
        <w:t xml:space="preserve"> reliability," </w:t>
      </w:r>
      <w:proofErr w:type="spellStart"/>
      <w:r>
        <w:rPr>
          <w:color w:val="444441"/>
        </w:rPr>
        <w:t>Pract</w:t>
      </w:r>
      <w:proofErr w:type="spellEnd"/>
      <w:r>
        <w:rPr>
          <w:color w:val="444441"/>
        </w:rPr>
        <w:t>. Assess. Res. Eval., vol. 9, no. 1, Art. 4, 2004.</w:t>
      </w:r>
    </w:p>
    <w:p w14:paraId="70B36AC5" w14:textId="77777777" w:rsidR="00AE0BB8" w:rsidRDefault="00000000">
      <w:pPr>
        <w:spacing w:after="40" w:line="276" w:lineRule="auto"/>
        <w:ind w:left="360" w:hanging="360"/>
      </w:pPr>
      <w:r>
        <w:rPr>
          <w:color w:val="444441"/>
        </w:rPr>
        <w:t>[6</w:t>
      </w:r>
      <w:proofErr w:type="gramStart"/>
      <w:r>
        <w:rPr>
          <w:color w:val="444441"/>
        </w:rPr>
        <w:t>]  B.</w:t>
      </w:r>
      <w:proofErr w:type="gramEnd"/>
      <w:r>
        <w:rPr>
          <w:color w:val="444441"/>
        </w:rPr>
        <w:t xml:space="preserve"> M. Moskal and J. A. Leydens, "Scoring rubric development: Validity and reliability," </w:t>
      </w:r>
      <w:proofErr w:type="spellStart"/>
      <w:r>
        <w:rPr>
          <w:color w:val="444441"/>
        </w:rPr>
        <w:t>Pract</w:t>
      </w:r>
      <w:proofErr w:type="spellEnd"/>
      <w:r>
        <w:rPr>
          <w:color w:val="444441"/>
        </w:rPr>
        <w:t>. Assess. Res. Eval., vol. 7, no. 10, 2000.</w:t>
      </w:r>
    </w:p>
    <w:p w14:paraId="2E140DEA" w14:textId="77777777" w:rsidR="00AE0BB8" w:rsidRDefault="00000000">
      <w:pPr>
        <w:spacing w:after="40" w:line="276" w:lineRule="auto"/>
        <w:ind w:left="360" w:hanging="360"/>
      </w:pPr>
      <w:r>
        <w:rPr>
          <w:color w:val="444441"/>
        </w:rPr>
        <w:t>[7</w:t>
      </w:r>
      <w:proofErr w:type="gramStart"/>
      <w:r>
        <w:rPr>
          <w:color w:val="444441"/>
        </w:rPr>
        <w:t>]  A.</w:t>
      </w:r>
      <w:proofErr w:type="gramEnd"/>
      <w:r>
        <w:rPr>
          <w:color w:val="444441"/>
        </w:rPr>
        <w:t xml:space="preserve"> Jonsson and G. Svingby, "The use of scoring rubrics: Reliability, validity and educational consequences," Educ. Res. Rev., vol. 2, no. 2, pp. 130-144, 2007.</w:t>
      </w:r>
    </w:p>
    <w:p w14:paraId="526697B5" w14:textId="77777777" w:rsidR="00AE0BB8" w:rsidRDefault="00000000">
      <w:pPr>
        <w:spacing w:after="40" w:line="276" w:lineRule="auto"/>
        <w:ind w:left="360" w:hanging="360"/>
      </w:pPr>
      <w:r>
        <w:rPr>
          <w:color w:val="444441"/>
        </w:rPr>
        <w:t>[8</w:t>
      </w:r>
      <w:proofErr w:type="gramStart"/>
      <w:r>
        <w:rPr>
          <w:color w:val="444441"/>
        </w:rPr>
        <w:t>]  C.</w:t>
      </w:r>
      <w:proofErr w:type="gramEnd"/>
      <w:r>
        <w:rPr>
          <w:color w:val="444441"/>
        </w:rPr>
        <w:t xml:space="preserve"> Kulkarni et al., "Reviewing and analyzing peer review inter-rater reliability in a MOOC platform," </w:t>
      </w:r>
      <w:proofErr w:type="spellStart"/>
      <w:r>
        <w:rPr>
          <w:color w:val="444441"/>
        </w:rPr>
        <w:t>Comput</w:t>
      </w:r>
      <w:proofErr w:type="spellEnd"/>
      <w:r>
        <w:rPr>
          <w:color w:val="444441"/>
        </w:rPr>
        <w:t>. Educ., 2020.</w:t>
      </w:r>
    </w:p>
    <w:p w14:paraId="44D6E274" w14:textId="77777777" w:rsidR="00AE0BB8" w:rsidRDefault="00000000">
      <w:pPr>
        <w:spacing w:after="40" w:line="276" w:lineRule="auto"/>
        <w:ind w:left="360" w:hanging="360"/>
      </w:pPr>
      <w:r>
        <w:rPr>
          <w:color w:val="444441"/>
        </w:rPr>
        <w:t>[9</w:t>
      </w:r>
      <w:proofErr w:type="gramStart"/>
      <w:r>
        <w:rPr>
          <w:color w:val="444441"/>
        </w:rPr>
        <w:t>]  A.</w:t>
      </w:r>
      <w:proofErr w:type="gramEnd"/>
      <w:r>
        <w:rPr>
          <w:color w:val="444441"/>
        </w:rPr>
        <w:t xml:space="preserve"> Mustapha et al., "Generic assessment rubrics for computer programming courses," Turkish Online J. Educ. Technol., vol. 15, no. 1, pp. 53-68, 2016.</w:t>
      </w:r>
    </w:p>
    <w:p w14:paraId="02BA64F8" w14:textId="77777777" w:rsidR="00AE0BB8" w:rsidRDefault="00000000">
      <w:pPr>
        <w:spacing w:after="40" w:line="276" w:lineRule="auto"/>
        <w:ind w:left="360" w:hanging="360"/>
      </w:pPr>
      <w:r>
        <w:rPr>
          <w:color w:val="444441"/>
        </w:rPr>
        <w:lastRenderedPageBreak/>
        <w:t>[10] M. Messer, N. C. C. Brown, M. Kolling, and M. Shi, "How consistent are humans when grading programming assignments?" arXiv:2409.12967, 2024.</w:t>
      </w:r>
    </w:p>
    <w:p w14:paraId="43C035FE" w14:textId="77777777" w:rsidR="00AE0BB8" w:rsidRDefault="00000000">
      <w:pPr>
        <w:spacing w:after="40" w:line="276" w:lineRule="auto"/>
        <w:ind w:left="360" w:hanging="360"/>
      </w:pPr>
      <w:r>
        <w:rPr>
          <w:color w:val="444441"/>
        </w:rPr>
        <w:t>[11] J. Porras et al., "Hackathons in software engineering education: Lessons learned from a decade of events," in Proc. 2nd Int. Workshop SE Educ. Millennials, 2018, pp. 40-47.</w:t>
      </w:r>
    </w:p>
    <w:p w14:paraId="3FE41815" w14:textId="77777777" w:rsidR="00AE0BB8" w:rsidRDefault="00000000">
      <w:pPr>
        <w:spacing w:after="40" w:line="276" w:lineRule="auto"/>
        <w:ind w:left="360" w:hanging="360"/>
      </w:pPr>
      <w:r>
        <w:rPr>
          <w:color w:val="444441"/>
        </w:rPr>
        <w:t>[12] A. Araújo, M. Kalinowski, and M. Baldassarre, "Embracing experiential learning: Hackathons as an educational strategy for shaping soft skills in software engineering," in Proc. IEEE/ACM CSEE&amp;T, 2025, pp. 319-324.</w:t>
      </w:r>
    </w:p>
    <w:p w14:paraId="2C7CC10F" w14:textId="77777777" w:rsidR="00AE0BB8" w:rsidRDefault="00000000">
      <w:pPr>
        <w:spacing w:after="40" w:line="276" w:lineRule="auto"/>
        <w:ind w:left="360" w:hanging="360"/>
      </w:pPr>
      <w:r>
        <w:rPr>
          <w:color w:val="444441"/>
        </w:rPr>
        <w:t>[13] K. Gama et al., "A hackathon methodology for undergraduate course projects," in Proc. IEEE AICT, 2018, pp. 1-5.</w:t>
      </w:r>
    </w:p>
    <w:p w14:paraId="490737B6" w14:textId="77777777" w:rsidR="00AE0BB8" w:rsidRDefault="00000000">
      <w:pPr>
        <w:spacing w:after="40" w:line="276" w:lineRule="auto"/>
        <w:ind w:left="360" w:hanging="360"/>
      </w:pPr>
      <w:r>
        <w:rPr>
          <w:color w:val="444441"/>
        </w:rPr>
        <w:t>[14] C. Marrujo-</w:t>
      </w:r>
      <w:proofErr w:type="spellStart"/>
      <w:r>
        <w:rPr>
          <w:color w:val="444441"/>
        </w:rPr>
        <w:t>Ingunza</w:t>
      </w:r>
      <w:proofErr w:type="spellEnd"/>
      <w:r>
        <w:rPr>
          <w:color w:val="444441"/>
        </w:rPr>
        <w:t xml:space="preserve"> and M. Paico-Campos, "The evolution of hackathons as an innovation tool: A systematic analysis," Int. J. Adv. </w:t>
      </w:r>
      <w:proofErr w:type="spellStart"/>
      <w:r>
        <w:rPr>
          <w:color w:val="444441"/>
        </w:rPr>
        <w:t>Comput</w:t>
      </w:r>
      <w:proofErr w:type="spellEnd"/>
      <w:r>
        <w:rPr>
          <w:color w:val="444441"/>
        </w:rPr>
        <w:t>. Sci. Appl., vol. 16, no. 11, 2025.</w:t>
      </w:r>
    </w:p>
    <w:p w14:paraId="34F12419" w14:textId="77777777" w:rsidR="00AE0BB8" w:rsidRDefault="00000000">
      <w:pPr>
        <w:spacing w:after="100" w:line="276" w:lineRule="auto"/>
        <w:ind w:left="360" w:hanging="360"/>
      </w:pPr>
      <w:r>
        <w:rPr>
          <w:color w:val="444441"/>
        </w:rPr>
        <w:t xml:space="preserve">[15] G. Marzi, M. Balzano, and D. Marchiori, "K-Alpha Calculator: A user-friendly tool for computing Krippendorff's Alpha inter-rater reliability coefficient," </w:t>
      </w:r>
      <w:proofErr w:type="spellStart"/>
      <w:r>
        <w:rPr>
          <w:color w:val="444441"/>
        </w:rPr>
        <w:t>MethodsX</w:t>
      </w:r>
      <w:proofErr w:type="spellEnd"/>
      <w:r>
        <w:rPr>
          <w:color w:val="444441"/>
        </w:rPr>
        <w:t>, 2024.</w:t>
      </w:r>
    </w:p>
    <w:p w14:paraId="2202AAE6" w14:textId="77777777" w:rsidR="00AE0BB8" w:rsidRDefault="00AE0BB8">
      <w:pPr>
        <w:pBdr>
          <w:bottom w:val="single" w:sz="1" w:space="0" w:color="CCCCCC"/>
        </w:pBdr>
        <w:spacing w:before="100" w:after="100"/>
      </w:pPr>
    </w:p>
    <w:p w14:paraId="5B630EE6" w14:textId="77777777" w:rsidR="00AE0BB8" w:rsidRDefault="00000000">
      <w:pPr>
        <w:spacing w:before="160" w:after="100" w:line="276" w:lineRule="auto"/>
        <w:jc w:val="center"/>
      </w:pPr>
      <w:r>
        <w:rPr>
          <w:b/>
          <w:bCs/>
          <w:color w:val="1F3A8A"/>
        </w:rPr>
        <w:t>COMMITMENT ON RESPONSIBLE ARTIFICIAL INTELLIGENCE USAGE IN RESEARCH</w:t>
      </w:r>
    </w:p>
    <w:p w14:paraId="023F6320" w14:textId="77777777" w:rsidR="00AE0BB8" w:rsidRDefault="00000000">
      <w:pPr>
        <w:spacing w:before="60" w:after="60" w:line="276" w:lineRule="auto"/>
        <w:jc w:val="both"/>
      </w:pPr>
      <w:r>
        <w:rPr>
          <w:color w:val="444441"/>
        </w:rPr>
        <w:t>We are authors of the research paper titled "Inter-Rater Reliability in Academic Software Engineering Hackathon Evaluation: A Study of SEAL Hackathon at FPT University", and would like to ensure that all members comply with the rules relevant to Artificial Intelligence (AI) regulations and ethical guidelines in research practices, which are described in detail as follows:</w:t>
      </w:r>
    </w:p>
    <w:p w14:paraId="54CA86BC" w14:textId="77777777" w:rsidR="00AE0BB8" w:rsidRDefault="00000000">
      <w:pPr>
        <w:pStyle w:val="ListParagraph"/>
        <w:numPr>
          <w:ilvl w:val="0"/>
          <w:numId w:val="3"/>
        </w:numPr>
        <w:spacing w:before="40" w:after="60" w:line="276" w:lineRule="auto"/>
      </w:pPr>
      <w:r>
        <w:rPr>
          <w:color w:val="444441"/>
        </w:rPr>
        <w:t>AI is only used as assistant in correcting grammar, structure and phrasing in academic writing;</w:t>
      </w:r>
    </w:p>
    <w:p w14:paraId="789FB868" w14:textId="77777777" w:rsidR="00AE0BB8" w:rsidRDefault="00000000">
      <w:pPr>
        <w:pStyle w:val="ListParagraph"/>
        <w:numPr>
          <w:ilvl w:val="0"/>
          <w:numId w:val="3"/>
        </w:numPr>
        <w:spacing w:before="40" w:after="60" w:line="276" w:lineRule="auto"/>
      </w:pPr>
      <w:r>
        <w:rPr>
          <w:color w:val="444441"/>
        </w:rPr>
        <w:t>AI usage should NOT be engaged with the creation of content or drafting the research paper, production of fake data or literature synthesis;</w:t>
      </w:r>
    </w:p>
    <w:p w14:paraId="22726405" w14:textId="77777777" w:rsidR="00AE0BB8" w:rsidRDefault="00000000">
      <w:pPr>
        <w:pStyle w:val="ListParagraph"/>
        <w:numPr>
          <w:ilvl w:val="0"/>
          <w:numId w:val="3"/>
        </w:numPr>
        <w:spacing w:before="40" w:after="60" w:line="276" w:lineRule="auto"/>
      </w:pPr>
      <w:r>
        <w:rPr>
          <w:color w:val="444441"/>
        </w:rPr>
        <w:t>AI usage should be checked and confirmed by all authors. Each author shall bear full responsibility in the accuracy, transparency and originality of their sections, including citations and reference;</w:t>
      </w:r>
    </w:p>
    <w:p w14:paraId="1973DF92" w14:textId="77777777" w:rsidR="00AE0BB8" w:rsidRDefault="00000000">
      <w:pPr>
        <w:pStyle w:val="ListParagraph"/>
        <w:numPr>
          <w:ilvl w:val="0"/>
          <w:numId w:val="3"/>
        </w:numPr>
        <w:spacing w:before="40" w:after="60" w:line="276" w:lineRule="auto"/>
      </w:pPr>
      <w:r>
        <w:rPr>
          <w:color w:val="444441"/>
        </w:rPr>
        <w:t>All authors should disclose the use of generative AI and AI-assisted technologies to other co-authors, helping them understand where and how AI was applied in research preparation.</w:t>
      </w:r>
    </w:p>
    <w:p w14:paraId="0D54B005" w14:textId="77777777" w:rsidR="00AE0BB8" w:rsidRDefault="00AE0BB8">
      <w:pPr>
        <w:spacing w:line="276" w:lineRule="auto"/>
      </w:pPr>
    </w:p>
    <w:p w14:paraId="04F16A57" w14:textId="77777777" w:rsidR="00AE0BB8" w:rsidRDefault="00000000">
      <w:pPr>
        <w:spacing w:before="80" w:after="140" w:line="276" w:lineRule="auto"/>
        <w:jc w:val="both"/>
      </w:pPr>
      <w:r>
        <w:rPr>
          <w:color w:val="444441"/>
        </w:rPr>
        <w:t>Hereby, we would like to confirm and take full responsibility for the accuracy and transparency of the provided details.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AE0BB8" w14:paraId="7E3B96BB" w14:textId="77777777">
        <w:tc>
          <w:tcPr>
            <w:tcW w:w="3100" w:type="dxa"/>
            <w:tcBorders>
              <w:top w:val="single" w:sz="1" w:space="0" w:color="CCCCCC"/>
              <w:left w:val="single" w:sz="1" w:space="0" w:color="CCCCCC"/>
              <w:bottom w:val="single" w:sz="1" w:space="0" w:color="CCCCCC"/>
              <w:right w:val="single" w:sz="1" w:space="0" w:color="CCCCCC"/>
            </w:tcBorders>
            <w:tcMar>
              <w:top w:w="100" w:type="dxa"/>
              <w:left w:w="120" w:type="dxa"/>
              <w:bottom w:w="900" w:type="dxa"/>
              <w:right w:w="120" w:type="dxa"/>
            </w:tcMar>
          </w:tcPr>
          <w:p w14:paraId="3C8939C3" w14:textId="77777777" w:rsidR="00AE0BB8" w:rsidRDefault="00000000">
            <w:pPr>
              <w:jc w:val="center"/>
            </w:pPr>
            <w:r>
              <w:rPr>
                <w:b/>
                <w:bCs/>
                <w:color w:val="1F3A8A"/>
              </w:rPr>
              <w:t>Author 1</w:t>
            </w:r>
          </w:p>
          <w:p w14:paraId="7779C37B" w14:textId="77777777" w:rsidR="00AE0BB8" w:rsidRDefault="00000000">
            <w:pPr>
              <w:spacing w:before="60"/>
              <w:jc w:val="center"/>
            </w:pPr>
            <w:r>
              <w:rPr>
                <w:color w:val="444441"/>
                <w:sz w:val="20"/>
                <w:szCs w:val="20"/>
              </w:rPr>
              <w:t>(Signature &amp; Full name)</w:t>
            </w:r>
          </w:p>
        </w:tc>
        <w:tc>
          <w:tcPr>
            <w:tcW w:w="3100" w:type="dxa"/>
            <w:tcBorders>
              <w:top w:val="single" w:sz="1" w:space="0" w:color="CCCCCC"/>
              <w:left w:val="single" w:sz="1" w:space="0" w:color="CCCCCC"/>
              <w:bottom w:val="single" w:sz="1" w:space="0" w:color="CCCCCC"/>
              <w:right w:val="single" w:sz="1" w:space="0" w:color="CCCCCC"/>
            </w:tcBorders>
            <w:tcMar>
              <w:top w:w="100" w:type="dxa"/>
              <w:left w:w="120" w:type="dxa"/>
              <w:bottom w:w="900" w:type="dxa"/>
              <w:right w:w="120" w:type="dxa"/>
            </w:tcMar>
          </w:tcPr>
          <w:p w14:paraId="154D3721" w14:textId="77777777" w:rsidR="00AE0BB8" w:rsidRDefault="00000000">
            <w:pPr>
              <w:jc w:val="center"/>
            </w:pPr>
            <w:r>
              <w:rPr>
                <w:b/>
                <w:bCs/>
                <w:color w:val="1F3A8A"/>
              </w:rPr>
              <w:t>Author 2</w:t>
            </w:r>
          </w:p>
          <w:p w14:paraId="4E48A0C3" w14:textId="77777777" w:rsidR="00AE0BB8" w:rsidRDefault="00000000">
            <w:pPr>
              <w:spacing w:before="60"/>
              <w:jc w:val="center"/>
            </w:pPr>
            <w:r>
              <w:rPr>
                <w:color w:val="444441"/>
                <w:sz w:val="20"/>
                <w:szCs w:val="20"/>
              </w:rPr>
              <w:t>(Signature &amp; Full name)</w:t>
            </w:r>
          </w:p>
        </w:tc>
        <w:tc>
          <w:tcPr>
            <w:tcW w:w="3100" w:type="dxa"/>
            <w:tcBorders>
              <w:top w:val="single" w:sz="1" w:space="0" w:color="CCCCCC"/>
              <w:left w:val="single" w:sz="1" w:space="0" w:color="CCCCCC"/>
              <w:bottom w:val="single" w:sz="1" w:space="0" w:color="CCCCCC"/>
              <w:right w:val="single" w:sz="1" w:space="0" w:color="CCCCCC"/>
            </w:tcBorders>
            <w:tcMar>
              <w:top w:w="100" w:type="dxa"/>
              <w:left w:w="120" w:type="dxa"/>
              <w:bottom w:w="900" w:type="dxa"/>
              <w:right w:w="120" w:type="dxa"/>
            </w:tcMar>
          </w:tcPr>
          <w:p w14:paraId="534C4662" w14:textId="77777777" w:rsidR="00AE0BB8" w:rsidRDefault="00000000">
            <w:pPr>
              <w:jc w:val="center"/>
            </w:pPr>
            <w:r>
              <w:rPr>
                <w:b/>
                <w:bCs/>
                <w:color w:val="1F3A8A"/>
              </w:rPr>
              <w:t>Author 3</w:t>
            </w:r>
          </w:p>
          <w:p w14:paraId="30350CDF" w14:textId="77777777" w:rsidR="00AE0BB8" w:rsidRDefault="00000000">
            <w:pPr>
              <w:spacing w:before="60"/>
              <w:jc w:val="center"/>
            </w:pPr>
            <w:r>
              <w:rPr>
                <w:color w:val="444441"/>
                <w:sz w:val="20"/>
                <w:szCs w:val="20"/>
              </w:rPr>
              <w:t>(Signature &amp; Full name)</w:t>
            </w:r>
          </w:p>
        </w:tc>
      </w:tr>
    </w:tbl>
    <w:p w14:paraId="4F128E53" w14:textId="77777777" w:rsidR="003A6560" w:rsidRDefault="003A6560"/>
    <w:sectPr w:rsidR="003A656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0CCC"/>
    <w:multiLevelType w:val="hybridMultilevel"/>
    <w:tmpl w:val="03AAD532"/>
    <w:lvl w:ilvl="0" w:tplc="5BE01A68">
      <w:start w:val="1"/>
      <w:numFmt w:val="bullet"/>
      <w:lvlText w:val="●"/>
      <w:lvlJc w:val="left"/>
      <w:pPr>
        <w:ind w:left="720" w:hanging="360"/>
      </w:pPr>
    </w:lvl>
    <w:lvl w:ilvl="1" w:tplc="8FAE7558">
      <w:start w:val="1"/>
      <w:numFmt w:val="bullet"/>
      <w:lvlText w:val="○"/>
      <w:lvlJc w:val="left"/>
      <w:pPr>
        <w:ind w:left="1440" w:hanging="360"/>
      </w:pPr>
    </w:lvl>
    <w:lvl w:ilvl="2" w:tplc="49909306">
      <w:start w:val="1"/>
      <w:numFmt w:val="bullet"/>
      <w:lvlText w:val="■"/>
      <w:lvlJc w:val="left"/>
      <w:pPr>
        <w:ind w:left="2160" w:hanging="360"/>
      </w:pPr>
    </w:lvl>
    <w:lvl w:ilvl="3" w:tplc="EA60105E">
      <w:start w:val="1"/>
      <w:numFmt w:val="bullet"/>
      <w:lvlText w:val="●"/>
      <w:lvlJc w:val="left"/>
      <w:pPr>
        <w:ind w:left="2880" w:hanging="360"/>
      </w:pPr>
    </w:lvl>
    <w:lvl w:ilvl="4" w:tplc="3816218A">
      <w:start w:val="1"/>
      <w:numFmt w:val="bullet"/>
      <w:lvlText w:val="○"/>
      <w:lvlJc w:val="left"/>
      <w:pPr>
        <w:ind w:left="3600" w:hanging="360"/>
      </w:pPr>
    </w:lvl>
    <w:lvl w:ilvl="5" w:tplc="0A3AA324">
      <w:start w:val="1"/>
      <w:numFmt w:val="bullet"/>
      <w:lvlText w:val="■"/>
      <w:lvlJc w:val="left"/>
      <w:pPr>
        <w:ind w:left="4320" w:hanging="360"/>
      </w:pPr>
    </w:lvl>
    <w:lvl w:ilvl="6" w:tplc="0A469068">
      <w:start w:val="1"/>
      <w:numFmt w:val="bullet"/>
      <w:lvlText w:val="●"/>
      <w:lvlJc w:val="left"/>
      <w:pPr>
        <w:ind w:left="5040" w:hanging="360"/>
      </w:pPr>
    </w:lvl>
    <w:lvl w:ilvl="7" w:tplc="86AACFC6">
      <w:start w:val="1"/>
      <w:numFmt w:val="bullet"/>
      <w:lvlText w:val="●"/>
      <w:lvlJc w:val="left"/>
      <w:pPr>
        <w:ind w:left="5760" w:hanging="360"/>
      </w:pPr>
    </w:lvl>
    <w:lvl w:ilvl="8" w:tplc="93523FD0">
      <w:start w:val="1"/>
      <w:numFmt w:val="bullet"/>
      <w:lvlText w:val="●"/>
      <w:lvlJc w:val="left"/>
      <w:pPr>
        <w:ind w:left="6480" w:hanging="360"/>
      </w:pPr>
    </w:lvl>
  </w:abstractNum>
  <w:abstractNum w:abstractNumId="1" w15:restartNumberingAfterBreak="0">
    <w:nsid w:val="4BF8401E"/>
    <w:multiLevelType w:val="hybridMultilevel"/>
    <w:tmpl w:val="1034071A"/>
    <w:lvl w:ilvl="0" w:tplc="BA90AC80">
      <w:start w:val="1"/>
      <w:numFmt w:val="bullet"/>
      <w:lvlText w:val="•"/>
      <w:lvlJc w:val="left"/>
      <w:pPr>
        <w:ind w:left="720" w:hanging="360"/>
      </w:pPr>
    </w:lvl>
    <w:lvl w:ilvl="1" w:tplc="32041E42">
      <w:numFmt w:val="decimal"/>
      <w:lvlText w:val=""/>
      <w:lvlJc w:val="left"/>
    </w:lvl>
    <w:lvl w:ilvl="2" w:tplc="0EA8873C">
      <w:numFmt w:val="decimal"/>
      <w:lvlText w:val=""/>
      <w:lvlJc w:val="left"/>
    </w:lvl>
    <w:lvl w:ilvl="3" w:tplc="A5901BD4">
      <w:numFmt w:val="decimal"/>
      <w:lvlText w:val=""/>
      <w:lvlJc w:val="left"/>
    </w:lvl>
    <w:lvl w:ilvl="4" w:tplc="FB2C537A">
      <w:numFmt w:val="decimal"/>
      <w:lvlText w:val=""/>
      <w:lvlJc w:val="left"/>
    </w:lvl>
    <w:lvl w:ilvl="5" w:tplc="C3B48CC6">
      <w:numFmt w:val="decimal"/>
      <w:lvlText w:val=""/>
      <w:lvlJc w:val="left"/>
    </w:lvl>
    <w:lvl w:ilvl="6" w:tplc="EEAE447C">
      <w:numFmt w:val="decimal"/>
      <w:lvlText w:val=""/>
      <w:lvlJc w:val="left"/>
    </w:lvl>
    <w:lvl w:ilvl="7" w:tplc="ACBA0FF8">
      <w:numFmt w:val="decimal"/>
      <w:lvlText w:val=""/>
      <w:lvlJc w:val="left"/>
    </w:lvl>
    <w:lvl w:ilvl="8" w:tplc="11B83A4C">
      <w:numFmt w:val="decimal"/>
      <w:lvlText w:val=""/>
      <w:lvlJc w:val="left"/>
    </w:lvl>
  </w:abstractNum>
  <w:abstractNum w:abstractNumId="2" w15:restartNumberingAfterBreak="0">
    <w:nsid w:val="71382EC2"/>
    <w:multiLevelType w:val="hybridMultilevel"/>
    <w:tmpl w:val="0BE4850C"/>
    <w:lvl w:ilvl="0" w:tplc="7C5C3AA0">
      <w:start w:val="1"/>
      <w:numFmt w:val="decimal"/>
      <w:lvlText w:val="%1."/>
      <w:lvlJc w:val="left"/>
      <w:pPr>
        <w:ind w:left="720" w:hanging="360"/>
      </w:pPr>
    </w:lvl>
    <w:lvl w:ilvl="1" w:tplc="9FA4F50E">
      <w:numFmt w:val="decimal"/>
      <w:lvlText w:val=""/>
      <w:lvlJc w:val="left"/>
    </w:lvl>
    <w:lvl w:ilvl="2" w:tplc="C63C8476">
      <w:numFmt w:val="decimal"/>
      <w:lvlText w:val=""/>
      <w:lvlJc w:val="left"/>
    </w:lvl>
    <w:lvl w:ilvl="3" w:tplc="410CBB6E">
      <w:numFmt w:val="decimal"/>
      <w:lvlText w:val=""/>
      <w:lvlJc w:val="left"/>
    </w:lvl>
    <w:lvl w:ilvl="4" w:tplc="F934EE2E">
      <w:numFmt w:val="decimal"/>
      <w:lvlText w:val=""/>
      <w:lvlJc w:val="left"/>
    </w:lvl>
    <w:lvl w:ilvl="5" w:tplc="1F1E1A84">
      <w:numFmt w:val="decimal"/>
      <w:lvlText w:val=""/>
      <w:lvlJc w:val="left"/>
    </w:lvl>
    <w:lvl w:ilvl="6" w:tplc="C30E769C">
      <w:numFmt w:val="decimal"/>
      <w:lvlText w:val=""/>
      <w:lvlJc w:val="left"/>
    </w:lvl>
    <w:lvl w:ilvl="7" w:tplc="D12AEC10">
      <w:numFmt w:val="decimal"/>
      <w:lvlText w:val=""/>
      <w:lvlJc w:val="left"/>
    </w:lvl>
    <w:lvl w:ilvl="8" w:tplc="BAD4F672">
      <w:numFmt w:val="decimal"/>
      <w:lvlText w:val=""/>
      <w:lvlJc w:val="left"/>
    </w:lvl>
  </w:abstractNum>
  <w:num w:numId="1" w16cid:durableId="202406620">
    <w:abstractNumId w:val="0"/>
    <w:lvlOverride w:ilvl="0">
      <w:startOverride w:val="1"/>
    </w:lvlOverride>
  </w:num>
  <w:num w:numId="2" w16cid:durableId="319507284">
    <w:abstractNumId w:val="1"/>
    <w:lvlOverride w:ilvl="0">
      <w:startOverride w:val="1"/>
    </w:lvlOverride>
  </w:num>
  <w:num w:numId="3" w16cid:durableId="10333095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BB8"/>
    <w:rsid w:val="002118A3"/>
    <w:rsid w:val="00287D0A"/>
    <w:rsid w:val="002C68F8"/>
    <w:rsid w:val="003A6560"/>
    <w:rsid w:val="0097437C"/>
    <w:rsid w:val="00AE0B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AFEBD"/>
  <w15:docId w15:val="{F947A52D-708B-4053-A2AB-861C1465B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A8A"/>
      <w:sz w:val="24"/>
      <w:szCs w:val="24"/>
    </w:rPr>
  </w:style>
  <w:style w:type="paragraph" w:styleId="Heading2">
    <w:name w:val="heading 2"/>
    <w:uiPriority w:val="9"/>
    <w:unhideWhenUsed/>
    <w:qFormat/>
    <w:pPr>
      <w:spacing w:before="200" w:after="80"/>
      <w:outlineLvl w:val="1"/>
    </w:pPr>
    <w:rPr>
      <w:b/>
      <w:bCs/>
      <w:color w:val="1F3A8A"/>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2873</Words>
  <Characters>16382</Characters>
  <Application>Microsoft Office Word</Application>
  <DocSecurity>0</DocSecurity>
  <Lines>136</Lines>
  <Paragraphs>38</Paragraphs>
  <ScaleCrop>false</ScaleCrop>
  <Company/>
  <LinksUpToDate>false</LinksUpToDate>
  <CharactersWithSpaces>19217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Đạt Trương</cp:lastModifiedBy>
  <cp:revision>4</cp:revision>
  <dcterms:created xsi:type="dcterms:W3CDTF">2026-05-23T09:08:00Z</dcterms:created>
  <dcterms:modified xsi:type="dcterms:W3CDTF">2026-05-25T01:20:00Z</dcterms:modified>
</cp:coreProperties>
</file>