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0B0CB" w14:textId="77777777" w:rsidR="00F377A9" w:rsidRPr="001635DC" w:rsidRDefault="00000000" w:rsidP="001635DC">
      <w:pPr>
        <w:spacing w:before="480" w:after="360"/>
        <w:jc w:val="center"/>
        <w:rPr>
          <w:rFonts w:ascii="Times New Roman" w:hAnsi="Times New Roman" w:cs="Times New Roman"/>
          <w:sz w:val="40"/>
          <w:szCs w:val="40"/>
        </w:rPr>
      </w:pPr>
      <w:r w:rsidRPr="001635DC">
        <w:rPr>
          <w:rFonts w:ascii="Times New Roman" w:hAnsi="Times New Roman" w:cs="Times New Roman"/>
          <w:b/>
          <w:color w:val="1B365D"/>
          <w:sz w:val="40"/>
          <w:szCs w:val="40"/>
        </w:rPr>
        <w:t>RESEARCH STATEMENT</w:t>
      </w:r>
    </w:p>
    <w:p w14:paraId="242B616C" w14:textId="77777777" w:rsidR="00F377A9" w:rsidRPr="001635DC" w:rsidRDefault="00000000" w:rsidP="001635DC">
      <w:pPr>
        <w:spacing w:after="560"/>
        <w:jc w:val="center"/>
        <w:rPr>
          <w:rFonts w:ascii="Times New Roman" w:hAnsi="Times New Roman" w:cs="Times New Roman"/>
        </w:rPr>
      </w:pPr>
      <w:r w:rsidRPr="001635DC">
        <w:rPr>
          <w:rFonts w:ascii="Times New Roman" w:hAnsi="Times New Roman" w:cs="Times New Roman"/>
          <w:i/>
          <w:color w:val="4A777A"/>
          <w:sz w:val="26"/>
        </w:rPr>
        <w:t>Inter-Rater Reliability in Academic Software Engineering Hackathon Evaluation:</w:t>
      </w:r>
      <w:r w:rsidRPr="001635DC">
        <w:rPr>
          <w:rFonts w:ascii="Times New Roman" w:hAnsi="Times New Roman" w:cs="Times New Roman"/>
          <w:i/>
          <w:color w:val="4A777A"/>
          <w:sz w:val="26"/>
        </w:rPr>
        <w:br/>
        <w:t>A Study of SEAL Hackathon at FPT University</w:t>
      </w:r>
    </w:p>
    <w:p w14:paraId="2F452182" w14:textId="77777777" w:rsidR="00F377A9" w:rsidRPr="001635DC" w:rsidRDefault="00000000" w:rsidP="001635DC">
      <w:pPr>
        <w:pStyle w:val="Heading1"/>
        <w:spacing w:before="240" w:after="120"/>
        <w:jc w:val="both"/>
        <w:rPr>
          <w:rFonts w:ascii="Times New Roman" w:hAnsi="Times New Roman" w:cs="Times New Roman"/>
          <w:sz w:val="28"/>
        </w:rPr>
      </w:pPr>
      <w:r w:rsidRPr="001635DC">
        <w:rPr>
          <w:rFonts w:ascii="Times New Roman" w:hAnsi="Times New Roman" w:cs="Times New Roman"/>
          <w:sz w:val="28"/>
        </w:rPr>
        <w:t>1. Context and Rationale</w:t>
      </w:r>
    </w:p>
    <w:p w14:paraId="0A2357B0" w14:textId="77777777" w:rsidR="00F377A9" w:rsidRPr="001635DC" w:rsidRDefault="00000000" w:rsidP="001635DC">
      <w:pPr>
        <w:jc w:val="both"/>
        <w:rPr>
          <w:rFonts w:ascii="Times New Roman" w:hAnsi="Times New Roman" w:cs="Times New Roman"/>
        </w:rPr>
      </w:pPr>
      <w:r w:rsidRPr="001635DC">
        <w:rPr>
          <w:rFonts w:ascii="Times New Roman" w:hAnsi="Times New Roman" w:cs="Times New Roman"/>
        </w:rPr>
        <w:t>The SEAL Hackathon at FPT University is an academic initiative embedded within the Software Engineering curriculum, where student team submissions are evaluated by multiple raters. This assessment process raises a fundamental question regarding the fairness and consistency of the evaluation outcomes.</w:t>
      </w:r>
    </w:p>
    <w:p w14:paraId="08E7BE27" w14:textId="77777777" w:rsidR="00F377A9" w:rsidRPr="001635DC" w:rsidRDefault="00000000" w:rsidP="001635DC">
      <w:pPr>
        <w:jc w:val="both"/>
        <w:rPr>
          <w:rFonts w:ascii="Times New Roman" w:hAnsi="Times New Roman" w:cs="Times New Roman"/>
        </w:rPr>
      </w:pPr>
      <w:r w:rsidRPr="001635DC">
        <w:rPr>
          <w:rFonts w:ascii="Times New Roman" w:hAnsi="Times New Roman" w:cs="Times New Roman"/>
        </w:rPr>
        <w:t>In academic programming and software development competitions, inter-rater reliability (IRR) is a critical factor that ensures the measurement validity of the assigned scores. However, this dimension currently lacks empirical evidence in Vietnam, particularly within the context of academic hackathons.</w:t>
      </w:r>
    </w:p>
    <w:p w14:paraId="3D768F06" w14:textId="77777777" w:rsidR="00F377A9" w:rsidRPr="001635DC" w:rsidRDefault="00000000" w:rsidP="001635DC">
      <w:pPr>
        <w:jc w:val="both"/>
        <w:rPr>
          <w:rFonts w:ascii="Times New Roman" w:hAnsi="Times New Roman" w:cs="Times New Roman"/>
        </w:rPr>
      </w:pPr>
      <w:r w:rsidRPr="001635DC">
        <w:rPr>
          <w:rFonts w:ascii="Times New Roman" w:hAnsi="Times New Roman" w:cs="Times New Roman"/>
        </w:rPr>
        <w:t>This study addresses a practical gap: to date, no research has systematically measured and analyzed IRR in academic software competitions in Vietnam, including comparative analyses across different evaluation criteria types and judge profiles.</w:t>
      </w:r>
    </w:p>
    <w:p w14:paraId="08599D25" w14:textId="77777777" w:rsidR="00F377A9" w:rsidRPr="001635DC" w:rsidRDefault="00000000" w:rsidP="001635DC">
      <w:pPr>
        <w:pStyle w:val="Heading1"/>
        <w:spacing w:before="240" w:after="120"/>
        <w:jc w:val="both"/>
        <w:rPr>
          <w:rFonts w:ascii="Times New Roman" w:hAnsi="Times New Roman" w:cs="Times New Roman"/>
          <w:sz w:val="28"/>
        </w:rPr>
      </w:pPr>
      <w:r w:rsidRPr="001635DC">
        <w:rPr>
          <w:rFonts w:ascii="Times New Roman" w:hAnsi="Times New Roman" w:cs="Times New Roman"/>
          <w:sz w:val="28"/>
        </w:rPr>
        <w:t>2. Research Problem Statement</w:t>
      </w:r>
    </w:p>
    <w:p w14:paraId="70EE3E40" w14:textId="77777777" w:rsidR="00F377A9" w:rsidRPr="001635DC" w:rsidRDefault="00000000" w:rsidP="001635DC">
      <w:pPr>
        <w:jc w:val="both"/>
        <w:rPr>
          <w:rFonts w:ascii="Times New Roman" w:hAnsi="Times New Roman" w:cs="Times New Roman"/>
        </w:rPr>
      </w:pPr>
      <w:r w:rsidRPr="001635DC">
        <w:rPr>
          <w:rFonts w:ascii="Times New Roman" w:hAnsi="Times New Roman" w:cs="Times New Roman"/>
        </w:rPr>
        <w:t>When multiple judges concurrently evaluate a submission in the SEAL Hackathon, their level of consensus (IRR) can be influenced by two primary factors:</w:t>
      </w:r>
    </w:p>
    <w:p w14:paraId="7ED704B9" w14:textId="77777777" w:rsidR="00F377A9" w:rsidRPr="001635DC" w:rsidRDefault="00000000" w:rsidP="001635DC">
      <w:pPr>
        <w:pStyle w:val="ListBullet"/>
        <w:jc w:val="both"/>
        <w:rPr>
          <w:rFonts w:ascii="Times New Roman" w:hAnsi="Times New Roman" w:cs="Times New Roman"/>
        </w:rPr>
      </w:pPr>
      <w:r w:rsidRPr="001635DC">
        <w:rPr>
          <w:rFonts w:ascii="Times New Roman" w:hAnsi="Times New Roman" w:cs="Times New Roman"/>
          <w:bCs/>
        </w:rPr>
        <w:t>The nature of the scoring criteria:</w:t>
      </w:r>
      <w:r w:rsidRPr="001635DC">
        <w:rPr>
          <w:rFonts w:ascii="Times New Roman" w:hAnsi="Times New Roman" w:cs="Times New Roman"/>
          <w:b/>
        </w:rPr>
        <w:t xml:space="preserve"> </w:t>
      </w:r>
      <w:r w:rsidRPr="001635DC">
        <w:rPr>
          <w:rFonts w:ascii="Times New Roman" w:hAnsi="Times New Roman" w:cs="Times New Roman"/>
        </w:rPr>
        <w:t>Technical criteria versus non-technical/subjective criteria.</w:t>
      </w:r>
    </w:p>
    <w:p w14:paraId="19DD2791" w14:textId="77777777" w:rsidR="00F377A9" w:rsidRPr="001635DC" w:rsidRDefault="00000000" w:rsidP="001635DC">
      <w:pPr>
        <w:pStyle w:val="ListBullet"/>
        <w:jc w:val="both"/>
        <w:rPr>
          <w:rFonts w:ascii="Times New Roman" w:hAnsi="Times New Roman" w:cs="Times New Roman"/>
        </w:rPr>
      </w:pPr>
      <w:r w:rsidRPr="001635DC">
        <w:rPr>
          <w:rFonts w:ascii="Times New Roman" w:hAnsi="Times New Roman" w:cs="Times New Roman"/>
          <w:bCs/>
        </w:rPr>
        <w:t>The professional background of the judges:</w:t>
      </w:r>
      <w:r w:rsidRPr="001635DC">
        <w:rPr>
          <w:rFonts w:ascii="Times New Roman" w:hAnsi="Times New Roman" w:cs="Times New Roman"/>
          <w:b/>
        </w:rPr>
        <w:t xml:space="preserve"> </w:t>
      </w:r>
      <w:r w:rsidRPr="001635DC">
        <w:rPr>
          <w:rFonts w:ascii="Times New Roman" w:hAnsi="Times New Roman" w:cs="Times New Roman"/>
        </w:rPr>
        <w:t>Internal Software Engineering (SE) faculty members versus external guest judges from the industry.</w:t>
      </w:r>
    </w:p>
    <w:p w14:paraId="5443B0FA" w14:textId="77777777" w:rsidR="00F377A9" w:rsidRPr="001635DC" w:rsidRDefault="00000000" w:rsidP="001635DC">
      <w:pPr>
        <w:jc w:val="both"/>
        <w:rPr>
          <w:rFonts w:ascii="Times New Roman" w:hAnsi="Times New Roman" w:cs="Times New Roman"/>
        </w:rPr>
      </w:pPr>
      <w:r w:rsidRPr="001635DC">
        <w:rPr>
          <w:rFonts w:ascii="Times New Roman" w:hAnsi="Times New Roman" w:cs="Times New Roman"/>
        </w:rPr>
        <w:t>Inconsistency in grading not only impacts the competitive results but also diminishes the value of the pedagogical feedback provided to students—which represents one of the core educational objectives of the competition.</w:t>
      </w:r>
    </w:p>
    <w:p w14:paraId="43E955B7" w14:textId="77777777" w:rsidR="00F377A9" w:rsidRPr="001635DC" w:rsidRDefault="00000000" w:rsidP="001635DC">
      <w:pPr>
        <w:pStyle w:val="Heading1"/>
        <w:spacing w:before="240" w:after="120"/>
        <w:jc w:val="both"/>
        <w:rPr>
          <w:rFonts w:ascii="Times New Roman" w:hAnsi="Times New Roman" w:cs="Times New Roman"/>
          <w:sz w:val="28"/>
        </w:rPr>
      </w:pPr>
      <w:r w:rsidRPr="001635DC">
        <w:rPr>
          <w:rFonts w:ascii="Times New Roman" w:hAnsi="Times New Roman" w:cs="Times New Roman"/>
          <w:sz w:val="28"/>
        </w:rPr>
        <w:t>3. PICO Framework</w:t>
      </w:r>
    </w:p>
    <w:p w14:paraId="698A20B9" w14:textId="77777777" w:rsidR="00F377A9" w:rsidRPr="001635DC" w:rsidRDefault="00000000" w:rsidP="001635DC">
      <w:pPr>
        <w:jc w:val="both"/>
        <w:rPr>
          <w:rFonts w:ascii="Times New Roman" w:hAnsi="Times New Roman" w:cs="Times New Roman"/>
        </w:rPr>
      </w:pPr>
      <w:r w:rsidRPr="001635DC">
        <w:rPr>
          <w:rFonts w:ascii="Times New Roman" w:hAnsi="Times New Roman" w:cs="Times New Roman"/>
        </w:rPr>
        <w:t>The research questions are constructed using the PICO (Population – Intervention – Comparison – Outcome) framework to ensure clarity, measurability, and answerability:</w:t>
      </w:r>
    </w:p>
    <w:tbl>
      <w:tblPr>
        <w:tblW w:w="0" w:type="auto"/>
        <w:jc w:val="center"/>
        <w:tblLayout w:type="fixed"/>
        <w:tblLook w:val="04A0" w:firstRow="1" w:lastRow="0" w:firstColumn="1" w:lastColumn="0" w:noHBand="0" w:noVBand="1"/>
      </w:tblPr>
      <w:tblGrid>
        <w:gridCol w:w="2592"/>
        <w:gridCol w:w="6437"/>
      </w:tblGrid>
      <w:tr w:rsidR="00F377A9" w:rsidRPr="001635DC" w14:paraId="72F27E6E" w14:textId="77777777">
        <w:trPr>
          <w:cantSplit/>
          <w:tblHeader/>
          <w:jc w:val="center"/>
        </w:trPr>
        <w:tc>
          <w:tcPr>
            <w:tcW w:w="2592" w:type="dxa"/>
            <w:tcBorders>
              <w:bottom w:val="single" w:sz="8" w:space="0" w:color="1B365D"/>
            </w:tcBorders>
            <w:shd w:val="clear" w:color="auto" w:fill="1B365D"/>
            <w:tcMar>
              <w:top w:w="140" w:type="dxa"/>
              <w:left w:w="180" w:type="dxa"/>
              <w:bottom w:w="140" w:type="dxa"/>
              <w:right w:w="180" w:type="dxa"/>
            </w:tcMar>
            <w:vAlign w:val="center"/>
          </w:tcPr>
          <w:p w14:paraId="731651D7"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b/>
                <w:color w:val="FFFFFF"/>
              </w:rPr>
              <w:t>Element</w:t>
            </w:r>
          </w:p>
        </w:tc>
        <w:tc>
          <w:tcPr>
            <w:tcW w:w="6437" w:type="dxa"/>
            <w:tcBorders>
              <w:bottom w:val="single" w:sz="8" w:space="0" w:color="1B365D"/>
            </w:tcBorders>
            <w:shd w:val="clear" w:color="auto" w:fill="1B365D"/>
            <w:tcMar>
              <w:top w:w="140" w:type="dxa"/>
              <w:left w:w="180" w:type="dxa"/>
              <w:bottom w:w="140" w:type="dxa"/>
              <w:right w:w="180" w:type="dxa"/>
            </w:tcMar>
            <w:vAlign w:val="center"/>
          </w:tcPr>
          <w:p w14:paraId="3A4E8FE1"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b/>
                <w:color w:val="FFFFFF"/>
              </w:rPr>
              <w:t>Description</w:t>
            </w:r>
          </w:p>
        </w:tc>
      </w:tr>
      <w:tr w:rsidR="00F377A9" w:rsidRPr="001635DC" w14:paraId="3407C1DD" w14:textId="77777777">
        <w:trPr>
          <w:cantSplit/>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4F7FA"/>
            <w:tcMar>
              <w:top w:w="140" w:type="dxa"/>
              <w:left w:w="180" w:type="dxa"/>
              <w:bottom w:w="140" w:type="dxa"/>
              <w:right w:w="180" w:type="dxa"/>
            </w:tcMar>
            <w:vAlign w:val="center"/>
          </w:tcPr>
          <w:p w14:paraId="5BE93E0A"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b/>
                <w:color w:val="1B365D"/>
              </w:rPr>
              <w:t>P – Population</w:t>
            </w:r>
          </w:p>
        </w:tc>
        <w:tc>
          <w:tcPr>
            <w:tcW w:w="6437" w:type="dxa"/>
            <w:tcBorders>
              <w:top w:val="single" w:sz="4" w:space="0" w:color="D3D3D3"/>
              <w:left w:val="single" w:sz="4" w:space="0" w:color="D3D3D3"/>
              <w:bottom w:val="single" w:sz="4" w:space="0" w:color="D3D3D3"/>
              <w:right w:val="single" w:sz="4" w:space="0" w:color="D3D3D3"/>
            </w:tcBorders>
            <w:shd w:val="clear" w:color="auto" w:fill="F4F7FA"/>
            <w:tcMar>
              <w:top w:w="140" w:type="dxa"/>
              <w:left w:w="180" w:type="dxa"/>
              <w:bottom w:w="140" w:type="dxa"/>
              <w:right w:w="180" w:type="dxa"/>
            </w:tcMar>
            <w:vAlign w:val="center"/>
          </w:tcPr>
          <w:p w14:paraId="1DFDFE0C"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rPr>
              <w:t>Project submissions evaluated by multiple judges at the SEAL Hackathon, FPT University—comprising two rater groups: Software Engineering faculty members and external industry guest judges.</w:t>
            </w:r>
          </w:p>
        </w:tc>
      </w:tr>
      <w:tr w:rsidR="00F377A9" w:rsidRPr="001635DC" w14:paraId="5578AE08" w14:textId="77777777">
        <w:trPr>
          <w:cantSplit/>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40" w:type="dxa"/>
              <w:left w:w="180" w:type="dxa"/>
              <w:bottom w:w="140" w:type="dxa"/>
              <w:right w:w="180" w:type="dxa"/>
            </w:tcMar>
            <w:vAlign w:val="center"/>
          </w:tcPr>
          <w:p w14:paraId="28A51B45"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b/>
                <w:color w:val="1B365D"/>
              </w:rPr>
              <w:lastRenderedPageBreak/>
              <w:t>I – Intervention</w:t>
            </w:r>
          </w:p>
        </w:tc>
        <w:tc>
          <w:tcPr>
            <w:tcW w:w="6437" w:type="dxa"/>
            <w:tcBorders>
              <w:top w:val="single" w:sz="4" w:space="0" w:color="D3D3D3"/>
              <w:left w:val="single" w:sz="4" w:space="0" w:color="D3D3D3"/>
              <w:bottom w:val="single" w:sz="4" w:space="0" w:color="D3D3D3"/>
              <w:right w:val="single" w:sz="4" w:space="0" w:color="D3D3D3"/>
            </w:tcBorders>
            <w:shd w:val="clear" w:color="auto" w:fill="FFFFFF"/>
            <w:tcMar>
              <w:top w:w="140" w:type="dxa"/>
              <w:left w:w="180" w:type="dxa"/>
              <w:bottom w:w="140" w:type="dxa"/>
              <w:right w:w="180" w:type="dxa"/>
            </w:tcMar>
            <w:vAlign w:val="center"/>
          </w:tcPr>
          <w:p w14:paraId="6113F3B1"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rPr>
              <w:t>An independent (blind) scoring process utilizing a hybrid rubric that encompasses both technical and non-technical/subjective criteria.</w:t>
            </w:r>
          </w:p>
        </w:tc>
      </w:tr>
      <w:tr w:rsidR="00F377A9" w:rsidRPr="001635DC" w14:paraId="663571F5" w14:textId="77777777">
        <w:trPr>
          <w:cantSplit/>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4F7FA"/>
            <w:tcMar>
              <w:top w:w="140" w:type="dxa"/>
              <w:left w:w="180" w:type="dxa"/>
              <w:bottom w:w="140" w:type="dxa"/>
              <w:right w:w="180" w:type="dxa"/>
            </w:tcMar>
            <w:vAlign w:val="center"/>
          </w:tcPr>
          <w:p w14:paraId="11B955DB"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b/>
                <w:color w:val="1B365D"/>
              </w:rPr>
              <w:t>C – Comparison</w:t>
            </w:r>
          </w:p>
        </w:tc>
        <w:tc>
          <w:tcPr>
            <w:tcW w:w="6437" w:type="dxa"/>
            <w:tcBorders>
              <w:top w:val="single" w:sz="4" w:space="0" w:color="D3D3D3"/>
              <w:left w:val="single" w:sz="4" w:space="0" w:color="D3D3D3"/>
              <w:bottom w:val="single" w:sz="4" w:space="0" w:color="D3D3D3"/>
              <w:right w:val="single" w:sz="4" w:space="0" w:color="D3D3D3"/>
            </w:tcBorders>
            <w:shd w:val="clear" w:color="auto" w:fill="F4F7FA"/>
            <w:tcMar>
              <w:top w:w="140" w:type="dxa"/>
              <w:left w:w="180" w:type="dxa"/>
              <w:bottom w:w="140" w:type="dxa"/>
              <w:right w:w="180" w:type="dxa"/>
            </w:tcMar>
            <w:vAlign w:val="center"/>
          </w:tcPr>
          <w:p w14:paraId="0E1F6A15"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rPr>
              <w:t>(1) Comparison of IRR levels between technical and non-technical criteria.</w:t>
            </w:r>
            <w:r w:rsidRPr="001635DC">
              <w:rPr>
                <w:rFonts w:ascii="Times New Roman" w:hAnsi="Times New Roman" w:cs="Times New Roman"/>
              </w:rPr>
              <w:br/>
              <w:t>(2) Comparison of IRR levels between the SE Faculty group and the Guest Judges group.</w:t>
            </w:r>
            <w:r w:rsidRPr="001635DC">
              <w:rPr>
                <w:rFonts w:ascii="Times New Roman" w:hAnsi="Times New Roman" w:cs="Times New Roman"/>
              </w:rPr>
              <w:br/>
              <w:t>Reference thresholds: ICC &gt; 0.75 and Krippendorff's α &gt; 0.80 are considered reliable.</w:t>
            </w:r>
          </w:p>
        </w:tc>
      </w:tr>
      <w:tr w:rsidR="00F377A9" w:rsidRPr="001635DC" w14:paraId="4D91A8F9" w14:textId="77777777">
        <w:trPr>
          <w:cantSplit/>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140" w:type="dxa"/>
              <w:left w:w="180" w:type="dxa"/>
              <w:bottom w:w="140" w:type="dxa"/>
              <w:right w:w="180" w:type="dxa"/>
            </w:tcMar>
            <w:vAlign w:val="center"/>
          </w:tcPr>
          <w:p w14:paraId="2B61A50A"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b/>
                <w:color w:val="1B365D"/>
              </w:rPr>
              <w:t>O – Outcome</w:t>
            </w:r>
          </w:p>
        </w:tc>
        <w:tc>
          <w:tcPr>
            <w:tcW w:w="6437" w:type="dxa"/>
            <w:tcBorders>
              <w:top w:val="single" w:sz="4" w:space="0" w:color="D3D3D3"/>
              <w:left w:val="single" w:sz="4" w:space="0" w:color="D3D3D3"/>
              <w:bottom w:val="single" w:sz="4" w:space="0" w:color="D3D3D3"/>
              <w:right w:val="single" w:sz="4" w:space="0" w:color="D3D3D3"/>
            </w:tcBorders>
            <w:shd w:val="clear" w:color="auto" w:fill="FFFFFF"/>
            <w:tcMar>
              <w:top w:w="140" w:type="dxa"/>
              <w:left w:w="180" w:type="dxa"/>
              <w:bottom w:w="140" w:type="dxa"/>
              <w:right w:w="180" w:type="dxa"/>
            </w:tcMar>
            <w:vAlign w:val="center"/>
          </w:tcPr>
          <w:p w14:paraId="5C052CB9"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rPr>
              <w:t>Overall Inter-Rater Reliability coefficients (ICC, Krippendorff's α); identification of criteria exhibiting the highest and lowest IRR; conclusions on the effect of judge type on evaluation consistency; actionable recommendations for rubric refinement and grading process optimization.</w:t>
            </w:r>
          </w:p>
        </w:tc>
      </w:tr>
    </w:tbl>
    <w:p w14:paraId="680C2448" w14:textId="77777777" w:rsidR="00F377A9" w:rsidRPr="001635DC" w:rsidRDefault="00F377A9" w:rsidP="001635DC">
      <w:pPr>
        <w:spacing w:before="240"/>
        <w:jc w:val="both"/>
        <w:rPr>
          <w:rFonts w:ascii="Times New Roman" w:hAnsi="Times New Roman" w:cs="Times New Roman"/>
        </w:rPr>
      </w:pPr>
    </w:p>
    <w:p w14:paraId="34D8D777" w14:textId="77777777" w:rsidR="00F377A9" w:rsidRPr="001635DC" w:rsidRDefault="00000000" w:rsidP="001635DC">
      <w:pPr>
        <w:pStyle w:val="Heading1"/>
        <w:spacing w:before="240" w:after="120"/>
        <w:jc w:val="both"/>
        <w:rPr>
          <w:rFonts w:ascii="Times New Roman" w:hAnsi="Times New Roman" w:cs="Times New Roman"/>
          <w:sz w:val="28"/>
        </w:rPr>
      </w:pPr>
      <w:r w:rsidRPr="001635DC">
        <w:rPr>
          <w:rFonts w:ascii="Times New Roman" w:hAnsi="Times New Roman" w:cs="Times New Roman"/>
          <w:sz w:val="28"/>
        </w:rPr>
        <w:t>4. Research Statement</w:t>
      </w:r>
    </w:p>
    <w:p w14:paraId="7DCECCFD" w14:textId="77777777" w:rsidR="00F377A9" w:rsidRPr="001635DC" w:rsidRDefault="00000000" w:rsidP="001635DC">
      <w:pPr>
        <w:jc w:val="both"/>
        <w:rPr>
          <w:rFonts w:ascii="Times New Roman" w:hAnsi="Times New Roman" w:cs="Times New Roman"/>
        </w:rPr>
      </w:pPr>
      <w:r w:rsidRPr="001635DC">
        <w:rPr>
          <w:rFonts w:ascii="Times New Roman" w:hAnsi="Times New Roman" w:cs="Times New Roman"/>
        </w:rPr>
        <w:t>This study investigates the inter-rater reliability (IRR) of judge scoring in the SEAL Hackathon — an academic software engineering competition at FPT University — using Intraclass Correlation Coefficient (ICC) and Krippendorff's Alpha (α) as primary reliability metrics. The research examines whether IRR differs across technical versus soft/subjective scoring criteria, and whether judge type (SE Faculty vs. Guest Industry Judges) significantly influences scoring consistency. Findings are expected to provide empirical evidence on evaluation quality in academic hackathons and offer actionable recommendations for improving rubric design and judge selection processes.</w:t>
      </w:r>
    </w:p>
    <w:p w14:paraId="019B012C" w14:textId="77777777" w:rsidR="00F377A9" w:rsidRPr="001635DC" w:rsidRDefault="00000000" w:rsidP="001635DC">
      <w:pPr>
        <w:pStyle w:val="Heading1"/>
        <w:spacing w:before="240" w:after="120"/>
        <w:jc w:val="both"/>
        <w:rPr>
          <w:rFonts w:ascii="Times New Roman" w:hAnsi="Times New Roman" w:cs="Times New Roman"/>
          <w:sz w:val="28"/>
        </w:rPr>
      </w:pPr>
      <w:r w:rsidRPr="001635DC">
        <w:rPr>
          <w:rFonts w:ascii="Times New Roman" w:hAnsi="Times New Roman" w:cs="Times New Roman"/>
          <w:sz w:val="28"/>
        </w:rPr>
        <w:t>5. Main and Sub-Research Questions</w:t>
      </w:r>
    </w:p>
    <w:p w14:paraId="3288A0D2" w14:textId="77777777" w:rsidR="00F377A9" w:rsidRPr="001635DC" w:rsidRDefault="00000000" w:rsidP="001635DC">
      <w:pPr>
        <w:pStyle w:val="Heading2"/>
        <w:spacing w:before="240" w:after="120"/>
        <w:jc w:val="both"/>
        <w:rPr>
          <w:rFonts w:ascii="Times New Roman" w:hAnsi="Times New Roman" w:cs="Times New Roman"/>
          <w:sz w:val="24"/>
          <w:szCs w:val="24"/>
        </w:rPr>
      </w:pPr>
      <w:r w:rsidRPr="001635DC">
        <w:rPr>
          <w:rFonts w:ascii="Times New Roman" w:hAnsi="Times New Roman" w:cs="Times New Roman"/>
          <w:sz w:val="24"/>
          <w:szCs w:val="24"/>
        </w:rPr>
        <w:t>5.1 Main Research Question</w:t>
      </w:r>
    </w:p>
    <w:p w14:paraId="3E8E55BB" w14:textId="77777777" w:rsidR="00F377A9" w:rsidRPr="001635DC" w:rsidRDefault="00000000" w:rsidP="001635DC">
      <w:pPr>
        <w:ind w:left="360" w:right="360"/>
        <w:jc w:val="both"/>
        <w:rPr>
          <w:rFonts w:ascii="Times New Roman" w:hAnsi="Times New Roman" w:cs="Times New Roman"/>
        </w:rPr>
      </w:pPr>
      <w:r w:rsidRPr="001635DC">
        <w:rPr>
          <w:rFonts w:ascii="Times New Roman" w:hAnsi="Times New Roman" w:cs="Times New Roman"/>
          <w:i/>
          <w:color w:val="1B365D"/>
          <w:sz w:val="23"/>
        </w:rPr>
        <w:t>"To what extent do hackathon judges agree in their evaluation scores across technical and non-technical criteria in the SEAL Hackathon at FPT University, and does judge type (SE Faculty vs. Guest Judge) significantly affect inter-rater reliability as measured by ICC and Krippendorff's Alpha?"</w:t>
      </w:r>
    </w:p>
    <w:p w14:paraId="757BCA2C" w14:textId="77777777" w:rsidR="00F377A9" w:rsidRPr="001635DC" w:rsidRDefault="00000000" w:rsidP="001635DC">
      <w:pPr>
        <w:pStyle w:val="Heading2"/>
        <w:spacing w:before="240" w:after="120"/>
        <w:jc w:val="both"/>
        <w:rPr>
          <w:rFonts w:ascii="Times New Roman" w:hAnsi="Times New Roman" w:cs="Times New Roman"/>
          <w:sz w:val="24"/>
          <w:szCs w:val="24"/>
        </w:rPr>
      </w:pPr>
      <w:r w:rsidRPr="001635DC">
        <w:rPr>
          <w:rFonts w:ascii="Times New Roman" w:hAnsi="Times New Roman" w:cs="Times New Roman"/>
          <w:sz w:val="24"/>
          <w:szCs w:val="24"/>
        </w:rPr>
        <w:t>5.2 Sub-Research Questions</w:t>
      </w:r>
    </w:p>
    <w:tbl>
      <w:tblPr>
        <w:tblW w:w="0" w:type="auto"/>
        <w:jc w:val="center"/>
        <w:tblLayout w:type="fixed"/>
        <w:tblLook w:val="04A0" w:firstRow="1" w:lastRow="0" w:firstColumn="1" w:lastColumn="0" w:noHBand="0" w:noVBand="1"/>
      </w:tblPr>
      <w:tblGrid>
        <w:gridCol w:w="1440"/>
        <w:gridCol w:w="4709"/>
        <w:gridCol w:w="2880"/>
      </w:tblGrid>
      <w:tr w:rsidR="00F377A9" w:rsidRPr="001635DC" w14:paraId="3EB8EB0A" w14:textId="77777777">
        <w:trPr>
          <w:cantSplit/>
          <w:tblHeader/>
          <w:jc w:val="center"/>
        </w:trPr>
        <w:tc>
          <w:tcPr>
            <w:tcW w:w="1440" w:type="dxa"/>
            <w:tcBorders>
              <w:bottom w:val="single" w:sz="8" w:space="0" w:color="1B365D"/>
            </w:tcBorders>
            <w:shd w:val="clear" w:color="auto" w:fill="1B365D"/>
            <w:tcMar>
              <w:top w:w="120" w:type="dxa"/>
              <w:left w:w="150" w:type="dxa"/>
              <w:bottom w:w="120" w:type="dxa"/>
              <w:right w:w="150" w:type="dxa"/>
            </w:tcMar>
            <w:vAlign w:val="center"/>
          </w:tcPr>
          <w:p w14:paraId="2907FD69"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b/>
                <w:color w:val="FFFFFF"/>
              </w:rPr>
              <w:t>Sub-RQ</w:t>
            </w:r>
          </w:p>
        </w:tc>
        <w:tc>
          <w:tcPr>
            <w:tcW w:w="4709" w:type="dxa"/>
            <w:tcBorders>
              <w:bottom w:val="single" w:sz="8" w:space="0" w:color="1B365D"/>
            </w:tcBorders>
            <w:shd w:val="clear" w:color="auto" w:fill="1B365D"/>
            <w:tcMar>
              <w:top w:w="120" w:type="dxa"/>
              <w:left w:w="150" w:type="dxa"/>
              <w:bottom w:w="120" w:type="dxa"/>
              <w:right w:w="150" w:type="dxa"/>
            </w:tcMar>
            <w:vAlign w:val="center"/>
          </w:tcPr>
          <w:p w14:paraId="32916FB3"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b/>
                <w:color w:val="FFFFFF"/>
              </w:rPr>
              <w:t>Research Question</w:t>
            </w:r>
          </w:p>
        </w:tc>
        <w:tc>
          <w:tcPr>
            <w:tcW w:w="2880" w:type="dxa"/>
            <w:tcBorders>
              <w:bottom w:val="single" w:sz="8" w:space="0" w:color="1B365D"/>
            </w:tcBorders>
            <w:shd w:val="clear" w:color="auto" w:fill="1B365D"/>
            <w:tcMar>
              <w:top w:w="120" w:type="dxa"/>
              <w:left w:w="150" w:type="dxa"/>
              <w:bottom w:w="120" w:type="dxa"/>
              <w:right w:w="150" w:type="dxa"/>
            </w:tcMar>
            <w:vAlign w:val="center"/>
          </w:tcPr>
          <w:p w14:paraId="1076F59B"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b/>
                <w:color w:val="FFFFFF"/>
              </w:rPr>
              <w:t>Measurement Methodology</w:t>
            </w:r>
          </w:p>
        </w:tc>
      </w:tr>
      <w:tr w:rsidR="00F377A9" w:rsidRPr="001635DC" w14:paraId="07980F59"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4F7FA"/>
            <w:tcMar>
              <w:top w:w="120" w:type="dxa"/>
              <w:left w:w="150" w:type="dxa"/>
              <w:bottom w:w="120" w:type="dxa"/>
              <w:right w:w="150" w:type="dxa"/>
            </w:tcMar>
            <w:vAlign w:val="center"/>
          </w:tcPr>
          <w:p w14:paraId="571DAD28"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b/>
                <w:color w:val="1B365D"/>
              </w:rPr>
              <w:lastRenderedPageBreak/>
              <w:t>RQ1</w:t>
            </w:r>
          </w:p>
        </w:tc>
        <w:tc>
          <w:tcPr>
            <w:tcW w:w="4709" w:type="dxa"/>
            <w:tcBorders>
              <w:top w:val="single" w:sz="4" w:space="0" w:color="D3D3D3"/>
              <w:left w:val="single" w:sz="4" w:space="0" w:color="D3D3D3"/>
              <w:bottom w:val="single" w:sz="4" w:space="0" w:color="D3D3D3"/>
              <w:right w:val="single" w:sz="4" w:space="0" w:color="D3D3D3"/>
            </w:tcBorders>
            <w:shd w:val="clear" w:color="auto" w:fill="F4F7FA"/>
            <w:tcMar>
              <w:top w:w="120" w:type="dxa"/>
              <w:left w:w="150" w:type="dxa"/>
              <w:bottom w:w="120" w:type="dxa"/>
              <w:right w:w="150" w:type="dxa"/>
            </w:tcMar>
            <w:vAlign w:val="center"/>
          </w:tcPr>
          <w:p w14:paraId="2888BF29"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rPr>
              <w:t>What is the overall inter-rater reliability of SEAL hackathon scoring as measured by ICC and Krippendorff's α?</w:t>
            </w:r>
          </w:p>
        </w:tc>
        <w:tc>
          <w:tcPr>
            <w:tcW w:w="2880" w:type="dxa"/>
            <w:tcBorders>
              <w:top w:val="single" w:sz="4" w:space="0" w:color="D3D3D3"/>
              <w:left w:val="single" w:sz="4" w:space="0" w:color="D3D3D3"/>
              <w:bottom w:val="single" w:sz="4" w:space="0" w:color="D3D3D3"/>
              <w:right w:val="single" w:sz="4" w:space="0" w:color="D3D3D3"/>
            </w:tcBorders>
            <w:shd w:val="clear" w:color="auto" w:fill="F4F7FA"/>
            <w:tcMar>
              <w:top w:w="120" w:type="dxa"/>
              <w:left w:w="150" w:type="dxa"/>
              <w:bottom w:w="120" w:type="dxa"/>
              <w:right w:w="150" w:type="dxa"/>
            </w:tcMar>
            <w:vAlign w:val="center"/>
          </w:tcPr>
          <w:p w14:paraId="211A4364"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rPr>
              <w:t>Two-way mixed ICC; Krippendorff's α</w:t>
            </w:r>
          </w:p>
        </w:tc>
      </w:tr>
      <w:tr w:rsidR="00F377A9" w:rsidRPr="001635DC" w14:paraId="029186D1"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120" w:type="dxa"/>
              <w:left w:w="150" w:type="dxa"/>
              <w:bottom w:w="120" w:type="dxa"/>
              <w:right w:w="150" w:type="dxa"/>
            </w:tcMar>
            <w:vAlign w:val="center"/>
          </w:tcPr>
          <w:p w14:paraId="6F918FC3"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b/>
                <w:color w:val="1B365D"/>
              </w:rPr>
              <w:t>RQ2</w:t>
            </w:r>
          </w:p>
        </w:tc>
        <w:tc>
          <w:tcPr>
            <w:tcW w:w="4709" w:type="dxa"/>
            <w:tcBorders>
              <w:top w:val="single" w:sz="4" w:space="0" w:color="D3D3D3"/>
              <w:left w:val="single" w:sz="4" w:space="0" w:color="D3D3D3"/>
              <w:bottom w:val="single" w:sz="4" w:space="0" w:color="D3D3D3"/>
              <w:right w:val="single" w:sz="4" w:space="0" w:color="D3D3D3"/>
            </w:tcBorders>
            <w:shd w:val="clear" w:color="auto" w:fill="FFFFFF"/>
            <w:tcMar>
              <w:top w:w="120" w:type="dxa"/>
              <w:left w:w="150" w:type="dxa"/>
              <w:bottom w:w="120" w:type="dxa"/>
              <w:right w:w="150" w:type="dxa"/>
            </w:tcMar>
            <w:vAlign w:val="center"/>
          </w:tcPr>
          <w:p w14:paraId="3E452227"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rPr>
              <w:t>Which scoring criteria show the highest and lowest inter-rater agreement — Technical criteria vs. Soft/subjective criteria?</w:t>
            </w:r>
          </w:p>
        </w:tc>
        <w:tc>
          <w:tcPr>
            <w:tcW w:w="2880" w:type="dxa"/>
            <w:tcBorders>
              <w:top w:val="single" w:sz="4" w:space="0" w:color="D3D3D3"/>
              <w:left w:val="single" w:sz="4" w:space="0" w:color="D3D3D3"/>
              <w:bottom w:val="single" w:sz="4" w:space="0" w:color="D3D3D3"/>
              <w:right w:val="single" w:sz="4" w:space="0" w:color="D3D3D3"/>
            </w:tcBorders>
            <w:shd w:val="clear" w:color="auto" w:fill="FFFFFF"/>
            <w:tcMar>
              <w:top w:w="120" w:type="dxa"/>
              <w:left w:w="150" w:type="dxa"/>
              <w:bottom w:w="120" w:type="dxa"/>
              <w:right w:w="150" w:type="dxa"/>
            </w:tcMar>
            <w:vAlign w:val="center"/>
          </w:tcPr>
          <w:p w14:paraId="7D3C04CF"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rPr>
              <w:t>Per-criterion ICC &amp; α; ranking comparison</w:t>
            </w:r>
          </w:p>
        </w:tc>
      </w:tr>
      <w:tr w:rsidR="00F377A9" w:rsidRPr="001635DC" w14:paraId="75D28C8A"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4F7FA"/>
            <w:tcMar>
              <w:top w:w="120" w:type="dxa"/>
              <w:left w:w="150" w:type="dxa"/>
              <w:bottom w:w="120" w:type="dxa"/>
              <w:right w:w="150" w:type="dxa"/>
            </w:tcMar>
            <w:vAlign w:val="center"/>
          </w:tcPr>
          <w:p w14:paraId="23EDBF18"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b/>
                <w:color w:val="1B365D"/>
              </w:rPr>
              <w:t>RQ3</w:t>
            </w:r>
          </w:p>
        </w:tc>
        <w:tc>
          <w:tcPr>
            <w:tcW w:w="4709" w:type="dxa"/>
            <w:tcBorders>
              <w:top w:val="single" w:sz="4" w:space="0" w:color="D3D3D3"/>
              <w:left w:val="single" w:sz="4" w:space="0" w:color="D3D3D3"/>
              <w:bottom w:val="single" w:sz="4" w:space="0" w:color="D3D3D3"/>
              <w:right w:val="single" w:sz="4" w:space="0" w:color="D3D3D3"/>
            </w:tcBorders>
            <w:shd w:val="clear" w:color="auto" w:fill="F4F7FA"/>
            <w:tcMar>
              <w:top w:w="120" w:type="dxa"/>
              <w:left w:w="150" w:type="dxa"/>
              <w:bottom w:w="120" w:type="dxa"/>
              <w:right w:w="150" w:type="dxa"/>
            </w:tcMar>
            <w:vAlign w:val="center"/>
          </w:tcPr>
          <w:p w14:paraId="72C8B3EA"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rPr>
              <w:t>Does judge type (SE Faculty vs. Guest Judge) affect scoring consistency across submissions?</w:t>
            </w:r>
          </w:p>
        </w:tc>
        <w:tc>
          <w:tcPr>
            <w:tcW w:w="2880" w:type="dxa"/>
            <w:tcBorders>
              <w:top w:val="single" w:sz="4" w:space="0" w:color="D3D3D3"/>
              <w:left w:val="single" w:sz="4" w:space="0" w:color="D3D3D3"/>
              <w:bottom w:val="single" w:sz="4" w:space="0" w:color="D3D3D3"/>
              <w:right w:val="single" w:sz="4" w:space="0" w:color="D3D3D3"/>
            </w:tcBorders>
            <w:shd w:val="clear" w:color="auto" w:fill="F4F7FA"/>
            <w:tcMar>
              <w:top w:w="120" w:type="dxa"/>
              <w:left w:w="150" w:type="dxa"/>
              <w:bottom w:w="120" w:type="dxa"/>
              <w:right w:w="150" w:type="dxa"/>
            </w:tcMar>
            <w:vAlign w:val="center"/>
          </w:tcPr>
          <w:p w14:paraId="18AB11B2" w14:textId="77777777" w:rsidR="00F377A9" w:rsidRPr="001635DC" w:rsidRDefault="00000000" w:rsidP="001635DC">
            <w:pPr>
              <w:spacing w:after="40" w:line="276" w:lineRule="auto"/>
              <w:jc w:val="both"/>
              <w:rPr>
                <w:rFonts w:ascii="Times New Roman" w:hAnsi="Times New Roman" w:cs="Times New Roman"/>
              </w:rPr>
            </w:pPr>
            <w:r w:rsidRPr="001635DC">
              <w:rPr>
                <w:rFonts w:ascii="Times New Roman" w:hAnsi="Times New Roman" w:cs="Times New Roman"/>
              </w:rPr>
              <w:t>Between-group ICC comparison; t-test / Mann–Whitney U</w:t>
            </w:r>
          </w:p>
        </w:tc>
      </w:tr>
    </w:tbl>
    <w:p w14:paraId="296670C9" w14:textId="77777777" w:rsidR="00F377A9" w:rsidRPr="001635DC" w:rsidRDefault="00F377A9" w:rsidP="001635DC">
      <w:pPr>
        <w:spacing w:before="240"/>
        <w:jc w:val="both"/>
        <w:rPr>
          <w:rFonts w:ascii="Times New Roman" w:hAnsi="Times New Roman" w:cs="Times New Roman"/>
        </w:rPr>
      </w:pPr>
    </w:p>
    <w:p w14:paraId="5A01A32A" w14:textId="77777777" w:rsidR="00F377A9" w:rsidRPr="001635DC" w:rsidRDefault="00000000" w:rsidP="001635DC">
      <w:pPr>
        <w:pStyle w:val="Heading1"/>
        <w:spacing w:before="240" w:after="120"/>
        <w:jc w:val="both"/>
        <w:rPr>
          <w:rFonts w:ascii="Times New Roman" w:hAnsi="Times New Roman" w:cs="Times New Roman"/>
          <w:sz w:val="28"/>
        </w:rPr>
      </w:pPr>
      <w:r w:rsidRPr="001635DC">
        <w:rPr>
          <w:rFonts w:ascii="Times New Roman" w:hAnsi="Times New Roman" w:cs="Times New Roman"/>
          <w:sz w:val="28"/>
        </w:rPr>
        <w:t>6. Research Significance</w:t>
      </w:r>
    </w:p>
    <w:p w14:paraId="0BDD5B6D" w14:textId="77777777" w:rsidR="00F377A9" w:rsidRPr="001635DC" w:rsidRDefault="00000000" w:rsidP="001635DC">
      <w:pPr>
        <w:pStyle w:val="Heading2"/>
        <w:spacing w:before="240" w:after="120"/>
        <w:jc w:val="both"/>
        <w:rPr>
          <w:rFonts w:ascii="Times New Roman" w:hAnsi="Times New Roman" w:cs="Times New Roman"/>
          <w:sz w:val="24"/>
          <w:szCs w:val="24"/>
        </w:rPr>
      </w:pPr>
      <w:r w:rsidRPr="001635DC">
        <w:rPr>
          <w:rFonts w:ascii="Times New Roman" w:hAnsi="Times New Roman" w:cs="Times New Roman"/>
          <w:sz w:val="24"/>
          <w:szCs w:val="24"/>
        </w:rPr>
        <w:t>6.1 Theoretical Contribution</w:t>
      </w:r>
    </w:p>
    <w:p w14:paraId="46091DEB" w14:textId="77777777" w:rsidR="00F377A9" w:rsidRPr="001635DC" w:rsidRDefault="00000000" w:rsidP="001635DC">
      <w:pPr>
        <w:pStyle w:val="ListBullet"/>
        <w:jc w:val="both"/>
        <w:rPr>
          <w:rFonts w:ascii="Times New Roman" w:hAnsi="Times New Roman" w:cs="Times New Roman"/>
        </w:rPr>
      </w:pPr>
      <w:r w:rsidRPr="001635DC">
        <w:rPr>
          <w:rFonts w:ascii="Times New Roman" w:hAnsi="Times New Roman" w:cs="Times New Roman"/>
        </w:rPr>
        <w:t>Provides empirical evidence regarding IRR within the domains of software engineering education and assessment reliability.</w:t>
      </w:r>
    </w:p>
    <w:p w14:paraId="66CD987C" w14:textId="77777777" w:rsidR="00F377A9" w:rsidRPr="001635DC" w:rsidRDefault="00000000" w:rsidP="001635DC">
      <w:pPr>
        <w:pStyle w:val="ListBullet"/>
        <w:jc w:val="both"/>
        <w:rPr>
          <w:rFonts w:ascii="Times New Roman" w:hAnsi="Times New Roman" w:cs="Times New Roman"/>
        </w:rPr>
      </w:pPr>
      <w:r w:rsidRPr="001635DC">
        <w:rPr>
          <w:rFonts w:ascii="Times New Roman" w:hAnsi="Times New Roman" w:cs="Times New Roman"/>
        </w:rPr>
        <w:t>Expands the geographical scope of hackathon evaluation research by transferring international frameworks into the context of higher education in Vietnam.</w:t>
      </w:r>
    </w:p>
    <w:p w14:paraId="785FBE43" w14:textId="77777777" w:rsidR="00F377A9" w:rsidRPr="001635DC" w:rsidRDefault="00000000" w:rsidP="001635DC">
      <w:pPr>
        <w:pStyle w:val="ListBullet"/>
        <w:jc w:val="both"/>
        <w:rPr>
          <w:rFonts w:ascii="Times New Roman" w:hAnsi="Times New Roman" w:cs="Times New Roman"/>
        </w:rPr>
      </w:pPr>
      <w:r w:rsidRPr="001635DC">
        <w:rPr>
          <w:rFonts w:ascii="Times New Roman" w:hAnsi="Times New Roman" w:cs="Times New Roman"/>
        </w:rPr>
        <w:t>Contributes to the theoretical foundation of rubric design for academic computing and programming competitions.</w:t>
      </w:r>
    </w:p>
    <w:p w14:paraId="0C12FBCA" w14:textId="77777777" w:rsidR="00F377A9" w:rsidRPr="001635DC" w:rsidRDefault="00000000" w:rsidP="001635DC">
      <w:pPr>
        <w:pStyle w:val="Heading2"/>
        <w:spacing w:before="240" w:after="120"/>
        <w:jc w:val="both"/>
        <w:rPr>
          <w:rFonts w:ascii="Times New Roman" w:hAnsi="Times New Roman" w:cs="Times New Roman"/>
          <w:sz w:val="24"/>
          <w:szCs w:val="24"/>
        </w:rPr>
      </w:pPr>
      <w:r w:rsidRPr="001635DC">
        <w:rPr>
          <w:rFonts w:ascii="Times New Roman" w:hAnsi="Times New Roman" w:cs="Times New Roman"/>
          <w:sz w:val="24"/>
          <w:szCs w:val="24"/>
        </w:rPr>
        <w:t>6.2 Practical Contribution</w:t>
      </w:r>
    </w:p>
    <w:p w14:paraId="4F523A24" w14:textId="77777777" w:rsidR="00F377A9" w:rsidRPr="001635DC" w:rsidRDefault="00000000" w:rsidP="001635DC">
      <w:pPr>
        <w:pStyle w:val="ListBullet"/>
        <w:jc w:val="both"/>
        <w:rPr>
          <w:rFonts w:ascii="Times New Roman" w:hAnsi="Times New Roman" w:cs="Times New Roman"/>
        </w:rPr>
      </w:pPr>
      <w:r w:rsidRPr="001635DC">
        <w:rPr>
          <w:rFonts w:ascii="Times New Roman" w:hAnsi="Times New Roman" w:cs="Times New Roman"/>
        </w:rPr>
        <w:t>Delivers empirical data to the SEAL Hackathon Organizing Committee and the Department of Software Engineering at FPT University.</w:t>
      </w:r>
    </w:p>
    <w:p w14:paraId="208D550A" w14:textId="77777777" w:rsidR="00F377A9" w:rsidRPr="001635DC" w:rsidRDefault="00000000" w:rsidP="001635DC">
      <w:pPr>
        <w:pStyle w:val="ListBullet"/>
        <w:jc w:val="both"/>
        <w:rPr>
          <w:rFonts w:ascii="Times New Roman" w:hAnsi="Times New Roman" w:cs="Times New Roman"/>
        </w:rPr>
      </w:pPr>
      <w:r w:rsidRPr="001635DC">
        <w:rPr>
          <w:rFonts w:ascii="Times New Roman" w:hAnsi="Times New Roman" w:cs="Times New Roman"/>
        </w:rPr>
        <w:t>Formulates evidence-based recommendations to enhance the design of scoring criteria, thereby increasing consistency and fairness.</w:t>
      </w:r>
    </w:p>
    <w:p w14:paraId="690431EE" w14:textId="77777777" w:rsidR="00F377A9" w:rsidRPr="001635DC" w:rsidRDefault="00000000" w:rsidP="001635DC">
      <w:pPr>
        <w:pStyle w:val="ListBullet"/>
        <w:jc w:val="both"/>
        <w:rPr>
          <w:rFonts w:ascii="Times New Roman" w:hAnsi="Times New Roman" w:cs="Times New Roman"/>
        </w:rPr>
      </w:pPr>
      <w:r w:rsidRPr="001635DC">
        <w:rPr>
          <w:rFonts w:ascii="Times New Roman" w:hAnsi="Times New Roman" w:cs="Times New Roman"/>
        </w:rPr>
        <w:t>Supports data-driven decisions concerning judge selection and calibration training in subsequent iterations of the competition.</w:t>
      </w:r>
    </w:p>
    <w:p w14:paraId="60FC545F" w14:textId="77777777" w:rsidR="00F377A9" w:rsidRPr="001635DC" w:rsidRDefault="00000000" w:rsidP="001635DC">
      <w:pPr>
        <w:pStyle w:val="Heading1"/>
        <w:spacing w:before="240" w:after="120"/>
        <w:jc w:val="both"/>
        <w:rPr>
          <w:rFonts w:ascii="Times New Roman" w:hAnsi="Times New Roman" w:cs="Times New Roman"/>
          <w:sz w:val="28"/>
        </w:rPr>
      </w:pPr>
      <w:r w:rsidRPr="001635DC">
        <w:rPr>
          <w:rFonts w:ascii="Times New Roman" w:hAnsi="Times New Roman" w:cs="Times New Roman"/>
          <w:sz w:val="28"/>
        </w:rPr>
        <w:t>7. Scope and Limitations</w:t>
      </w:r>
    </w:p>
    <w:p w14:paraId="4B3DA357" w14:textId="77777777" w:rsidR="00F377A9" w:rsidRPr="001635DC" w:rsidRDefault="00000000" w:rsidP="001635DC">
      <w:pPr>
        <w:pStyle w:val="ListBullet"/>
        <w:jc w:val="both"/>
        <w:rPr>
          <w:rFonts w:ascii="Times New Roman" w:hAnsi="Times New Roman" w:cs="Times New Roman"/>
        </w:rPr>
      </w:pPr>
      <w:r w:rsidRPr="001635DC">
        <w:rPr>
          <w:rFonts w:ascii="Times New Roman" w:hAnsi="Times New Roman" w:cs="Times New Roman"/>
        </w:rPr>
        <w:t>The scope is strictly confined to the SEAL Hackathon at FPT University and will not be extended to other competitions during this research phase.</w:t>
      </w:r>
    </w:p>
    <w:p w14:paraId="16B030DA" w14:textId="7D7DC68B" w:rsidR="00F377A9" w:rsidRPr="001635DC" w:rsidRDefault="00000000" w:rsidP="001635DC">
      <w:pPr>
        <w:pStyle w:val="ListBullet"/>
        <w:jc w:val="both"/>
        <w:rPr>
          <w:rFonts w:ascii="Times New Roman" w:hAnsi="Times New Roman" w:cs="Times New Roman"/>
        </w:rPr>
      </w:pPr>
      <w:r w:rsidRPr="001635DC">
        <w:rPr>
          <w:rFonts w:ascii="Times New Roman" w:hAnsi="Times New Roman" w:cs="Times New Roman"/>
        </w:rPr>
        <w:t>The dataset relies on empirical scores collected from previously conducted SEAL Hackathons.</w:t>
      </w:r>
    </w:p>
    <w:p w14:paraId="004ED26C" w14:textId="77777777" w:rsidR="00F377A9" w:rsidRPr="001635DC" w:rsidRDefault="00000000" w:rsidP="001635DC">
      <w:pPr>
        <w:pStyle w:val="ListBullet"/>
        <w:jc w:val="both"/>
        <w:rPr>
          <w:rFonts w:ascii="Times New Roman" w:hAnsi="Times New Roman" w:cs="Times New Roman"/>
        </w:rPr>
      </w:pPr>
      <w:r w:rsidRPr="001635DC">
        <w:rPr>
          <w:rFonts w:ascii="Times New Roman" w:hAnsi="Times New Roman" w:cs="Times New Roman"/>
        </w:rPr>
        <w:t>The study focuses exclusively on quantitative analysis; qualitative investigations into the underlying reasons for rater discrepancy are outside the scope.</w:t>
      </w:r>
    </w:p>
    <w:p w14:paraId="6AEB27B0" w14:textId="77777777" w:rsidR="00F377A9" w:rsidRPr="001635DC" w:rsidRDefault="00000000" w:rsidP="001635DC">
      <w:pPr>
        <w:pStyle w:val="ListBullet"/>
        <w:jc w:val="both"/>
        <w:rPr>
          <w:rFonts w:ascii="Times New Roman" w:hAnsi="Times New Roman" w:cs="Times New Roman"/>
        </w:rPr>
      </w:pPr>
      <w:r w:rsidRPr="001635DC">
        <w:rPr>
          <w:rFonts w:ascii="Times New Roman" w:hAnsi="Times New Roman" w:cs="Times New Roman"/>
        </w:rPr>
        <w:t>The research is an observational study that involves no direct manipulation of or intervention in the grading workflow during the evaluation process.</w:t>
      </w:r>
    </w:p>
    <w:sectPr w:rsidR="00F377A9" w:rsidRPr="001635DC" w:rsidSect="00AE5DFF">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3851259">
    <w:abstractNumId w:val="8"/>
  </w:num>
  <w:num w:numId="2" w16cid:durableId="1575822230">
    <w:abstractNumId w:val="6"/>
  </w:num>
  <w:num w:numId="3" w16cid:durableId="1739129077">
    <w:abstractNumId w:val="5"/>
  </w:num>
  <w:num w:numId="4" w16cid:durableId="750781392">
    <w:abstractNumId w:val="4"/>
  </w:num>
  <w:num w:numId="5" w16cid:durableId="1637560392">
    <w:abstractNumId w:val="7"/>
  </w:num>
  <w:num w:numId="6" w16cid:durableId="1083064349">
    <w:abstractNumId w:val="3"/>
  </w:num>
  <w:num w:numId="7" w16cid:durableId="385108747">
    <w:abstractNumId w:val="2"/>
  </w:num>
  <w:num w:numId="8" w16cid:durableId="2002812031">
    <w:abstractNumId w:val="1"/>
  </w:num>
  <w:num w:numId="9" w16cid:durableId="1234855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5DC"/>
    <w:rsid w:val="0029639D"/>
    <w:rsid w:val="002A297E"/>
    <w:rsid w:val="00326F90"/>
    <w:rsid w:val="00AA1D8D"/>
    <w:rsid w:val="00AE5DFF"/>
    <w:rsid w:val="00B47730"/>
    <w:rsid w:val="00CB0664"/>
    <w:rsid w:val="00F377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E809B"/>
  <w14:defaultImageDpi w14:val="300"/>
  <w15:docId w15:val="{A6130D7E-8749-424A-BD96-54A8C92D5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A77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868</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ngô thuận</cp:lastModifiedBy>
  <cp:revision>3</cp:revision>
  <dcterms:created xsi:type="dcterms:W3CDTF">2013-12-23T23:15:00Z</dcterms:created>
  <dcterms:modified xsi:type="dcterms:W3CDTF">2026-05-23T09:01:00Z</dcterms:modified>
  <cp:category/>
</cp:coreProperties>
</file>