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6"/>
        </w:rPr>
        <w:t>Монитор приёмки и размещения ДМД</w:t>
      </w:r>
    </w:p>
    <w:p>
      <w:pPr/>
      <w:r>
        <w:rPr>
          <w:b w:val="0"/>
          <w:color w:val="666666"/>
          <w:sz w:val="18"/>
        </w:rPr>
        <w:t>Пояснительная записка · рабочая группа по пробкам на приёмке · сентябрь 2026 · Рысаков С. М.</w:t>
      </w:r>
    </w:p>
    <w:p>
      <w:pPr/>
      <w:r>
        <w:rPr>
          <w:b/>
          <w:sz w:val="26"/>
        </w:rPr>
        <w:t>Зачем считали</w:t>
      </w:r>
    </w:p>
    <w:p>
      <w:pPr/>
      <w:r>
        <w:rPr>
          <w:b w:val="0"/>
        </w:rPr>
        <w:t>На встрече 11 сентября разбирали, почему склад в Домодедове периодически встаёт, и почему это видно только тогда, когда уже поздно. Отчёты показывают, что операция завершена, но не показывают, где товар копится. Нужен был светофор «где пробка»: зелёный — норма, жёлтый — подход к потолку, красный — коллапс.</w:t>
      </w:r>
    </w:p>
    <w:p>
      <w:pPr/>
      <w:r>
        <w:rPr>
          <w:b w:val="0"/>
        </w:rPr>
        <w:t>Договорились считать метрику из двух признаков: заполненность зоны и время нахождения товара в ней, SLA 48 часов. Первая итерация — только вход, отгрузку не берём. Пороги по загрузке мест задал Карташев: до 80% жёлтый (склад недозагружен), 80–90 зелёный, 90–92 жёлтый, больше 92 красный.</w:t>
      </w:r>
    </w:p>
    <w:p>
      <w:pPr/>
      <w:r>
        <w:rPr>
          <w:b/>
          <w:sz w:val="26"/>
        </w:rPr>
        <w:t>Почему нельзя было просто взять занятость ячеек</w:t>
      </w:r>
    </w:p>
    <w:p>
      <w:pPr/>
      <w:r>
        <w:rPr>
          <w:b w:val="0"/>
        </w:rPr>
        <w:t>Первая же проверка показала ловушку. Занятость зон приёмки держится на 6–10% в тот момент, когда приёмка физически стоит. Причина в скрининге: товар лежит в проездах и на полу, а в системе он не оприходован в ячейку. Светофор по одной занятости показывал бы зелёный на коллапсе.</w:t>
      </w:r>
    </w:p>
    <w:p>
      <w:pPr/>
      <w:r>
        <w:rPr>
          <w:b w:val="0"/>
        </w:rPr>
        <w:t>Вторая ловушка — возраст по таре. Контейнер многоразовый, и если считать возраст по дате создания контейнера, выходят тысячи часов у свежего товара. Возраст нужно считать по самому товару.</w:t>
      </w:r>
    </w:p>
    <w:p>
      <w:pPr/>
      <w:r>
        <w:rPr>
          <w:b/>
          <w:sz w:val="26"/>
        </w:rPr>
        <w:t>Откуда берутся данные</w:t>
      </w:r>
    </w:p>
    <w:p>
      <w:pPr>
        <w:pStyle w:val="ListBullet"/>
      </w:pPr>
      <w:r>
        <w:rPr>
          <w:b w:val="0"/>
        </w:rPr>
        <w:t>Заполненность — DWH_VI.wms.reg_storage_product_rest в разрезе ячеек, ёмкость — ref_cell со статусом 2 (рабочие ячейки; статус 1 встречается единицами и даёт заполненность больше 100%).</w:t>
      </w:r>
    </w:p>
    <w:p>
      <w:pPr>
        <w:pStyle w:val="ListBullet"/>
      </w:pPr>
      <w:r>
        <w:rPr>
          <w:b w:val="0"/>
        </w:rPr>
        <w:t>Назначение зоны — ref_zone.zone_type_id: ЗонаХранения и Склад это хранение, БуферРазмещения и ПеремещениеCПриемки — размещение, ПоступлениеТовара — приёмка, Разгрузка — разгрузка. По названию зоны определять нельзя (см. ниже).</w:t>
      </w:r>
    </w:p>
    <w:p>
      <w:pPr>
        <w:pStyle w:val="ListBullet"/>
      </w:pPr>
      <w:r>
        <w:rPr>
          <w:b w:val="0"/>
        </w:rPr>
        <w:t>Возраст товара — журнал движений tab_movement_product по паре «SKU + ячейка» и строки приёмки tab_purchase_product по паре «SKU + ячейка приёмки». Берём то событие, которое случилось позже: это и есть момент, когда товар оказался там, где лежит сейчас.</w:t>
      </w:r>
    </w:p>
    <w:p>
      <w:pPr>
        <w:pStyle w:val="ListBullet"/>
      </w:pPr>
      <w:r>
        <w:rPr>
          <w:b w:val="0"/>
        </w:rPr>
        <w:t>Периметр — дерево зон от корня ДОМОДЕДОВО. Имя зоны само по себе ничего не значит: «003 ХРАНЕНИЕ Д» встречается и на других складах.</w:t>
      </w:r>
    </w:p>
    <w:p>
      <w:pPr/>
      <w:r>
        <w:rPr>
          <w:b/>
          <w:sz w:val="26"/>
        </w:rPr>
        <w:t>Что пришлось починить по дороге</w:t>
      </w:r>
    </w:p>
    <w:p>
      <w:pPr/>
      <w:r>
        <w:rPr>
          <w:b w:val="0"/>
        </w:rPr>
        <w:t>Назначение зоны сначала определялось по её названию — искали «ХРАНЕНИ», «ПРИЕМК» и так далее. Оказалось, что основное хранение в Домодедове называется «(А) Верха», «(Д) М3», «(Е) М5» и ни под одну маску не попадает. В результате 652 зоны на 549 676 мест и 20,9 млн штук считались «прочим» и в светофор не входили вовсе: места хранения считались по четырнадцати зонам вместо ста девяноста одной.</w:t>
      </w:r>
    </w:p>
    <w:p>
      <w:pPr/>
      <w:r>
        <w:rPr>
          <w:b w:val="0"/>
        </w:rPr>
        <w:t>Цвет сектора брался по худшей его зоне. Служебная зона на 243 места уходила в красный и красила весь сектор, где мест десятки тысяч. Теперь цвет считается по местам хранения сектора целиком, а служебные зоны в расчёт не идут.</w:t>
      </w:r>
    </w:p>
    <w:p>
      <w:pPr/>
      <w:r>
        <w:rPr>
          <w:b w:val="0"/>
        </w:rPr>
        <w:t>Акт приёмки как точку отсчёта возраста пришлось отбросить: acceptance_act_id заполнен у 7% остатков и в зонах приёмки пуст полностью.</w:t>
      </w:r>
    </w:p>
    <w:p>
      <w:pPr/>
      <w:r>
        <w:rPr>
          <w:b/>
          <w:sz w:val="26"/>
        </w:rPr>
        <w:t>Как устроен светофор</w:t>
      </w:r>
    </w:p>
    <w:p>
      <w:pPr/>
      <w:r>
        <w:rPr>
          <w:b w:val="0"/>
        </w:rPr>
        <w:t>Цвет сектора складывается из двух независимых поводов. По местам: доля занятых мест хранения по порогам Карташева. По времени: доля штук старше 48 часов — если больше половины, сектор красный независимо от того, сколько у него свободных мест; если больше четверти, жёлтый. Второй повод важнее первого именно потому, что занятость на приёмке врёт.</w:t>
      </w:r>
    </w:p>
    <w:p>
      <w:pPr/>
      <w:r>
        <w:rPr>
          <w:b w:val="0"/>
        </w:rPr>
        <w:t>На карте входа цвет узла зависит от того, что зону характеризует: у приёмки и разгрузки — время, у мест хранения — занятость. Это разные шкалы, и путать их нельзя: сектор может быть красным по местам и зелёным по времени.</w:t>
      </w:r>
    </w:p>
    <w:p>
      <w:pPr/>
      <w:r>
        <w:rPr>
          <w:b/>
          <w:sz w:val="26"/>
        </w:rPr>
        <w:t>Что показал монитор</w:t>
      </w:r>
    </w:p>
    <w:p>
      <w:pPr/>
      <w:r>
        <w:rPr>
          <w:b w:val="0"/>
        </w:rPr>
        <w:t>На 18 сентября склад не упирается в места: занято 360 238 мест хранения из 573 087, то есть 62,9%. Красных секторов восемь по местам и десять по времени.</w:t>
      </w:r>
    </w:p>
    <w:p>
      <w:pPr>
        <w:pStyle w:val="ListBullet"/>
      </w:pPr>
      <w:r>
        <w:rPr>
          <w:b w:val="0"/>
        </w:rPr>
        <w:t>Товар в зонах входа: 1 447 штук моложе суток, 2 287 в возрасте 24–48 часов и 81 567 штук старше 48 часов. То есть SLA нарушен по подавляющей части входящего потока, а не по хвосту.</w:t>
      </w:r>
    </w:p>
    <w:p>
      <w:pPr>
        <w:pStyle w:val="ListBullet"/>
      </w:pPr>
      <w:r>
        <w:rPr>
          <w:b w:val="0"/>
        </w:rPr>
        <w:t>Худшие по времени: сектор Д — 13 089 штук за SLA (86,7%), сектор В — 12 316 (86,5%), сектор Ж — 7 202 (85,8%). Самому старому товару около 1 450 часов, это два месяца.</w:t>
      </w:r>
    </w:p>
    <w:p>
      <w:pPr>
        <w:pStyle w:val="ListBullet"/>
      </w:pPr>
      <w:r>
        <w:rPr>
          <w:b w:val="0"/>
        </w:rPr>
        <w:t>Худшие по местам: сектор Ж — 89,4% мест хранения занято, В — 82,7%, Д — 75,7%.</w:t>
      </w:r>
    </w:p>
    <w:p>
      <w:pPr/>
      <w:r>
        <w:rPr>
          <w:b w:val="0"/>
        </w:rPr>
        <w:t>Вывод из этого один: узкое место склада не «некуда положить», а «не разобрано». Приёмка держит десятки тысяч штук неделями, при том что места на хранении есть.</w:t>
      </w:r>
    </w:p>
    <w:p>
      <w:pPr/>
      <w:r>
        <w:rPr>
          <w:b/>
          <w:sz w:val="26"/>
        </w:rPr>
        <w:t>Границы точности</w:t>
      </w:r>
    </w:p>
    <w:p>
      <w:pPr>
        <w:pStyle w:val="ListBullet"/>
      </w:pPr>
      <w:r>
        <w:rPr>
          <w:b w:val="0"/>
        </w:rPr>
        <w:t>45 221 штука в зонах входа не имеет следа прихода: ни движения в ячейку, ни строки приёмки за 60 дней. Для них возраст неизвестен, и в корзины SLA они не попадают. Значит 81 567 штук за SLA — оценка снизу, реально хуже.</w:t>
      </w:r>
    </w:p>
    <w:p>
      <w:pPr>
        <w:pStyle w:val="ListBullet"/>
      </w:pPr>
      <w:r>
        <w:rPr>
          <w:b w:val="0"/>
        </w:rPr>
        <w:t>Товар, который физически стоит в проездах и на полу, в системе не числится нигде. Монитор его не видит по определению — это ограничение данных, а не расчёта.</w:t>
      </w:r>
    </w:p>
    <w:p>
      <w:pPr>
        <w:pStyle w:val="ListBullet"/>
      </w:pPr>
      <w:r>
        <w:rPr>
          <w:b w:val="0"/>
        </w:rPr>
        <w:t>Нет баланса потока «принято минус размещено за сутки» — по этой паре в журнале движений нет индекса, запрос не укладывается в десять минут даже на суточном окне. Это же мешает построить потоки между зонами на карте.</w:t>
      </w:r>
    </w:p>
    <w:p>
      <w:pPr>
        <w:pStyle w:val="ListBullet"/>
      </w:pPr>
      <w:r>
        <w:rPr>
          <w:b w:val="0"/>
        </w:rPr>
        <w:t>Очередь незакрытых заданий на размещение считается, но показывает не текущую пробку, а зависший хвост из десятков старых заданий, поэтому в монитор пока не выведена.</w:t>
      </w:r>
    </w:p>
    <w:p>
      <w:pPr/>
      <w:r>
        <w:rPr>
          <w:b/>
          <w:sz w:val="26"/>
        </w:rPr>
        <w:t>Что с этим делать</w:t>
      </w:r>
    </w:p>
    <w:p>
      <w:pPr/>
      <w:r>
        <w:rPr>
          <w:b w:val="0"/>
        </w:rPr>
        <w:t>Первое — индекс по tab_movement_product под пару «ячейка-источник → ячейка-получатель». Он закрывает сразу три дыры: баланс потока, потоки на карте и разбор товара без следа. Это запрос к Тебекину, своими силами не решается.</w:t>
      </w:r>
    </w:p>
    <w:p>
      <w:pPr/>
      <w:r>
        <w:rPr>
          <w:b w:val="0"/>
        </w:rPr>
        <w:t>Второе — понять, что за 45 тысяч штук лежат без следа прихода. Если это старый неразобранный товар, цифра нарушений SLA вырастет вдвое, и разговор про приёмку меняется качественно.</w:t>
      </w:r>
    </w:p>
    <w:p>
      <w:pPr/>
      <w:r>
        <w:rPr>
          <w:b w:val="0"/>
        </w:rPr>
        <w:t>Третье — негабарит. В ТЗ он значится отдельным классом светофора, но в WMS пока не найдено, чем отличать ячейку негабарита; уточняется у Тебекина А.</w:t>
      </w:r>
    </w:p>
    <w:p>
      <w:pPr/>
      <w:r>
        <w:rPr>
          <w:b/>
          <w:sz w:val="26"/>
        </w:rPr>
        <w:t>Где смотреть</w:t>
      </w:r>
    </w:p>
    <w:p>
      <w:pPr/>
      <w:r>
        <w:rPr>
          <w:b w:val="0"/>
        </w:rPr>
        <w:t>Сайт «Уценка», раздел «Приёмка ДМД». Сверху четыре плитки: сколько секторов без мест, сколько на пределе, худший сектор и общая занятость мест хранения. Ниже карта входа: колонка — этап пути товара, кружок — зона, размер по штукам, цвет по светофору. Клик по зоне открывает разбор справа, кнопки секторов над картой сужают её до одного сектора. В самом низу таблица секторов с разворачиванием до зон.</w:t>
      </w:r>
    </w:p>
    <w:p>
      <w:pPr/>
      <w:r>
        <w:rPr>
          <w:b w:val="0"/>
        </w:rPr>
        <w:t>Данные пересчитываются по расписанию таймером ucenka-priyomka, время последнего обновления показано в шапке страницы.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