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BEVOAC</w:t>
      </w:r>
    </w:p>
    <w:p>
      <w:pPr>
        <w:pStyle w:val="Title"/>
        <w:jc w:val="center"/>
      </w:pPr>
      <w:r>
        <w:t>V6.1.3 Enterprise Release &amp; Deployment Guide</w:t>
      </w:r>
    </w:p>
    <w:p>
      <w:pPr>
        <w:jc w:val="center"/>
      </w:pPr>
      <w:r>
        <w:rPr>
          <w:color w:val="386078"/>
          <w:sz w:val="30"/>
        </w:rPr>
        <w:t>Runtime identity rollout, PostgreSQL RLS, CI gates and multi-cloud foundation</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F5F"/>
            <w:vAlign w:val="center"/>
          </w:tcPr>
          <w:p>
            <w:r>
              <w:rPr>
                <w:b/>
              </w:rPr>
            </w:r>
            <w:r>
              <w:rPr>
                <w:rFonts w:ascii="Aptos" w:hAnsi="Aptos"/>
                <w:b/>
                <w:color w:val="FFFFFF"/>
                <w:sz w:val="16"/>
              </w:rPr>
              <w:t>Field</w:t>
            </w:r>
          </w:p>
        </w:tc>
        <w:tc>
          <w:tcPr>
            <w:tcW w:type="dxa" w:w="7488"/>
            <w:shd w:fill="173F5F"/>
            <w:vAlign w:val="center"/>
          </w:tcPr>
          <w:p>
            <w:r>
              <w:rPr>
                <w:b/>
              </w:rPr>
            </w:r>
            <w:r>
              <w:rPr>
                <w:rFonts w:ascii="Aptos" w:hAnsi="Aptos"/>
                <w:b/>
                <w:color w:val="FFFFFF"/>
                <w:sz w:val="16"/>
              </w:rPr>
              <w:t>Value</w:t>
            </w:r>
          </w:p>
        </w:tc>
      </w:tr>
      <w:tr>
        <w:tc>
          <w:tcPr>
            <w:tcW w:type="dxa" w:w="2304"/>
            <w:vAlign w:val="center"/>
          </w:tcPr>
          <w:p>
            <w:r/>
            <w:r>
              <w:rPr>
                <w:rFonts w:ascii="Aptos" w:hAnsi="Aptos"/>
                <w:b w:val="0"/>
                <w:sz w:val="16"/>
              </w:rPr>
              <w:t>Release</w:t>
            </w:r>
          </w:p>
        </w:tc>
        <w:tc>
          <w:tcPr>
            <w:tcW w:type="dxa" w:w="7488"/>
            <w:vAlign w:val="center"/>
          </w:tcPr>
          <w:p>
            <w:r/>
            <w:r>
              <w:rPr>
                <w:rFonts w:ascii="Aptos" w:hAnsi="Aptos"/>
                <w:b w:val="0"/>
                <w:sz w:val="16"/>
              </w:rPr>
              <w:t>6.1.3-production-ready</w:t>
            </w:r>
          </w:p>
        </w:tc>
      </w:tr>
      <w:tr>
        <w:tc>
          <w:tcPr>
            <w:tcW w:type="dxa" w:w="2304"/>
            <w:vAlign w:val="center"/>
          </w:tcPr>
          <w:p>
            <w:r/>
            <w:r>
              <w:rPr>
                <w:rFonts w:ascii="Aptos" w:hAnsi="Aptos"/>
                <w:b w:val="0"/>
                <w:sz w:val="16"/>
              </w:rPr>
              <w:t>Target source</w:t>
            </w:r>
          </w:p>
        </w:tc>
        <w:tc>
          <w:tcPr>
            <w:tcW w:type="dxa" w:w="7488"/>
            <w:vAlign w:val="center"/>
          </w:tcPr>
          <w:p>
            <w:r/>
            <w:r>
              <w:rPr>
                <w:rFonts w:ascii="Aptos" w:hAnsi="Aptos"/>
                <w:b w:val="0"/>
                <w:sz w:val="16"/>
              </w:rPr>
              <w:t>Commit d542684381c0120f6b9e95e02bc97c1cce355712</w:t>
            </w:r>
          </w:p>
        </w:tc>
      </w:tr>
      <w:tr>
        <w:tc>
          <w:tcPr>
            <w:tcW w:type="dxa" w:w="2304"/>
            <w:vAlign w:val="center"/>
          </w:tcPr>
          <w:p>
            <w:r/>
            <w:r>
              <w:rPr>
                <w:rFonts w:ascii="Aptos" w:hAnsi="Aptos"/>
                <w:b w:val="0"/>
                <w:sz w:val="16"/>
              </w:rPr>
              <w:t>Audience</w:t>
            </w:r>
          </w:p>
        </w:tc>
        <w:tc>
          <w:tcPr>
            <w:tcW w:type="dxa" w:w="7488"/>
            <w:vAlign w:val="center"/>
          </w:tcPr>
          <w:p>
            <w:r/>
            <w:r>
              <w:rPr>
                <w:rFonts w:ascii="Aptos" w:hAnsi="Aptos"/>
                <w:b w:val="0"/>
                <w:sz w:val="16"/>
              </w:rPr>
              <w:t>CTO, RSSI, cloud architect, platform engineering, operations</w:t>
            </w:r>
          </w:p>
        </w:tc>
      </w:tr>
      <w:tr>
        <w:tc>
          <w:tcPr>
            <w:tcW w:type="dxa" w:w="2304"/>
            <w:vAlign w:val="center"/>
          </w:tcPr>
          <w:p>
            <w:r/>
            <w:r>
              <w:rPr>
                <w:rFonts w:ascii="Aptos" w:hAnsi="Aptos"/>
                <w:b w:val="0"/>
                <w:sz w:val="16"/>
              </w:rPr>
              <w:t>Public contract</w:t>
            </w:r>
          </w:p>
        </w:tc>
        <w:tc>
          <w:tcPr>
            <w:tcW w:type="dxa" w:w="7488"/>
            <w:vAlign w:val="center"/>
          </w:tcPr>
          <w:p>
            <w:r/>
            <w:r>
              <w:rPr>
                <w:rFonts w:ascii="Aptos" w:hAnsi="Aptos"/>
                <w:b w:val="0"/>
                <w:sz w:val="16"/>
              </w:rPr>
              <w:t>Unchanged from V6.1.2</w:t>
            </w:r>
          </w:p>
        </w:tc>
      </w:tr>
      <w:tr>
        <w:tc>
          <w:tcPr>
            <w:tcW w:type="dxa" w:w="2304"/>
            <w:vAlign w:val="center"/>
          </w:tcPr>
          <w:p>
            <w:r/>
            <w:r>
              <w:rPr>
                <w:rFonts w:ascii="Aptos" w:hAnsi="Aptos"/>
                <w:b w:val="0"/>
                <w:sz w:val="16"/>
              </w:rPr>
              <w:t>Primary change</w:t>
            </w:r>
          </w:p>
        </w:tc>
        <w:tc>
          <w:tcPr>
            <w:tcW w:type="dxa" w:w="7488"/>
            <w:vAlign w:val="center"/>
          </w:tcPr>
          <w:p>
            <w:r/>
            <w:r>
              <w:rPr>
                <w:rFonts w:ascii="Aptos" w:hAnsi="Aptos"/>
                <w:b w:val="0"/>
                <w:sz w:val="16"/>
              </w:rPr>
              <w:t>Deploy dedicated PostgreSQL users and managed identities per runtime</w:t>
            </w:r>
          </w:p>
        </w:tc>
      </w:tr>
      <w:tr>
        <w:tc>
          <w:tcPr>
            <w:tcW w:type="dxa" w:w="2304"/>
            <w:vAlign w:val="center"/>
          </w:tcPr>
          <w:p>
            <w:r/>
            <w:r>
              <w:rPr>
                <w:rFonts w:ascii="Aptos" w:hAnsi="Aptos"/>
                <w:b w:val="0"/>
                <w:sz w:val="16"/>
              </w:rPr>
              <w:t>Next product initiative</w:t>
            </w:r>
          </w:p>
        </w:tc>
        <w:tc>
          <w:tcPr>
            <w:tcW w:type="dxa" w:w="7488"/>
            <w:vAlign w:val="center"/>
          </w:tcPr>
          <w:p>
            <w:r/>
            <w:r>
              <w:rPr>
                <w:rFonts w:ascii="Aptos" w:hAnsi="Aptos"/>
                <w:b w:val="0"/>
                <w:sz w:val="16"/>
              </w:rPr>
              <w:t>AWS provider implementation behind the multi-cloud adapter boundary</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F2CC"/>
            <w:vAlign w:val="center"/>
          </w:tcPr>
          <w:p>
            <w:r>
              <w:rPr>
                <w:b/>
                <w:color w:val="143D5C"/>
              </w:rPr>
              <w:t xml:space="preserve">Important  </w:t>
            </w:r>
            <w:r>
              <w:rPr>
                <w:b/>
              </w:rPr>
              <w:t>This package is designed so no manual source edit is required. Enterprise readiness becomes effective only after the deployment and acceptance gates in this guide have passed and evidence has been archived.</w:t>
            </w:r>
          </w:p>
        </w:tc>
      </w:tr>
    </w:tbl>
    <w:p/>
    <w:p>
      <w:r>
        <w:br w:type="page"/>
      </w:r>
    </w:p>
    <w:p>
      <w:pPr>
        <w:pStyle w:val="Heading1"/>
      </w:pPr>
      <w:r>
        <w:t>1. Executive decision</w:t>
      </w:r>
    </w:p>
    <w:p>
      <w:r>
        <w:t>V6.1.3 converts the security model already validated on PostgreSQL 16 into a deployable, staged Azure release. The public API, worker, outbox, retention and administration runtime stop sharing the PostgreSQL administration login. The release adds reproducible PostgreSQL/application gates and a provider adapter boundary for the next AWS/GCP initiative. The rollout is deliberately split into a workload migration and a later security finalization so that rollback remains possible.</w:t>
      </w:r>
    </w:p>
    <w:p>
      <w:pPr>
        <w:pStyle w:val="Heading1"/>
      </w:pPr>
      <w:r>
        <w:t>2. What is already proven</w:t>
      </w:r>
    </w:p>
    <w:p>
      <w:r>
        <w:t>The V6.1.2 code baseline removed app.service_context, passed 44 API tests and 5 worker tests, and validated eight migrations, six runtime logins, 15 forced-RLS tables, 29 policies and 58 unit privileges on a disposable PostgreSQL 16.14 instance.</w:t>
      </w:r>
    </w:p>
    <w:p>
      <w:pPr>
        <w:pStyle w:val="Heading1"/>
      </w:pPr>
      <w:r>
        <w:t>3. What V6.1.3 changes</w:t>
      </w:r>
    </w:p>
    <w:p>
      <w:r>
        <w:t>V6.1.3 does not rewrite the scan engine or the public contract. It changes the deployment boundary: every workload receives its own managed identity, Key Vault secret and PostgreSQL login; the administration API becomes an isolated internal runtime; CI replays the real PostgreSQL security model; the multi-cloud contract is versioned but AWS and GCP remain disabled.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shd w:fill="173F5F"/>
            <w:vAlign w:val="center"/>
          </w:tcPr>
          <w:p>
            <w:r>
              <w:rPr>
                <w:b/>
              </w:rPr>
            </w:r>
            <w:r>
              <w:rPr>
                <w:rFonts w:ascii="Aptos" w:hAnsi="Aptos"/>
                <w:b/>
                <w:color w:val="FFFFFF"/>
                <w:sz w:val="16"/>
              </w:rPr>
              <w:t>Workload</w:t>
            </w:r>
          </w:p>
        </w:tc>
        <w:tc>
          <w:tcPr>
            <w:tcW w:type="dxa" w:w="1440"/>
            <w:shd w:fill="173F5F"/>
            <w:vAlign w:val="center"/>
          </w:tcPr>
          <w:p>
            <w:r>
              <w:rPr>
                <w:b/>
              </w:rPr>
            </w:r>
            <w:r>
              <w:rPr>
                <w:rFonts w:ascii="Aptos" w:hAnsi="Aptos"/>
                <w:b/>
                <w:color w:val="FFFFFF"/>
                <w:sz w:val="16"/>
              </w:rPr>
              <w:t>Runtime mode</w:t>
            </w:r>
          </w:p>
        </w:tc>
        <w:tc>
          <w:tcPr>
            <w:tcW w:type="dxa" w:w="1728"/>
            <w:shd w:fill="173F5F"/>
            <w:vAlign w:val="center"/>
          </w:tcPr>
          <w:p>
            <w:r>
              <w:rPr>
                <w:b/>
              </w:rPr>
            </w:r>
            <w:r>
              <w:rPr>
                <w:rFonts w:ascii="Aptos" w:hAnsi="Aptos"/>
                <w:b/>
                <w:color w:val="FFFFFF"/>
                <w:sz w:val="16"/>
              </w:rPr>
              <w:t>PostgreSQL user</w:t>
            </w:r>
          </w:p>
        </w:tc>
        <w:tc>
          <w:tcPr>
            <w:tcW w:type="dxa" w:w="2016"/>
            <w:shd w:fill="173F5F"/>
            <w:vAlign w:val="center"/>
          </w:tcPr>
          <w:p>
            <w:r>
              <w:rPr>
                <w:b/>
              </w:rPr>
            </w:r>
            <w:r>
              <w:rPr>
                <w:rFonts w:ascii="Aptos" w:hAnsi="Aptos"/>
                <w:b/>
                <w:color w:val="FFFFFF"/>
                <w:sz w:val="16"/>
              </w:rPr>
              <w:t>Key Vault secret</w:t>
            </w:r>
          </w:p>
        </w:tc>
        <w:tc>
          <w:tcPr>
            <w:tcW w:type="dxa" w:w="2880"/>
            <w:shd w:fill="173F5F"/>
            <w:vAlign w:val="center"/>
          </w:tcPr>
          <w:p>
            <w:r>
              <w:rPr>
                <w:b/>
              </w:rPr>
            </w:r>
            <w:r>
              <w:rPr>
                <w:rFonts w:ascii="Aptos" w:hAnsi="Aptos"/>
                <w:b/>
                <w:color w:val="FFFFFF"/>
                <w:sz w:val="16"/>
              </w:rPr>
              <w:t>Service Bus</w:t>
            </w:r>
          </w:p>
        </w:tc>
      </w:tr>
      <w:tr>
        <w:tc>
          <w:tcPr>
            <w:tcW w:type="dxa" w:w="1440"/>
            <w:vAlign w:val="center"/>
          </w:tcPr>
          <w:p>
            <w:r/>
            <w:r>
              <w:rPr>
                <w:rFonts w:ascii="Aptos" w:hAnsi="Aptos"/>
                <w:b w:val="0"/>
                <w:sz w:val="16"/>
              </w:rPr>
              <w:t>Public API</w:t>
            </w:r>
          </w:p>
        </w:tc>
        <w:tc>
          <w:tcPr>
            <w:tcW w:type="dxa" w:w="1440"/>
            <w:vAlign w:val="center"/>
          </w:tcPr>
          <w:p>
            <w:r/>
            <w:r>
              <w:rPr>
                <w:rFonts w:ascii="Aptos" w:hAnsi="Aptos"/>
                <w:b w:val="0"/>
                <w:sz w:val="16"/>
              </w:rPr>
              <w:t>public_api</w:t>
            </w:r>
          </w:p>
        </w:tc>
        <w:tc>
          <w:tcPr>
            <w:tcW w:type="dxa" w:w="1728"/>
            <w:vAlign w:val="center"/>
          </w:tcPr>
          <w:p>
            <w:r/>
            <w:r>
              <w:rPr>
                <w:rFonts w:ascii="Aptos" w:hAnsi="Aptos"/>
                <w:b w:val="0"/>
                <w:sz w:val="16"/>
              </w:rPr>
              <w:t>bevoac_api</w:t>
            </w:r>
          </w:p>
        </w:tc>
        <w:tc>
          <w:tcPr>
            <w:tcW w:type="dxa" w:w="2016"/>
            <w:vAlign w:val="center"/>
          </w:tcPr>
          <w:p>
            <w:r/>
            <w:r>
              <w:rPr>
                <w:rFonts w:ascii="Aptos" w:hAnsi="Aptos"/>
                <w:b w:val="0"/>
                <w:sz w:val="16"/>
              </w:rPr>
              <w:t>pg-api-password</w:t>
            </w:r>
          </w:p>
        </w:tc>
        <w:tc>
          <w:tcPr>
            <w:tcW w:type="dxa" w:w="2880"/>
            <w:vAlign w:val="center"/>
          </w:tcPr>
          <w:p>
            <w:r/>
            <w:r>
              <w:rPr>
                <w:rFonts w:ascii="Aptos" w:hAnsi="Aptos"/>
                <w:b w:val="0"/>
                <w:sz w:val="16"/>
              </w:rPr>
              <w:t>None when dedicated outbox is enabled</w:t>
            </w:r>
          </w:p>
        </w:tc>
      </w:tr>
      <w:tr>
        <w:tc>
          <w:tcPr>
            <w:tcW w:type="dxa" w:w="1440"/>
            <w:vAlign w:val="center"/>
          </w:tcPr>
          <w:p>
            <w:r/>
            <w:r>
              <w:rPr>
                <w:rFonts w:ascii="Aptos" w:hAnsi="Aptos"/>
                <w:b w:val="0"/>
                <w:sz w:val="16"/>
              </w:rPr>
              <w:t>Worker</w:t>
            </w:r>
          </w:p>
        </w:tc>
        <w:tc>
          <w:tcPr>
            <w:tcW w:type="dxa" w:w="1440"/>
            <w:vAlign w:val="center"/>
          </w:tcPr>
          <w:p>
            <w:r/>
            <w:r>
              <w:rPr>
                <w:rFonts w:ascii="Aptos" w:hAnsi="Aptos"/>
                <w:b w:val="0"/>
                <w:sz w:val="16"/>
              </w:rPr>
              <w:t>worker entry point</w:t>
            </w:r>
          </w:p>
        </w:tc>
        <w:tc>
          <w:tcPr>
            <w:tcW w:type="dxa" w:w="1728"/>
            <w:vAlign w:val="center"/>
          </w:tcPr>
          <w:p>
            <w:r/>
            <w:r>
              <w:rPr>
                <w:rFonts w:ascii="Aptos" w:hAnsi="Aptos"/>
                <w:b w:val="0"/>
                <w:sz w:val="16"/>
              </w:rPr>
              <w:t>bevoac_worker</w:t>
            </w:r>
          </w:p>
        </w:tc>
        <w:tc>
          <w:tcPr>
            <w:tcW w:type="dxa" w:w="2016"/>
            <w:vAlign w:val="center"/>
          </w:tcPr>
          <w:p>
            <w:r/>
            <w:r>
              <w:rPr>
                <w:rFonts w:ascii="Aptos" w:hAnsi="Aptos"/>
                <w:b w:val="0"/>
                <w:sz w:val="16"/>
              </w:rPr>
              <w:t>pg-worker-password</w:t>
            </w:r>
          </w:p>
        </w:tc>
        <w:tc>
          <w:tcPr>
            <w:tcW w:type="dxa" w:w="2880"/>
            <w:vAlign w:val="center"/>
          </w:tcPr>
          <w:p>
            <w:r/>
            <w:r>
              <w:rPr>
                <w:rFonts w:ascii="Aptos" w:hAnsi="Aptos"/>
                <w:b w:val="0"/>
                <w:sz w:val="16"/>
              </w:rPr>
              <w:t>Receiver by managed identity</w:t>
            </w:r>
          </w:p>
        </w:tc>
      </w:tr>
      <w:tr>
        <w:tc>
          <w:tcPr>
            <w:tcW w:type="dxa" w:w="1440"/>
            <w:vAlign w:val="center"/>
          </w:tcPr>
          <w:p>
            <w:r/>
            <w:r>
              <w:rPr>
                <w:rFonts w:ascii="Aptos" w:hAnsi="Aptos"/>
                <w:b w:val="0"/>
                <w:sz w:val="16"/>
              </w:rPr>
              <w:t>Outbox</w:t>
            </w:r>
          </w:p>
        </w:tc>
        <w:tc>
          <w:tcPr>
            <w:tcW w:type="dxa" w:w="1440"/>
            <w:vAlign w:val="center"/>
          </w:tcPr>
          <w:p>
            <w:r/>
            <w:r>
              <w:rPr>
                <w:rFonts w:ascii="Aptos" w:hAnsi="Aptos"/>
                <w:b w:val="0"/>
                <w:sz w:val="16"/>
              </w:rPr>
              <w:t>outbox</w:t>
            </w:r>
          </w:p>
        </w:tc>
        <w:tc>
          <w:tcPr>
            <w:tcW w:type="dxa" w:w="1728"/>
            <w:vAlign w:val="center"/>
          </w:tcPr>
          <w:p>
            <w:r/>
            <w:r>
              <w:rPr>
                <w:rFonts w:ascii="Aptos" w:hAnsi="Aptos"/>
                <w:b w:val="0"/>
                <w:sz w:val="16"/>
              </w:rPr>
              <w:t>bevoac_outbox</w:t>
            </w:r>
          </w:p>
        </w:tc>
        <w:tc>
          <w:tcPr>
            <w:tcW w:type="dxa" w:w="2016"/>
            <w:vAlign w:val="center"/>
          </w:tcPr>
          <w:p>
            <w:r/>
            <w:r>
              <w:rPr>
                <w:rFonts w:ascii="Aptos" w:hAnsi="Aptos"/>
                <w:b w:val="0"/>
                <w:sz w:val="16"/>
              </w:rPr>
              <w:t>pg-outbox-password</w:t>
            </w:r>
          </w:p>
        </w:tc>
        <w:tc>
          <w:tcPr>
            <w:tcW w:type="dxa" w:w="2880"/>
            <w:vAlign w:val="center"/>
          </w:tcPr>
          <w:p>
            <w:r/>
            <w:r>
              <w:rPr>
                <w:rFonts w:ascii="Aptos" w:hAnsi="Aptos"/>
                <w:b w:val="0"/>
                <w:sz w:val="16"/>
              </w:rPr>
              <w:t>Sender by managed identity</w:t>
            </w:r>
          </w:p>
        </w:tc>
      </w:tr>
      <w:tr>
        <w:tc>
          <w:tcPr>
            <w:tcW w:type="dxa" w:w="1440"/>
            <w:vAlign w:val="center"/>
          </w:tcPr>
          <w:p>
            <w:r/>
            <w:r>
              <w:rPr>
                <w:rFonts w:ascii="Aptos" w:hAnsi="Aptos"/>
                <w:b w:val="0"/>
                <w:sz w:val="16"/>
              </w:rPr>
              <w:t>Retention</w:t>
            </w:r>
          </w:p>
        </w:tc>
        <w:tc>
          <w:tcPr>
            <w:tcW w:type="dxa" w:w="1440"/>
            <w:vAlign w:val="center"/>
          </w:tcPr>
          <w:p>
            <w:r/>
            <w:r>
              <w:rPr>
                <w:rFonts w:ascii="Aptos" w:hAnsi="Aptos"/>
                <w:b w:val="0"/>
                <w:sz w:val="16"/>
              </w:rPr>
              <w:t>retention</w:t>
            </w:r>
          </w:p>
        </w:tc>
        <w:tc>
          <w:tcPr>
            <w:tcW w:type="dxa" w:w="1728"/>
            <w:vAlign w:val="center"/>
          </w:tcPr>
          <w:p>
            <w:r/>
            <w:r>
              <w:rPr>
                <w:rFonts w:ascii="Aptos" w:hAnsi="Aptos"/>
                <w:b w:val="0"/>
                <w:sz w:val="16"/>
              </w:rPr>
              <w:t>bevoac_retention</w:t>
            </w:r>
          </w:p>
        </w:tc>
        <w:tc>
          <w:tcPr>
            <w:tcW w:type="dxa" w:w="2016"/>
            <w:vAlign w:val="center"/>
          </w:tcPr>
          <w:p>
            <w:r/>
            <w:r>
              <w:rPr>
                <w:rFonts w:ascii="Aptos" w:hAnsi="Aptos"/>
                <w:b w:val="0"/>
                <w:sz w:val="16"/>
              </w:rPr>
              <w:t>pg-retention-password</w:t>
            </w:r>
          </w:p>
        </w:tc>
        <w:tc>
          <w:tcPr>
            <w:tcW w:type="dxa" w:w="2880"/>
            <w:vAlign w:val="center"/>
          </w:tcPr>
          <w:p>
            <w:r/>
            <w:r>
              <w:rPr>
                <w:rFonts w:ascii="Aptos" w:hAnsi="Aptos"/>
                <w:b w:val="0"/>
                <w:sz w:val="16"/>
              </w:rPr>
              <w:t>None</w:t>
            </w:r>
          </w:p>
        </w:tc>
      </w:tr>
      <w:tr>
        <w:tc>
          <w:tcPr>
            <w:tcW w:type="dxa" w:w="1440"/>
            <w:vAlign w:val="center"/>
          </w:tcPr>
          <w:p>
            <w:r/>
            <w:r>
              <w:rPr>
                <w:rFonts w:ascii="Aptos" w:hAnsi="Aptos"/>
                <w:b w:val="0"/>
                <w:sz w:val="16"/>
              </w:rPr>
              <w:t>Admin API</w:t>
            </w:r>
          </w:p>
        </w:tc>
        <w:tc>
          <w:tcPr>
            <w:tcW w:type="dxa" w:w="1440"/>
            <w:vAlign w:val="center"/>
          </w:tcPr>
          <w:p>
            <w:r/>
            <w:r>
              <w:rPr>
                <w:rFonts w:ascii="Aptos" w:hAnsi="Aptos"/>
                <w:b w:val="0"/>
                <w:sz w:val="16"/>
              </w:rPr>
              <w:t>admin_api</w:t>
            </w:r>
          </w:p>
        </w:tc>
        <w:tc>
          <w:tcPr>
            <w:tcW w:type="dxa" w:w="1728"/>
            <w:vAlign w:val="center"/>
          </w:tcPr>
          <w:p>
            <w:r/>
            <w:r>
              <w:rPr>
                <w:rFonts w:ascii="Aptos" w:hAnsi="Aptos"/>
                <w:b w:val="0"/>
                <w:sz w:val="16"/>
              </w:rPr>
              <w:t>bevoac_admin_api</w:t>
            </w:r>
          </w:p>
        </w:tc>
        <w:tc>
          <w:tcPr>
            <w:tcW w:type="dxa" w:w="2016"/>
            <w:vAlign w:val="center"/>
          </w:tcPr>
          <w:p>
            <w:r/>
            <w:r>
              <w:rPr>
                <w:rFonts w:ascii="Aptos" w:hAnsi="Aptos"/>
                <w:b w:val="0"/>
                <w:sz w:val="16"/>
              </w:rPr>
              <w:t>pg-admin-api-password</w:t>
            </w:r>
          </w:p>
        </w:tc>
        <w:tc>
          <w:tcPr>
            <w:tcW w:type="dxa" w:w="2880"/>
            <w:vAlign w:val="center"/>
          </w:tcPr>
          <w:p>
            <w:r/>
            <w:r>
              <w:rPr>
                <w:rFonts w:ascii="Aptos" w:hAnsi="Aptos"/>
                <w:b w:val="0"/>
                <w:sz w:val="16"/>
              </w:rPr>
              <w:t>None</w:t>
            </w:r>
          </w:p>
        </w:tc>
      </w:tr>
      <w:tr>
        <w:tc>
          <w:tcPr>
            <w:tcW w:type="dxa" w:w="1440"/>
            <w:vAlign w:val="center"/>
          </w:tcPr>
          <w:p>
            <w:r/>
            <w:r>
              <w:rPr>
                <w:rFonts w:ascii="Aptos" w:hAnsi="Aptos"/>
                <w:b w:val="0"/>
                <w:sz w:val="16"/>
              </w:rPr>
              <w:t>Operator/migrations</w:t>
            </w:r>
          </w:p>
        </w:tc>
        <w:tc>
          <w:tcPr>
            <w:tcW w:type="dxa" w:w="1440"/>
            <w:vAlign w:val="center"/>
          </w:tcPr>
          <w:p>
            <w:r/>
            <w:r>
              <w:rPr>
                <w:rFonts w:ascii="Aptos" w:hAnsi="Aptos"/>
                <w:b w:val="0"/>
                <w:sz w:val="16"/>
              </w:rPr>
              <w:t>CLI only</w:t>
            </w:r>
          </w:p>
        </w:tc>
        <w:tc>
          <w:tcPr>
            <w:tcW w:type="dxa" w:w="1728"/>
            <w:vAlign w:val="center"/>
          </w:tcPr>
          <w:p>
            <w:r/>
            <w:r>
              <w:rPr>
                <w:rFonts w:ascii="Aptos" w:hAnsi="Aptos"/>
                <w:b w:val="0"/>
                <w:sz w:val="16"/>
              </w:rPr>
              <w:t>bevoac_operator / bevoacadmin</w:t>
            </w:r>
          </w:p>
        </w:tc>
        <w:tc>
          <w:tcPr>
            <w:tcW w:type="dxa" w:w="2016"/>
            <w:vAlign w:val="center"/>
          </w:tcPr>
          <w:p>
            <w:r/>
            <w:r>
              <w:rPr>
                <w:rFonts w:ascii="Aptos" w:hAnsi="Aptos"/>
                <w:b w:val="0"/>
                <w:sz w:val="16"/>
              </w:rPr>
              <w:t>operator/admin secret</w:t>
            </w:r>
          </w:p>
        </w:tc>
        <w:tc>
          <w:tcPr>
            <w:tcW w:type="dxa" w:w="2880"/>
            <w:vAlign w:val="center"/>
          </w:tcPr>
          <w:p>
            <w:r/>
            <w:r>
              <w:rPr>
                <w:rFonts w:ascii="Aptos" w:hAnsi="Aptos"/>
                <w:b w:val="0"/>
                <w:sz w:val="16"/>
              </w:rPr>
              <w:t>None</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2F0D9"/>
            <w:vAlign w:val="center"/>
          </w:tcPr>
          <w:p>
            <w:r>
              <w:rPr>
                <w:b/>
                <w:color w:val="143D5C"/>
              </w:rPr>
              <w:t xml:space="preserve">Security outcome  </w:t>
            </w:r>
            <w:r>
              <w:rPr>
                <w:b/>
              </w:rPr>
              <w:t>Compromise of the public API does not confer worker, outbox, retention, administration or schema-owner privileges. PostgreSQL policies bind to session_user, not to a mutable application flag.</w:t>
            </w:r>
          </w:p>
        </w:tc>
      </w:tr>
    </w:tbl>
    <w:p/>
    <w:p>
      <w:r>
        <w:br w:type="page"/>
      </w:r>
    </w:p>
    <w:p>
      <w:pPr>
        <w:pStyle w:val="Heading1"/>
      </w:pPr>
      <w:r>
        <w:t>4. Transactional outbox and Service Bus separation</w:t>
      </w:r>
    </w:p>
    <w:p>
      <w:r>
        <w:t>The API continues to create the scan, billing reservation, idempotency row and outbox event in one PostgreSQL transaction. Disabling the embedded publisher does not disable the outbox write. The dedicated outbox runtime publishes durable events to Service Bus.</w:t>
      </w:r>
    </w:p>
    <w:p>
      <w:pPr>
        <w:ind w:left="360" w:right="360"/>
        <w:shd w:fill="F3F5F7"/>
      </w:pPr>
      <w:r>
        <w:rPr>
          <w:rFonts w:ascii="Menlo" w:hAnsi="Menlo"/>
          <w:sz w:val="16"/>
        </w:rPr>
        <w:t>BEGIN</w:t>
        <w:br/>
        <w:t xml:space="preserve">  INSERT INTO scans ...;</w:t>
        <w:br/>
        <w:t xml:space="preserve">  INSERT INTO billing_usage_ledger ...;</w:t>
        <w:br/>
        <w:t xml:space="preserve">  INSERT INTO scan_request_idempotency ...;</w:t>
        <w:br/>
        <w:t xml:space="preserve">  INSERT INTO outbox_events ...;</w:t>
        <w:br/>
        <w:t>COMMIT;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F5F"/>
            <w:vAlign w:val="center"/>
          </w:tcPr>
          <w:p>
            <w:r>
              <w:rPr>
                <w:b/>
              </w:rPr>
            </w:r>
            <w:r>
              <w:rPr>
                <w:rFonts w:ascii="Aptos" w:hAnsi="Aptos"/>
                <w:b/>
                <w:color w:val="FFFFFF"/>
                <w:sz w:val="16"/>
              </w:rPr>
              <w:t>Condition</w:t>
            </w:r>
          </w:p>
        </w:tc>
        <w:tc>
          <w:tcPr>
            <w:tcW w:type="dxa" w:w="3408"/>
            <w:shd w:fill="173F5F"/>
            <w:vAlign w:val="center"/>
          </w:tcPr>
          <w:p>
            <w:r>
              <w:rPr>
                <w:b/>
              </w:rPr>
            </w:r>
            <w:r>
              <w:rPr>
                <w:rFonts w:ascii="Aptos" w:hAnsi="Aptos"/>
                <w:b/>
                <w:color w:val="FFFFFF"/>
                <w:sz w:val="16"/>
              </w:rPr>
              <w:t>Expected behavior</w:t>
            </w:r>
          </w:p>
        </w:tc>
        <w:tc>
          <w:tcPr>
            <w:tcW w:type="dxa" w:w="3408"/>
            <w:shd w:fill="173F5F"/>
            <w:vAlign w:val="center"/>
          </w:tcPr>
          <w:p>
            <w:r>
              <w:rPr>
                <w:b/>
              </w:rPr>
            </w:r>
            <w:r>
              <w:rPr>
                <w:rFonts w:ascii="Aptos" w:hAnsi="Aptos"/>
                <w:b/>
                <w:color w:val="FFFFFF"/>
                <w:sz w:val="16"/>
              </w:rPr>
              <w:t>Risk</w:t>
            </w:r>
          </w:p>
        </w:tc>
      </w:tr>
      <w:tr>
        <w:tc>
          <w:tcPr>
            <w:tcW w:type="dxa" w:w="3408"/>
            <w:vAlign w:val="center"/>
          </w:tcPr>
          <w:p>
            <w:r/>
            <w:r>
              <w:rPr>
                <w:rFonts w:ascii="Aptos" w:hAnsi="Aptos"/>
                <w:b w:val="0"/>
                <w:sz w:val="16"/>
              </w:rPr>
              <w:t>Service Bus available</w:t>
            </w:r>
          </w:p>
        </w:tc>
        <w:tc>
          <w:tcPr>
            <w:tcW w:type="dxa" w:w="3408"/>
            <w:vAlign w:val="center"/>
          </w:tcPr>
          <w:p>
            <w:r/>
            <w:r>
              <w:rPr>
                <w:rFonts w:ascii="Aptos" w:hAnsi="Aptos"/>
                <w:b w:val="0"/>
                <w:sz w:val="16"/>
              </w:rPr>
              <w:t>Outbox event becomes PUBLISHED; worker receives message</w:t>
            </w:r>
          </w:p>
        </w:tc>
        <w:tc>
          <w:tcPr>
            <w:tcW w:type="dxa" w:w="3408"/>
            <w:vAlign w:val="center"/>
          </w:tcPr>
          <w:p>
            <w:r/>
            <w:r>
              <w:rPr>
                <w:rFonts w:ascii="Aptos" w:hAnsi="Aptos"/>
                <w:b w:val="0"/>
                <w:sz w:val="16"/>
              </w:rPr>
              <w:t>Nominal</w:t>
            </w:r>
          </w:p>
        </w:tc>
      </w:tr>
      <w:tr>
        <w:tc>
          <w:tcPr>
            <w:tcW w:type="dxa" w:w="3408"/>
            <w:vAlign w:val="center"/>
          </w:tcPr>
          <w:p>
            <w:r/>
            <w:r>
              <w:rPr>
                <w:rFonts w:ascii="Aptos" w:hAnsi="Aptos"/>
                <w:b w:val="0"/>
                <w:sz w:val="16"/>
              </w:rPr>
              <w:t>Service Bus unavailable</w:t>
            </w:r>
          </w:p>
        </w:tc>
        <w:tc>
          <w:tcPr>
            <w:tcW w:type="dxa" w:w="3408"/>
            <w:vAlign w:val="center"/>
          </w:tcPr>
          <w:p>
            <w:r/>
            <w:r>
              <w:rPr>
                <w:rFonts w:ascii="Aptos" w:hAnsi="Aptos"/>
                <w:b w:val="0"/>
                <w:sz w:val="16"/>
              </w:rPr>
              <w:t>Scan remains traceable; event stays PENDING/FAILED and retries</w:t>
            </w:r>
          </w:p>
        </w:tc>
        <w:tc>
          <w:tcPr>
            <w:tcW w:type="dxa" w:w="3408"/>
            <w:vAlign w:val="center"/>
          </w:tcPr>
          <w:p>
            <w:r/>
            <w:r>
              <w:rPr>
                <w:rFonts w:ascii="Aptos" w:hAnsi="Aptos"/>
                <w:b w:val="0"/>
                <w:sz w:val="16"/>
              </w:rPr>
              <w:t>Availability delay, not tenant leak</w:t>
            </w:r>
          </w:p>
        </w:tc>
      </w:tr>
      <w:tr>
        <w:tc>
          <w:tcPr>
            <w:tcW w:type="dxa" w:w="3408"/>
            <w:vAlign w:val="center"/>
          </w:tcPr>
          <w:p>
            <w:r/>
            <w:r>
              <w:rPr>
                <w:rFonts w:ascii="Aptos" w:hAnsi="Aptos"/>
                <w:b w:val="0"/>
                <w:sz w:val="16"/>
              </w:rPr>
              <w:t>Outbox runtime absent</w:t>
            </w:r>
          </w:p>
        </w:tc>
        <w:tc>
          <w:tcPr>
            <w:tcW w:type="dxa" w:w="3408"/>
            <w:vAlign w:val="center"/>
          </w:tcPr>
          <w:p>
            <w:r/>
            <w:r>
              <w:rPr>
                <w:rFonts w:ascii="Aptos" w:hAnsi="Aptos"/>
                <w:b w:val="0"/>
                <w:sz w:val="16"/>
              </w:rPr>
              <w:t>Backlog and scan delay grow</w:t>
            </w:r>
          </w:p>
        </w:tc>
        <w:tc>
          <w:tcPr>
            <w:tcW w:type="dxa" w:w="3408"/>
            <w:vAlign w:val="center"/>
          </w:tcPr>
          <w:p>
            <w:r/>
            <w:r>
              <w:rPr>
                <w:rFonts w:ascii="Aptos" w:hAnsi="Aptos"/>
                <w:b w:val="0"/>
                <w:sz w:val="16"/>
              </w:rPr>
              <w:t>Release NO-GO</w:t>
            </w:r>
          </w:p>
        </w:tc>
      </w:tr>
      <w:tr>
        <w:tc>
          <w:tcPr>
            <w:tcW w:type="dxa" w:w="3408"/>
            <w:vAlign w:val="center"/>
          </w:tcPr>
          <w:p>
            <w:r/>
            <w:r>
              <w:rPr>
                <w:rFonts w:ascii="Aptos" w:hAnsi="Aptos"/>
                <w:b w:val="0"/>
                <w:sz w:val="16"/>
              </w:rPr>
              <w:t>API has Service Bus sender despite dedicated outbox</w:t>
            </w:r>
          </w:p>
        </w:tc>
        <w:tc>
          <w:tcPr>
            <w:tcW w:type="dxa" w:w="3408"/>
            <w:vAlign w:val="center"/>
          </w:tcPr>
          <w:p>
            <w:r/>
            <w:r>
              <w:rPr>
                <w:rFonts w:ascii="Aptos" w:hAnsi="Aptos"/>
                <w:b w:val="0"/>
                <w:sz w:val="16"/>
              </w:rPr>
              <w:t>Unnecessary privilege</w:t>
            </w:r>
          </w:p>
        </w:tc>
        <w:tc>
          <w:tcPr>
            <w:tcW w:type="dxa" w:w="3408"/>
            <w:vAlign w:val="center"/>
          </w:tcPr>
          <w:p>
            <w:r/>
            <w:r>
              <w:rPr>
                <w:rFonts w:ascii="Aptos" w:hAnsi="Aptos"/>
                <w:b w:val="0"/>
                <w:sz w:val="16"/>
              </w:rPr>
              <w:t>Security NO-GO</w:t>
            </w:r>
          </w:p>
        </w:tc>
      </w:tr>
    </w:tbl>
    <w:p/>
    <w:p>
      <w:pPr>
        <w:pStyle w:val="Heading1"/>
      </w:pPr>
      <w:r>
        <w:t>5. CI evidence strategy</w:t>
      </w:r>
    </w:p>
    <w:p>
      <w:r>
        <w:t>The workflow creates an ephemeral PostgreSQL 16 service, creates the seven database identities, rebuilds the schema from zero, applies the six standard migrations plus secure-auth and runtime-role RLS, loads deterministic fixtures, verifies structural counts and runs the API and worker integration tests. The database is destroyed with the CI runner.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F5F"/>
            <w:vAlign w:val="center"/>
          </w:tcPr>
          <w:p>
            <w:r>
              <w:rPr>
                <w:b/>
              </w:rPr>
            </w:r>
            <w:r>
              <w:rPr>
                <w:rFonts w:ascii="Aptos" w:hAnsi="Aptos"/>
                <w:b/>
                <w:color w:val="FFFFFF"/>
                <w:sz w:val="16"/>
              </w:rPr>
              <w:t>Gate</w:t>
            </w:r>
          </w:p>
        </w:tc>
        <w:tc>
          <w:tcPr>
            <w:tcW w:type="dxa" w:w="5112"/>
            <w:shd w:fill="173F5F"/>
            <w:vAlign w:val="center"/>
          </w:tcPr>
          <w:p>
            <w:r>
              <w:rPr>
                <w:b/>
              </w:rPr>
            </w:r>
            <w:r>
              <w:rPr>
                <w:rFonts w:ascii="Aptos" w:hAnsi="Aptos"/>
                <w:b/>
                <w:color w:val="FFFFFF"/>
                <w:sz w:val="16"/>
              </w:rPr>
              <w:t>Proof</w:t>
            </w:r>
          </w:p>
        </w:tc>
      </w:tr>
      <w:tr>
        <w:tc>
          <w:tcPr>
            <w:tcW w:type="dxa" w:w="5112"/>
            <w:vAlign w:val="center"/>
          </w:tcPr>
          <w:p>
            <w:r/>
            <w:r>
              <w:rPr>
                <w:rFonts w:ascii="Aptos" w:hAnsi="Aptos"/>
                <w:b w:val="0"/>
                <w:sz w:val="16"/>
              </w:rPr>
              <w:t>JavaScript checks</w:t>
            </w:r>
          </w:p>
        </w:tc>
        <w:tc>
          <w:tcPr>
            <w:tcW w:type="dxa" w:w="5112"/>
            <w:vAlign w:val="center"/>
          </w:tcPr>
          <w:p>
            <w:r/>
            <w:r>
              <w:rPr>
                <w:rFonts w:ascii="Aptos" w:hAnsi="Aptos"/>
                <w:b w:val="0"/>
                <w:sz w:val="16"/>
              </w:rPr>
              <w:t>Syntax, runtime dependencies, contracts and unit tests</w:t>
            </w:r>
          </w:p>
        </w:tc>
      </w:tr>
      <w:tr>
        <w:tc>
          <w:tcPr>
            <w:tcW w:type="dxa" w:w="5112"/>
            <w:vAlign w:val="center"/>
          </w:tcPr>
          <w:p>
            <w:r/>
            <w:r>
              <w:rPr>
                <w:rFonts w:ascii="Aptos" w:hAnsi="Aptos"/>
                <w:b w:val="0"/>
                <w:sz w:val="16"/>
              </w:rPr>
              <w:t>Terraform</w:t>
            </w:r>
          </w:p>
        </w:tc>
        <w:tc>
          <w:tcPr>
            <w:tcW w:type="dxa" w:w="5112"/>
            <w:vAlign w:val="center"/>
          </w:tcPr>
          <w:p>
            <w:r/>
            <w:r>
              <w:rPr>
                <w:rFonts w:ascii="Aptos" w:hAnsi="Aptos"/>
                <w:b w:val="0"/>
                <w:sz w:val="16"/>
              </w:rPr>
              <w:t>Formatting, provider validation and static hardening</w:t>
            </w:r>
          </w:p>
        </w:tc>
      </w:tr>
      <w:tr>
        <w:tc>
          <w:tcPr>
            <w:tcW w:type="dxa" w:w="5112"/>
            <w:vAlign w:val="center"/>
          </w:tcPr>
          <w:p>
            <w:r/>
            <w:r>
              <w:rPr>
                <w:rFonts w:ascii="Aptos" w:hAnsi="Aptos"/>
                <w:b w:val="0"/>
                <w:sz w:val="16"/>
              </w:rPr>
              <w:t>PostgreSQL</w:t>
            </w:r>
          </w:p>
        </w:tc>
        <w:tc>
          <w:tcPr>
            <w:tcW w:type="dxa" w:w="5112"/>
            <w:vAlign w:val="center"/>
          </w:tcPr>
          <w:p>
            <w:r/>
            <w:r>
              <w:rPr>
                <w:rFonts w:ascii="Aptos" w:hAnsi="Aptos"/>
                <w:b w:val="0"/>
                <w:sz w:val="16"/>
              </w:rPr>
              <w:t>8 migrations, 15 forced-RLS tables, 29 policies, 58 grants, 6 hardened roles</w:t>
            </w:r>
          </w:p>
        </w:tc>
      </w:tr>
      <w:tr>
        <w:tc>
          <w:tcPr>
            <w:tcW w:type="dxa" w:w="5112"/>
            <w:vAlign w:val="center"/>
          </w:tcPr>
          <w:p>
            <w:r/>
            <w:r>
              <w:rPr>
                <w:rFonts w:ascii="Aptos" w:hAnsi="Aptos"/>
                <w:b w:val="0"/>
                <w:sz w:val="16"/>
              </w:rPr>
              <w:t>Public API</w:t>
            </w:r>
          </w:p>
        </w:tc>
        <w:tc>
          <w:tcPr>
            <w:tcW w:type="dxa" w:w="5112"/>
            <w:vAlign w:val="center"/>
          </w:tcPr>
          <w:p>
            <w:r/>
            <w:r>
              <w:rPr>
                <w:rFonts w:ascii="Aptos" w:hAnsi="Aptos"/>
                <w:b w:val="0"/>
                <w:sz w:val="16"/>
              </w:rPr>
              <w:t>Real API-key function, HTTP 401/200/404 and tenant isolation through Fastify.inject</w:t>
            </w:r>
          </w:p>
        </w:tc>
      </w:tr>
      <w:tr>
        <w:tc>
          <w:tcPr>
            <w:tcW w:type="dxa" w:w="5112"/>
            <w:vAlign w:val="center"/>
          </w:tcPr>
          <w:p>
            <w:r/>
            <w:r>
              <w:rPr>
                <w:rFonts w:ascii="Aptos" w:hAnsi="Aptos"/>
                <w:b w:val="0"/>
                <w:sz w:val="16"/>
              </w:rPr>
              <w:t>Worker</w:t>
            </w:r>
          </w:p>
        </w:tc>
        <w:tc>
          <w:tcPr>
            <w:tcW w:type="dxa" w:w="5112"/>
            <w:vAlign w:val="center"/>
          </w:tcPr>
          <w:p>
            <w:r/>
            <w:r>
              <w:rPr>
                <w:rFonts w:ascii="Aptos" w:hAnsi="Aptos"/>
                <w:b w:val="0"/>
                <w:sz w:val="16"/>
              </w:rPr>
              <w:t>Real bevoac_worker transaction and controlled FAILED/REFUNDED persistence</w:t>
            </w:r>
          </w:p>
        </w:tc>
      </w:tr>
      <w:tr>
        <w:tc>
          <w:tcPr>
            <w:tcW w:type="dxa" w:w="5112"/>
            <w:vAlign w:val="center"/>
          </w:tcPr>
          <w:p>
            <w:r/>
            <w:r>
              <w:rPr>
                <w:rFonts w:ascii="Aptos" w:hAnsi="Aptos"/>
                <w:b w:val="0"/>
                <w:sz w:val="16"/>
              </w:rPr>
              <w:t>No cloud dependency</w:t>
            </w:r>
          </w:p>
        </w:tc>
        <w:tc>
          <w:tcPr>
            <w:tcW w:type="dxa" w:w="5112"/>
            <w:vAlign w:val="center"/>
          </w:tcPr>
          <w:p>
            <w:r/>
            <w:r>
              <w:rPr>
                <w:rFonts w:ascii="Aptos" w:hAnsi="Aptos"/>
                <w:b w:val="0"/>
                <w:sz w:val="16"/>
              </w:rPr>
              <w:t>No Azure, Service Bus, AWS or GCP call in integration jobs</w:t>
            </w:r>
          </w:p>
        </w:tc>
      </w:tr>
    </w:tbl>
    <w:p/>
    <w:p>
      <w:r>
        <w:br w:type="page"/>
      </w:r>
    </w:p>
    <w:p>
      <w:pPr>
        <w:pStyle w:val="Heading1"/>
      </w:pPr>
      <w:r>
        <w:t>6. Atomic package installation</w:t>
      </w:r>
    </w:p>
    <w:p>
      <w:r>
        <w:t>The package contains the complete V6.1.3 source tree and an optional atomic overlay installer for the exact V6.1.2 baseline. The installer verifies the target commit and source hashes, backs up every touched path, applies the release, runs the full source/IaC validation and restores the original state automatically if any gate fails.</w:t>
      </w:r>
    </w:p>
    <w:p>
      <w:pPr>
        <w:ind w:left="360" w:right="360"/>
        <w:shd w:fill="F3F5F7"/>
      </w:pPr>
      <w:r>
        <w:rPr>
          <w:rFonts w:ascii="Menlo" w:hAnsi="Menlo"/>
          <w:sz w:val="16"/>
        </w:rPr>
        <w:t>python3 scripts/install_release.py --repo /path/to/bevoac-dev --check</w:t>
        <w:br/>
        <w:t>python3 scripts/install_release.py --repo /path/to/bevoac-dev --apply</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F2CC"/>
            <w:vAlign w:val="center"/>
          </w:tcPr>
          <w:p>
            <w:r>
              <w:rPr>
                <w:b/>
                <w:color w:val="143D5C"/>
              </w:rPr>
              <w:t xml:space="preserve">No manual editing  </w:t>
            </w:r>
            <w:r>
              <w:rPr>
                <w:b/>
              </w:rPr>
              <w:t>Do not copy individual files from the payload. Use the installer from outside the repository. It leaves the Git index empty and performs no Azure or PostgreSQL write.</w:t>
            </w:r>
          </w:p>
        </w:tc>
      </w:tr>
    </w:tbl>
    <w:p/>
    <w:p>
      <w:pPr>
        <w:pStyle w:val="Heading1"/>
      </w:pPr>
      <w:r>
        <w:t>7. Azure deployment sequence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73F5F"/>
            <w:vAlign w:val="center"/>
          </w:tcPr>
          <w:p>
            <w:r>
              <w:rPr>
                <w:b/>
              </w:rPr>
            </w:r>
            <w:r>
              <w:rPr>
                <w:rFonts w:ascii="Aptos" w:hAnsi="Aptos"/>
                <w:b/>
                <w:color w:val="FFFFFF"/>
                <w:sz w:val="16"/>
              </w:rPr>
              <w:t>Phase</w:t>
            </w:r>
          </w:p>
        </w:tc>
        <w:tc>
          <w:tcPr>
            <w:tcW w:type="dxa" w:w="3168"/>
            <w:shd w:fill="173F5F"/>
            <w:vAlign w:val="center"/>
          </w:tcPr>
          <w:p>
            <w:r>
              <w:rPr>
                <w:b/>
              </w:rPr>
            </w:r>
            <w:r>
              <w:rPr>
                <w:rFonts w:ascii="Aptos" w:hAnsi="Aptos"/>
                <w:b/>
                <w:color w:val="FFFFFF"/>
                <w:sz w:val="16"/>
              </w:rPr>
              <w:t>Command</w:t>
            </w:r>
          </w:p>
        </w:tc>
        <w:tc>
          <w:tcPr>
            <w:tcW w:type="dxa" w:w="1584"/>
            <w:shd w:fill="173F5F"/>
            <w:vAlign w:val="center"/>
          </w:tcPr>
          <w:p>
            <w:r>
              <w:rPr>
                <w:b/>
              </w:rPr>
            </w:r>
            <w:r>
              <w:rPr>
                <w:rFonts w:ascii="Aptos" w:hAnsi="Aptos"/>
                <w:b/>
                <w:color w:val="FFFFFF"/>
                <w:sz w:val="16"/>
              </w:rPr>
              <w:t>Write scope</w:t>
            </w:r>
          </w:p>
        </w:tc>
        <w:tc>
          <w:tcPr>
            <w:tcW w:type="dxa" w:w="3744"/>
            <w:shd w:fill="173F5F"/>
            <w:vAlign w:val="center"/>
          </w:tcPr>
          <w:p>
            <w:r>
              <w:rPr>
                <w:b/>
              </w:rPr>
            </w:r>
            <w:r>
              <w:rPr>
                <w:rFonts w:ascii="Aptos" w:hAnsi="Aptos"/>
                <w:b/>
                <w:color w:val="FFFFFF"/>
                <w:sz w:val="16"/>
              </w:rPr>
              <w:t>Mandatory evidence</w:t>
            </w:r>
          </w:p>
        </w:tc>
      </w:tr>
      <w:tr>
        <w:tc>
          <w:tcPr>
            <w:tcW w:type="dxa" w:w="2556"/>
          </w:tcPr>
          <w:p>
            <w:r>
              <w:t>Preflight</w:t>
            </w:r>
          </w:p>
        </w:tc>
        <w:tc>
          <w:tcPr>
            <w:tcW w:type="dxa" w:w="2556"/>
          </w:tcPr>
          <w:p>
            <w:r>
              <w:t>deploy_v6_1_3.sh preflight</w:t>
            </w:r>
          </w:p>
        </w:tc>
        <w:tc>
          <w:tcPr>
            <w:tcW w:type="dxa" w:w="2556"/>
          </w:tcPr>
          <w:p>
            <w:r>
              <w:t>Read only</w:t>
            </w:r>
          </w:p>
        </w:tc>
        <w:tc>
          <w:tcPr>
            <w:tcW w:type="dxa" w:w="2556"/>
          </w:tcPr>
          <w:p>
            <w:r>
              <w:t>Git, tools, source validation, live context</w:t>
            </w:r>
          </w:p>
        </w:tc>
      </w:tr>
      <w:tr>
        <w:tc>
          <w:tcPr>
            <w:tcW w:type="dxa" w:w="2556"/>
          </w:tcPr>
          <w:p>
            <w:r>
              <w:t>Build</w:t>
            </w:r>
          </w:p>
        </w:tc>
        <w:tc>
          <w:tcPr>
            <w:tcW w:type="dxa" w:w="2556"/>
          </w:tcPr>
          <w:p>
            <w:r>
              <w:t>deploy_v6_1_3.sh build</w:t>
            </w:r>
          </w:p>
        </w:tc>
        <w:tc>
          <w:tcPr>
            <w:tcW w:type="dxa" w:w="2556"/>
          </w:tcPr>
          <w:p>
            <w:r>
              <w:t>ACR push</w:t>
            </w:r>
          </w:p>
        </w:tc>
        <w:tc>
          <w:tcPr>
            <w:tcW w:type="dxa" w:w="2556"/>
          </w:tcPr>
          <w:p>
            <w:r>
              <w:t>Immutable API/worker tags and digests</w:t>
            </w:r>
          </w:p>
        </w:tc>
      </w:tr>
      <w:tr>
        <w:tc>
          <w:tcPr>
            <w:tcW w:type="dxa" w:w="2556"/>
          </w:tcPr>
          <w:p>
            <w:r>
              <w:t>Database</w:t>
            </w:r>
          </w:p>
        </w:tc>
        <w:tc>
          <w:tcPr>
            <w:tcW w:type="dxa" w:w="2556"/>
          </w:tcPr>
          <w:p>
            <w:r>
              <w:t>BEVOAC_APPROVE_DB_MIGRATION=YES ... migrate-db</w:t>
            </w:r>
          </w:p>
        </w:tc>
        <w:tc>
          <w:tcPr>
            <w:tcW w:type="dxa" w:w="2556"/>
          </w:tcPr>
          <w:p>
            <w:r>
              <w:t>PostgreSQL roles/schema/security</w:t>
            </w:r>
          </w:p>
        </w:tc>
        <w:tc>
          <w:tcPr>
            <w:tcW w:type="dxa" w:w="2556"/>
          </w:tcPr>
          <w:p>
            <w:r>
              <w:t>8 migrations, 6 roles, RLS/policy/grant verifier</w:t>
            </w:r>
          </w:p>
        </w:tc>
      </w:tr>
      <w:tr>
        <w:tc>
          <w:tcPr>
            <w:tcW w:type="dxa" w:w="2556"/>
          </w:tcPr>
          <w:p>
            <w:r>
              <w:t>Plan workloads</w:t>
            </w:r>
          </w:p>
        </w:tc>
        <w:tc>
          <w:tcPr>
            <w:tcW w:type="dxa" w:w="2556"/>
          </w:tcPr>
          <w:p>
            <w:r>
              <w:t>deploy_v6_1_3.sh plan-workloads</w:t>
            </w:r>
          </w:p>
        </w:tc>
        <w:tc>
          <w:tcPr>
            <w:tcW w:type="dxa" w:w="2556"/>
          </w:tcPr>
          <w:p>
            <w:r>
              <w:t>Plan file only</w:t>
            </w:r>
          </w:p>
        </w:tc>
        <w:tc>
          <w:tcPr>
            <w:tcW w:type="dxa" w:w="2556"/>
          </w:tcPr>
          <w:p>
            <w:r>
              <w:t>Candidate 0%; no unapproved destruction</w:t>
            </w:r>
          </w:p>
        </w:tc>
      </w:tr>
      <w:tr>
        <w:tc>
          <w:tcPr>
            <w:tcW w:type="dxa" w:w="2556"/>
          </w:tcPr>
          <w:p>
            <w:r>
              <w:t>Apply workloads</w:t>
            </w:r>
          </w:p>
        </w:tc>
        <w:tc>
          <w:tcPr>
            <w:tcW w:type="dxa" w:w="2556"/>
          </w:tcPr>
          <w:p>
            <w:r>
              <w:t>BEVOAC_APPROVE_WORKLOAD_APPLY=YES ... apply-workloads</w:t>
            </w:r>
          </w:p>
        </w:tc>
        <w:tc>
          <w:tcPr>
            <w:tcW w:type="dxa" w:w="2556"/>
          </w:tcPr>
          <w:p>
            <w:r>
              <w:t>Azure workload resources</w:t>
            </w:r>
          </w:p>
        </w:tc>
        <w:tc>
          <w:tcPr>
            <w:tcW w:type="dxa" w:w="2556"/>
          </w:tcPr>
          <w:p>
            <w:r>
              <w:t>Dedicated identities, PG users and secret refs</w:t>
            </w:r>
          </w:p>
        </w:tc>
      </w:tr>
      <w:tr>
        <w:tc>
          <w:tcPr>
            <w:tcW w:type="dxa" w:w="2556"/>
          </w:tcPr>
          <w:p>
            <w:r>
              <w:t>Smoke workloads</w:t>
            </w:r>
          </w:p>
        </w:tc>
        <w:tc>
          <w:tcPr>
            <w:tcW w:type="dxa" w:w="2556"/>
          </w:tcPr>
          <w:p>
            <w:r>
              <w:t>deploy_v6_1_3.sh smoke-workloads</w:t>
            </w:r>
          </w:p>
        </w:tc>
        <w:tc>
          <w:tcPr>
            <w:tcW w:type="dxa" w:w="2556"/>
          </w:tcPr>
          <w:p>
            <w:r>
              <w:t>Read only</w:t>
            </w:r>
          </w:p>
        </w:tc>
        <w:tc>
          <w:tcPr>
            <w:tcW w:type="dxa" w:w="2556"/>
          </w:tcPr>
          <w:p>
            <w:r>
              <w:t>Candidate auth, env/identity, queue, outbox, DB boundary</w:t>
            </w:r>
          </w:p>
        </w:tc>
      </w:tr>
      <w:tr>
        <w:tc>
          <w:tcPr>
            <w:tcW w:type="dxa" w:w="2556"/>
          </w:tcPr>
          <w:p>
            <w:r>
              <w:t>Traffic</w:t>
            </w:r>
          </w:p>
        </w:tc>
        <w:tc>
          <w:tcPr>
            <w:tcW w:type="dxa" w:w="2556"/>
          </w:tcPr>
          <w:p>
            <w:r>
              <w:t>BEVOAC_APPROVE_TRAFFIC_ROLLOUT=YES ... rollout</w:t>
            </w:r>
          </w:p>
        </w:tc>
        <w:tc>
          <w:tcPr>
            <w:tcW w:type="dxa" w:w="2556"/>
          </w:tcPr>
          <w:p>
            <w:r>
              <w:t>API traffic weights</w:t>
            </w:r>
          </w:p>
        </w:tc>
        <w:tc>
          <w:tcPr>
            <w:tcW w:type="dxa" w:w="2556"/>
          </w:tcPr>
          <w:p>
            <w:r>
              <w:t>5% → 25% → 100%; immediate traffic rollback</w:t>
            </w:r>
          </w:p>
        </w:tc>
      </w:tr>
      <w:tr>
        <w:tc>
          <w:tcPr>
            <w:tcW w:type="dxa" w:w="2556"/>
          </w:tcPr>
          <w:p>
            <w:r>
              <w:t>Plan security</w:t>
            </w:r>
          </w:p>
        </w:tc>
        <w:tc>
          <w:tcPr>
            <w:tcW w:type="dxa" w:w="2556"/>
          </w:tcPr>
          <w:p>
            <w:r>
              <w:t>BEVOAC_PRIVATE_RUNNER_READY=YES ... plan-security</w:t>
            </w:r>
          </w:p>
        </w:tc>
        <w:tc>
          <w:tcPr>
            <w:tcW w:type="dxa" w:w="2556"/>
          </w:tcPr>
          <w:p>
            <w:r>
              <w:t>Plan file only</w:t>
            </w:r>
          </w:p>
        </w:tc>
        <w:tc>
          <w:tcPr>
            <w:tcW w:type="dxa" w:w="2556"/>
          </w:tcPr>
          <w:p>
            <w:r>
              <w:t>Private endpoints and allowlisted legacy deletions only</w:t>
            </w:r>
          </w:p>
        </w:tc>
      </w:tr>
      <w:tr>
        <w:tc>
          <w:tcPr>
            <w:tcW w:type="dxa" w:w="2556"/>
          </w:tcPr>
          <w:p>
            <w:r>
              <w:t>Apply security</w:t>
            </w:r>
          </w:p>
        </w:tc>
        <w:tc>
          <w:tcPr>
            <w:tcW w:type="dxa" w:w="2556"/>
          </w:tcPr>
          <w:p>
            <w:r>
              <w:t>BEVOAC_PRIVATE_RUNNER_READY=YES BEVOAC_APPROVE_SECURITY_FINALIZE=YES ... apply-security</w:t>
            </w:r>
          </w:p>
        </w:tc>
        <w:tc>
          <w:tcPr>
            <w:tcW w:type="dxa" w:w="2556"/>
          </w:tcPr>
          <w:p>
            <w:r>
              <w:t>Azure network/RBAC</w:t>
            </w:r>
          </w:p>
        </w:tc>
        <w:tc>
          <w:tcPr>
            <w:tcW w:type="dxa" w:w="2556"/>
          </w:tcPr>
          <w:p>
            <w:r>
              <w:t>Close public access, local auth and broad legacy roles</w:t>
            </w:r>
          </w:p>
        </w:tc>
      </w:tr>
      <w:tr>
        <w:tc>
          <w:tcPr>
            <w:tcW w:type="dxa" w:w="2556"/>
          </w:tcPr>
          <w:p>
            <w:r>
              <w:t>Final smoke</w:t>
            </w:r>
          </w:p>
        </w:tc>
        <w:tc>
          <w:tcPr>
            <w:tcW w:type="dxa" w:w="2556"/>
          </w:tcPr>
          <w:p>
            <w:r>
              <w:t>BEVOAC_PRIVATE_RUNNER_READY=YES ... smoke-final</w:t>
            </w:r>
          </w:p>
        </w:tc>
        <w:tc>
          <w:tcPr>
            <w:tcW w:type="dxa" w:w="2556"/>
          </w:tcPr>
          <w:p>
            <w:r>
              <w:t>Read only</w:t>
            </w:r>
          </w:p>
        </w:tc>
        <w:tc>
          <w:tcPr>
            <w:tcW w:type="dxa" w:w="2556"/>
          </w:tcPr>
          <w:p>
            <w:r>
              <w:t>Private network, MI-only Service Bus, legacy secret/RBAC absent</w:t>
            </w:r>
          </w:p>
        </w:tc>
      </w:tr>
    </w:tbl>
    <w:p/>
    <w:p>
      <w:r>
        <w:br w:type="page"/>
      </w:r>
    </w:p>
    <w:p>
      <w:pPr>
        <w:pStyle w:val="Heading1"/>
      </w:pPr>
      <w:r>
        <w:t>8. Database release gates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F5F"/>
            <w:vAlign w:val="center"/>
          </w:tcPr>
          <w:p>
            <w:r>
              <w:rPr>
                <w:b/>
              </w:rPr>
            </w:r>
            <w:r>
              <w:rPr>
                <w:rFonts w:ascii="Aptos" w:hAnsi="Aptos"/>
                <w:b/>
                <w:color w:val="FFFFFF"/>
                <w:sz w:val="16"/>
              </w:rPr>
              <w:t>Control</w:t>
            </w:r>
          </w:p>
        </w:tc>
        <w:tc>
          <w:tcPr>
            <w:tcW w:type="dxa" w:w="5112"/>
            <w:shd w:fill="173F5F"/>
            <w:vAlign w:val="center"/>
          </w:tcPr>
          <w:p>
            <w:r>
              <w:rPr>
                <w:b/>
              </w:rPr>
            </w:r>
            <w:r>
              <w:rPr>
                <w:rFonts w:ascii="Aptos" w:hAnsi="Aptos"/>
                <w:b/>
                <w:color w:val="FFFFFF"/>
                <w:sz w:val="16"/>
              </w:rPr>
              <w:t>Expected</w:t>
            </w:r>
          </w:p>
        </w:tc>
      </w:tr>
      <w:tr>
        <w:tc>
          <w:tcPr>
            <w:tcW w:type="dxa" w:w="5112"/>
            <w:vAlign w:val="center"/>
          </w:tcPr>
          <w:p>
            <w:r/>
            <w:r>
              <w:rPr>
                <w:rFonts w:ascii="Aptos" w:hAnsi="Aptos"/>
                <w:b w:val="0"/>
                <w:sz w:val="16"/>
              </w:rPr>
              <w:t>schema_migrations</w:t>
            </w:r>
          </w:p>
        </w:tc>
        <w:tc>
          <w:tcPr>
            <w:tcW w:type="dxa" w:w="5112"/>
            <w:vAlign w:val="center"/>
          </w:tcPr>
          <w:p>
            <w:r/>
            <w:r>
              <w:rPr>
                <w:rFonts w:ascii="Aptos" w:hAnsi="Aptos"/>
                <w:b w:val="0"/>
                <w:sz w:val="16"/>
              </w:rPr>
              <w:t>Exactly 8 current migrations</w:t>
            </w:r>
          </w:p>
        </w:tc>
      </w:tr>
      <w:tr>
        <w:tc>
          <w:tcPr>
            <w:tcW w:type="dxa" w:w="5112"/>
            <w:vAlign w:val="center"/>
          </w:tcPr>
          <w:p>
            <w:r/>
            <w:r>
              <w:rPr>
                <w:rFonts w:ascii="Aptos" w:hAnsi="Aptos"/>
                <w:b w:val="0"/>
                <w:sz w:val="16"/>
              </w:rPr>
              <w:t>Runtime roles</w:t>
            </w:r>
          </w:p>
        </w:tc>
        <w:tc>
          <w:tcPr>
            <w:tcW w:type="dxa" w:w="5112"/>
            <w:vAlign w:val="center"/>
          </w:tcPr>
          <w:p>
            <w:r/>
            <w:r>
              <w:rPr>
                <w:rFonts w:ascii="Aptos" w:hAnsi="Aptos"/>
                <w:b w:val="0"/>
                <w:sz w:val="16"/>
              </w:rPr>
              <w:t>Six login roles, NOINHERIT and NOBYPASSRLS</w:t>
            </w:r>
          </w:p>
        </w:tc>
      </w:tr>
      <w:tr>
        <w:tc>
          <w:tcPr>
            <w:tcW w:type="dxa" w:w="5112"/>
            <w:vAlign w:val="center"/>
          </w:tcPr>
          <w:p>
            <w:r/>
            <w:r>
              <w:rPr>
                <w:rFonts w:ascii="Aptos" w:hAnsi="Aptos"/>
                <w:b w:val="0"/>
                <w:sz w:val="16"/>
              </w:rPr>
              <w:t>RLS</w:t>
            </w:r>
          </w:p>
        </w:tc>
        <w:tc>
          <w:tcPr>
            <w:tcW w:type="dxa" w:w="5112"/>
            <w:vAlign w:val="center"/>
          </w:tcPr>
          <w:p>
            <w:r/>
            <w:r>
              <w:rPr>
                <w:rFonts w:ascii="Aptos" w:hAnsi="Aptos"/>
                <w:b w:val="0"/>
                <w:sz w:val="16"/>
              </w:rPr>
              <w:t>15 tables ENABLE + FORCE</w:t>
            </w:r>
          </w:p>
        </w:tc>
      </w:tr>
      <w:tr>
        <w:tc>
          <w:tcPr>
            <w:tcW w:type="dxa" w:w="5112"/>
            <w:vAlign w:val="center"/>
          </w:tcPr>
          <w:p>
            <w:r/>
            <w:r>
              <w:rPr>
                <w:rFonts w:ascii="Aptos" w:hAnsi="Aptos"/>
                <w:b w:val="0"/>
                <w:sz w:val="16"/>
              </w:rPr>
              <w:t>Policies</w:t>
            </w:r>
          </w:p>
        </w:tc>
        <w:tc>
          <w:tcPr>
            <w:tcW w:type="dxa" w:w="5112"/>
            <w:vAlign w:val="center"/>
          </w:tcPr>
          <w:p>
            <w:r/>
            <w:r>
              <w:rPr>
                <w:rFonts w:ascii="Aptos" w:hAnsi="Aptos"/>
                <w:b w:val="0"/>
                <w:sz w:val="16"/>
              </w:rPr>
              <w:t>29</w:t>
            </w:r>
          </w:p>
        </w:tc>
      </w:tr>
      <w:tr>
        <w:tc>
          <w:tcPr>
            <w:tcW w:type="dxa" w:w="5112"/>
            <w:vAlign w:val="center"/>
          </w:tcPr>
          <w:p>
            <w:r/>
            <w:r>
              <w:rPr>
                <w:rFonts w:ascii="Aptos" w:hAnsi="Aptos"/>
                <w:b w:val="0"/>
                <w:sz w:val="16"/>
              </w:rPr>
              <w:t>Unit table privileges</w:t>
            </w:r>
          </w:p>
        </w:tc>
        <w:tc>
          <w:tcPr>
            <w:tcW w:type="dxa" w:w="5112"/>
            <w:vAlign w:val="center"/>
          </w:tcPr>
          <w:p>
            <w:r/>
            <w:r>
              <w:rPr>
                <w:rFonts w:ascii="Aptos" w:hAnsi="Aptos"/>
                <w:b w:val="0"/>
                <w:sz w:val="16"/>
              </w:rPr>
              <w:t>58 / 29 role-table pairs</w:t>
            </w:r>
          </w:p>
        </w:tc>
      </w:tr>
      <w:tr>
        <w:tc>
          <w:tcPr>
            <w:tcW w:type="dxa" w:w="5112"/>
            <w:vAlign w:val="center"/>
          </w:tcPr>
          <w:p>
            <w:r/>
            <w:r>
              <w:rPr>
                <w:rFonts w:ascii="Aptos" w:hAnsi="Aptos"/>
                <w:b w:val="0"/>
                <w:sz w:val="16"/>
              </w:rPr>
              <w:t>Function ACL</w:t>
            </w:r>
          </w:p>
        </w:tc>
        <w:tc>
          <w:tcPr>
            <w:tcW w:type="dxa" w:w="5112"/>
            <w:vAlign w:val="center"/>
          </w:tcPr>
          <w:p>
            <w:r/>
            <w:r>
              <w:rPr>
                <w:rFonts w:ascii="Aptos" w:hAnsi="Aptos"/>
                <w:b w:val="0"/>
                <w:sz w:val="16"/>
              </w:rPr>
              <w:t>Authentication only to bevoac_api; tenant context only to API/worker</w:t>
            </w:r>
          </w:p>
        </w:tc>
      </w:tr>
      <w:tr>
        <w:tc>
          <w:tcPr>
            <w:tcW w:type="dxa" w:w="5112"/>
            <w:vAlign w:val="center"/>
          </w:tcPr>
          <w:p>
            <w:r/>
            <w:r>
              <w:rPr>
                <w:rFonts w:ascii="Aptos" w:hAnsi="Aptos"/>
                <w:b w:val="0"/>
                <w:sz w:val="16"/>
              </w:rPr>
              <w:t>Direct api_keys access</w:t>
            </w:r>
          </w:p>
        </w:tc>
        <w:tc>
          <w:tcPr>
            <w:tcW w:type="dxa" w:w="5112"/>
            <w:vAlign w:val="center"/>
          </w:tcPr>
          <w:p>
            <w:r/>
            <w:r>
              <w:rPr>
                <w:rFonts w:ascii="Aptos" w:hAnsi="Aptos"/>
                <w:b w:val="0"/>
                <w:sz w:val="16"/>
              </w:rPr>
              <w:t>Denied to public API and all unrelated workloads</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AF2F8"/>
            <w:vAlign w:val="center"/>
          </w:tcPr>
          <w:p>
            <w:r>
              <w:rPr>
                <w:b/>
              </w:rPr>
              <w:t>Synchronize the six database roles and apply/verify the security migrations before starting restricted workloads. During the workload phase, legacy vault-wide readers, the API Sender role and Service Bus local authentication remain temporarily available only as a rollback bridge. The security-finalization phase removes them after the new workloads and traffic have passed acceptance.</w:t>
            </w:r>
          </w:p>
        </w:tc>
      </w:tr>
    </w:tbl>
    <w:p/>
    <w:p>
      <w:pPr>
        <w:pStyle w:val="Heading1"/>
      </w:pPr>
      <w:r>
        <w:t>9. Rollout and rollback</w:t>
      </w:r>
    </w:p>
    <w:p>
      <w:r>
        <w:t>The API uses multiple revisions. A new image is created at 0% traffic. Workload smoke tests and the 5% → 25% → 100% rollout happen while the current network and legacy authentication bridge are still available. Only after the candidate owns traffic does the security-finalization plan close Key Vault/PostgreSQL public access, disable Service Bus local authentication and remove legacy broad RBAC. API traffic can be returned immediately to the stable revision before finalization; any post-finalization rollback must use the approved Terraform profile and preserved evidence.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F5F"/>
            <w:vAlign w:val="center"/>
          </w:tcPr>
          <w:p>
            <w:r>
              <w:rPr>
                <w:b/>
              </w:rPr>
            </w:r>
            <w:r>
              <w:rPr>
                <w:rFonts w:ascii="Aptos" w:hAnsi="Aptos"/>
                <w:b/>
                <w:color w:val="FFFFFF"/>
                <w:sz w:val="16"/>
              </w:rPr>
              <w:t>Abort signal</w:t>
            </w:r>
          </w:p>
        </w:tc>
        <w:tc>
          <w:tcPr>
            <w:tcW w:type="dxa" w:w="5112"/>
            <w:shd w:fill="173F5F"/>
            <w:vAlign w:val="center"/>
          </w:tcPr>
          <w:p>
            <w:r>
              <w:rPr>
                <w:b/>
              </w:rPr>
            </w:r>
            <w:r>
              <w:rPr>
                <w:rFonts w:ascii="Aptos" w:hAnsi="Aptos"/>
                <w:b/>
                <w:color w:val="FFFFFF"/>
                <w:sz w:val="16"/>
              </w:rPr>
              <w:t>Immediate action</w:t>
            </w:r>
          </w:p>
        </w:tc>
      </w:tr>
      <w:tr>
        <w:tc>
          <w:tcPr>
            <w:tcW w:type="dxa" w:w="5112"/>
            <w:vAlign w:val="center"/>
          </w:tcPr>
          <w:p>
            <w:r/>
            <w:r>
              <w:rPr>
                <w:rFonts w:ascii="Aptos" w:hAnsi="Aptos"/>
                <w:b w:val="0"/>
                <w:sz w:val="16"/>
              </w:rPr>
              <w:t>Cross-tenant visibility</w:t>
            </w:r>
          </w:p>
        </w:tc>
        <w:tc>
          <w:tcPr>
            <w:tcW w:type="dxa" w:w="5112"/>
            <w:vAlign w:val="center"/>
          </w:tcPr>
          <w:p>
            <w:r/>
            <w:r>
              <w:rPr>
                <w:rFonts w:ascii="Aptos" w:hAnsi="Aptos"/>
                <w:b w:val="0"/>
                <w:sz w:val="16"/>
              </w:rPr>
              <w:t>Set candidate traffic to 0%; revoke test keys; preserve evidence</w:t>
            </w:r>
          </w:p>
        </w:tc>
      </w:tr>
      <w:tr>
        <w:tc>
          <w:tcPr>
            <w:tcW w:type="dxa" w:w="5112"/>
            <w:vAlign w:val="center"/>
          </w:tcPr>
          <w:p>
            <w:r/>
            <w:r>
              <w:rPr>
                <w:rFonts w:ascii="Aptos" w:hAnsi="Aptos"/>
                <w:b w:val="0"/>
                <w:sz w:val="16"/>
              </w:rPr>
              <w:t>Unexpected PostgreSQL permission denied</w:t>
            </w:r>
          </w:p>
        </w:tc>
        <w:tc>
          <w:tcPr>
            <w:tcW w:type="dxa" w:w="5112"/>
            <w:vAlign w:val="center"/>
          </w:tcPr>
          <w:p>
            <w:r/>
            <w:r>
              <w:rPr>
                <w:rFonts w:ascii="Aptos" w:hAnsi="Aptos"/>
                <w:b w:val="0"/>
                <w:sz w:val="16"/>
              </w:rPr>
              <w:t>Return traffic to stable; inspect PG_USER and grants</w:t>
            </w:r>
          </w:p>
        </w:tc>
      </w:tr>
      <w:tr>
        <w:tc>
          <w:tcPr>
            <w:tcW w:type="dxa" w:w="5112"/>
            <w:vAlign w:val="center"/>
          </w:tcPr>
          <w:p>
            <w:r/>
            <w:r>
              <w:rPr>
                <w:rFonts w:ascii="Aptos" w:hAnsi="Aptos"/>
                <w:b w:val="0"/>
                <w:sz w:val="16"/>
              </w:rPr>
              <w:t>Outbox backlog increases</w:t>
            </w:r>
          </w:p>
        </w:tc>
        <w:tc>
          <w:tcPr>
            <w:tcW w:type="dxa" w:w="5112"/>
            <w:vAlign w:val="center"/>
          </w:tcPr>
          <w:p>
            <w:r/>
            <w:r>
              <w:rPr>
                <w:rFonts w:ascii="Aptos" w:hAnsi="Aptos"/>
                <w:b w:val="0"/>
                <w:sz w:val="16"/>
              </w:rPr>
              <w:t>Stop rollout; validate outbox identity and Sender role</w:t>
            </w:r>
          </w:p>
        </w:tc>
      </w:tr>
      <w:tr>
        <w:tc>
          <w:tcPr>
            <w:tcW w:type="dxa" w:w="5112"/>
            <w:vAlign w:val="center"/>
          </w:tcPr>
          <w:p>
            <w:r/>
            <w:r>
              <w:rPr>
                <w:rFonts w:ascii="Aptos" w:hAnsi="Aptos"/>
                <w:b w:val="0"/>
                <w:sz w:val="16"/>
              </w:rPr>
              <w:t>DLQ &gt; 0</w:t>
            </w:r>
          </w:p>
        </w:tc>
        <w:tc>
          <w:tcPr>
            <w:tcW w:type="dxa" w:w="5112"/>
            <w:vAlign w:val="center"/>
          </w:tcPr>
          <w:p>
            <w:r/>
            <w:r>
              <w:rPr>
                <w:rFonts w:ascii="Aptos" w:hAnsi="Aptos"/>
                <w:b w:val="0"/>
                <w:sz w:val="16"/>
              </w:rPr>
              <w:t>Stop rollout; inspect contract and dead-letter reason</w:t>
            </w:r>
          </w:p>
        </w:tc>
      </w:tr>
      <w:tr>
        <w:tc>
          <w:tcPr>
            <w:tcW w:type="dxa" w:w="5112"/>
            <w:vAlign w:val="center"/>
          </w:tcPr>
          <w:p>
            <w:r/>
            <w:r>
              <w:rPr>
                <w:rFonts w:ascii="Aptos" w:hAnsi="Aptos"/>
                <w:b w:val="0"/>
                <w:sz w:val="16"/>
              </w:rPr>
              <w:t>Billing divergence</w:t>
            </w:r>
          </w:p>
        </w:tc>
        <w:tc>
          <w:tcPr>
            <w:tcW w:type="dxa" w:w="5112"/>
            <w:vAlign w:val="center"/>
          </w:tcPr>
          <w:p>
            <w:r/>
            <w:r>
              <w:rPr>
                <w:rFonts w:ascii="Aptos" w:hAnsi="Aptos"/>
                <w:b w:val="0"/>
                <w:sz w:val="16"/>
              </w:rPr>
              <w:t>Stop rollout; verify reserved/consumed/refunded ledger</w:t>
            </w:r>
          </w:p>
        </w:tc>
      </w:tr>
      <w:tr>
        <w:tc>
          <w:tcPr>
            <w:tcW w:type="dxa" w:w="5112"/>
            <w:vAlign w:val="center"/>
          </w:tcPr>
          <w:p>
            <w:r/>
            <w:r>
              <w:rPr>
                <w:rFonts w:ascii="Aptos" w:hAnsi="Aptos"/>
                <w:b w:val="0"/>
                <w:sz w:val="16"/>
              </w:rPr>
              <w:t>5xx or latency regression</w:t>
            </w:r>
          </w:p>
        </w:tc>
        <w:tc>
          <w:tcPr>
            <w:tcW w:type="dxa" w:w="5112"/>
            <w:vAlign w:val="center"/>
          </w:tcPr>
          <w:p>
            <w:r/>
            <w:r>
              <w:rPr>
                <w:rFonts w:ascii="Aptos" w:hAnsi="Aptos"/>
                <w:b w:val="0"/>
                <w:sz w:val="16"/>
              </w:rPr>
              <w:t>Rollback traffic and compare candidate logs</w:t>
            </w:r>
          </w:p>
        </w:tc>
      </w:tr>
    </w:tbl>
    <w:p/>
    <w:p>
      <w:r>
        <w:br w:type="page"/>
      </w:r>
    </w:p>
    <w:p>
      <w:pPr>
        <w:pStyle w:val="Heading1"/>
      </w:pPr>
      <w:r>
        <w:t>10. Multi-cloud readiness boundary</w:t>
      </w:r>
    </w:p>
    <w:p>
      <w:r>
        <w:t>The next initiative can start without changing the tenant, billing, outbox, result, reporting or RLS platform. Provider code must implement the V1 adapter and return provider-neutral findings. AWS and GCP remain disabled until their credential, discovery, scanner and integration gates pass.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F5F"/>
            <w:vAlign w:val="center"/>
          </w:tcPr>
          <w:p>
            <w:r>
              <w:rPr>
                <w:b/>
              </w:rPr>
            </w:r>
            <w:r>
              <w:rPr>
                <w:rFonts w:ascii="Aptos" w:hAnsi="Aptos"/>
                <w:b/>
                <w:color w:val="FFFFFF"/>
                <w:sz w:val="16"/>
              </w:rPr>
              <w:t>Adapter method</w:t>
            </w:r>
          </w:p>
        </w:tc>
        <w:tc>
          <w:tcPr>
            <w:tcW w:type="dxa" w:w="5112"/>
            <w:shd w:fill="173F5F"/>
            <w:vAlign w:val="center"/>
          </w:tcPr>
          <w:p>
            <w:r>
              <w:rPr>
                <w:b/>
              </w:rPr>
            </w:r>
            <w:r>
              <w:rPr>
                <w:rFonts w:ascii="Aptos" w:hAnsi="Aptos"/>
                <w:b/>
                <w:color w:val="FFFFFF"/>
                <w:sz w:val="16"/>
              </w:rPr>
              <w:t>Responsibility</w:t>
            </w:r>
          </w:p>
        </w:tc>
      </w:tr>
      <w:tr>
        <w:tc>
          <w:tcPr>
            <w:tcW w:type="dxa" w:w="5112"/>
            <w:vAlign w:val="center"/>
          </w:tcPr>
          <w:p>
            <w:r/>
            <w:r>
              <w:rPr>
                <w:rFonts w:ascii="Aptos" w:hAnsi="Aptos"/>
                <w:b w:val="0"/>
                <w:sz w:val="16"/>
              </w:rPr>
              <w:t>validateCredentialReference</w:t>
            </w:r>
          </w:p>
        </w:tc>
        <w:tc>
          <w:tcPr>
            <w:tcW w:type="dxa" w:w="5112"/>
            <w:vAlign w:val="center"/>
          </w:tcPr>
          <w:p>
            <w:r/>
            <w:r>
              <w:rPr>
                <w:rFonts w:ascii="Aptos" w:hAnsi="Aptos"/>
                <w:b w:val="0"/>
                <w:sz w:val="16"/>
              </w:rPr>
              <w:t>Validate a customer-owned role/federation reference without storing long-lived keys</w:t>
            </w:r>
          </w:p>
        </w:tc>
      </w:tr>
      <w:tr>
        <w:tc>
          <w:tcPr>
            <w:tcW w:type="dxa" w:w="5112"/>
            <w:vAlign w:val="center"/>
          </w:tcPr>
          <w:p>
            <w:r/>
            <w:r>
              <w:rPr>
                <w:rFonts w:ascii="Aptos" w:hAnsi="Aptos"/>
                <w:b w:val="0"/>
                <w:sz w:val="16"/>
              </w:rPr>
              <w:t>discoverScope</w:t>
            </w:r>
          </w:p>
        </w:tc>
        <w:tc>
          <w:tcPr>
            <w:tcW w:type="dxa" w:w="5112"/>
            <w:vAlign w:val="center"/>
          </w:tcPr>
          <w:p>
            <w:r/>
            <w:r>
              <w:rPr>
                <w:rFonts w:ascii="Aptos" w:hAnsi="Aptos"/>
                <w:b w:val="0"/>
                <w:sz w:val="16"/>
              </w:rPr>
              <w:t>Resolve account/project/subscription hierarchy and regions</w:t>
            </w:r>
          </w:p>
        </w:tc>
      </w:tr>
      <w:tr>
        <w:tc>
          <w:tcPr>
            <w:tcW w:type="dxa" w:w="5112"/>
            <w:vAlign w:val="center"/>
          </w:tcPr>
          <w:p>
            <w:r/>
            <w:r>
              <w:rPr>
                <w:rFonts w:ascii="Aptos" w:hAnsi="Aptos"/>
                <w:b w:val="0"/>
                <w:sz w:val="16"/>
              </w:rPr>
              <w:t>preflight</w:t>
            </w:r>
          </w:p>
        </w:tc>
        <w:tc>
          <w:tcPr>
            <w:tcW w:type="dxa" w:w="5112"/>
            <w:vAlign w:val="center"/>
          </w:tcPr>
          <w:p>
            <w:r/>
            <w:r>
              <w:rPr>
                <w:rFonts w:ascii="Aptos" w:hAnsi="Aptos"/>
                <w:b w:val="0"/>
                <w:sz w:val="16"/>
              </w:rPr>
              <w:t>Count resources and enforce commercial limits before scanning</w:t>
            </w:r>
          </w:p>
        </w:tc>
      </w:tr>
      <w:tr>
        <w:tc>
          <w:tcPr>
            <w:tcW w:type="dxa" w:w="5112"/>
            <w:vAlign w:val="center"/>
          </w:tcPr>
          <w:p>
            <w:r/>
            <w:r>
              <w:rPr>
                <w:rFonts w:ascii="Aptos" w:hAnsi="Aptos"/>
                <w:b w:val="0"/>
                <w:sz w:val="16"/>
              </w:rPr>
              <w:t>runModules</w:t>
            </w:r>
          </w:p>
        </w:tc>
        <w:tc>
          <w:tcPr>
            <w:tcW w:type="dxa" w:w="5112"/>
            <w:vAlign w:val="center"/>
          </w:tcPr>
          <w:p>
            <w:r/>
            <w:r>
              <w:rPr>
                <w:rFonts w:ascii="Aptos" w:hAnsi="Aptos"/>
                <w:b w:val="0"/>
                <w:sz w:val="16"/>
              </w:rPr>
              <w:t>Execute bounded provider-specific modules</w:t>
            </w:r>
          </w:p>
        </w:tc>
      </w:tr>
      <w:tr>
        <w:tc>
          <w:tcPr>
            <w:tcW w:type="dxa" w:w="5112"/>
            <w:vAlign w:val="center"/>
          </w:tcPr>
          <w:p>
            <w:r/>
            <w:r>
              <w:rPr>
                <w:rFonts w:ascii="Aptos" w:hAnsi="Aptos"/>
                <w:b w:val="0"/>
                <w:sz w:val="16"/>
              </w:rPr>
              <w:t>normalizeFindings</w:t>
            </w:r>
          </w:p>
        </w:tc>
        <w:tc>
          <w:tcPr>
            <w:tcW w:type="dxa" w:w="5112"/>
            <w:vAlign w:val="center"/>
          </w:tcPr>
          <w:p>
            <w:r/>
            <w:r>
              <w:rPr>
                <w:rFonts w:ascii="Aptos" w:hAnsi="Aptos"/>
                <w:b w:val="0"/>
                <w:sz w:val="16"/>
              </w:rPr>
              <w:t>Map evidence to common control, severity, status, resource and remediation fields</w:t>
            </w:r>
          </w:p>
        </w:tc>
      </w:tr>
    </w:tbl>
    <w:p/>
    <w:p>
      <w:pPr>
        <w:pStyle w:val="Heading1"/>
      </w:pPr>
      <w:r>
        <w:t>11. AWS first implementation backlog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F5F"/>
            <w:vAlign w:val="center"/>
          </w:tcPr>
          <w:p>
            <w:r>
              <w:rPr>
                <w:b/>
              </w:rPr>
            </w:r>
            <w:r>
              <w:rPr>
                <w:rFonts w:ascii="Aptos" w:hAnsi="Aptos"/>
                <w:b/>
                <w:color w:val="FFFFFF"/>
                <w:sz w:val="16"/>
              </w:rPr>
              <w:t>Workstream</w:t>
            </w:r>
          </w:p>
        </w:tc>
        <w:tc>
          <w:tcPr>
            <w:tcW w:type="dxa" w:w="5112"/>
            <w:shd w:fill="173F5F"/>
            <w:vAlign w:val="center"/>
          </w:tcPr>
          <w:p>
            <w:r>
              <w:rPr>
                <w:b/>
              </w:rPr>
            </w:r>
            <w:r>
              <w:rPr>
                <w:rFonts w:ascii="Aptos" w:hAnsi="Aptos"/>
                <w:b/>
                <w:color w:val="FFFFFF"/>
                <w:sz w:val="16"/>
              </w:rPr>
              <w:t>Required outcome</w:t>
            </w:r>
          </w:p>
        </w:tc>
      </w:tr>
      <w:tr>
        <w:tc>
          <w:tcPr>
            <w:tcW w:type="dxa" w:w="5112"/>
            <w:vAlign w:val="center"/>
          </w:tcPr>
          <w:p>
            <w:r/>
            <w:r>
              <w:rPr>
                <w:rFonts w:ascii="Aptos" w:hAnsi="Aptos"/>
                <w:b w:val="0"/>
                <w:sz w:val="16"/>
              </w:rPr>
              <w:t>Credential model</w:t>
            </w:r>
          </w:p>
        </w:tc>
        <w:tc>
          <w:tcPr>
            <w:tcW w:type="dxa" w:w="5112"/>
            <w:vAlign w:val="center"/>
          </w:tcPr>
          <w:p>
            <w:r/>
            <w:r>
              <w:rPr>
                <w:rFonts w:ascii="Aptos" w:hAnsi="Aptos"/>
                <w:b w:val="0"/>
                <w:sz w:val="16"/>
              </w:rPr>
              <w:t>STS AssumeRole with unique ExternalId; no static access keys</w:t>
            </w:r>
          </w:p>
        </w:tc>
      </w:tr>
      <w:tr>
        <w:tc>
          <w:tcPr>
            <w:tcW w:type="dxa" w:w="5112"/>
            <w:vAlign w:val="center"/>
          </w:tcPr>
          <w:p>
            <w:r/>
            <w:r>
              <w:rPr>
                <w:rFonts w:ascii="Aptos" w:hAnsi="Aptos"/>
                <w:b w:val="0"/>
                <w:sz w:val="16"/>
              </w:rPr>
              <w:t>Ownership</w:t>
            </w:r>
          </w:p>
        </w:tc>
        <w:tc>
          <w:tcPr>
            <w:tcW w:type="dxa" w:w="5112"/>
            <w:vAlign w:val="center"/>
          </w:tcPr>
          <w:p>
            <w:r/>
            <w:r>
              <w:rPr>
                <w:rFonts w:ascii="Aptos" w:hAnsi="Aptos"/>
                <w:b w:val="0"/>
                <w:sz w:val="16"/>
              </w:rPr>
              <w:t>Account and Organizations scope verification</w:t>
            </w:r>
          </w:p>
        </w:tc>
      </w:tr>
      <w:tr>
        <w:tc>
          <w:tcPr>
            <w:tcW w:type="dxa" w:w="5112"/>
            <w:vAlign w:val="center"/>
          </w:tcPr>
          <w:p>
            <w:r/>
            <w:r>
              <w:rPr>
                <w:rFonts w:ascii="Aptos" w:hAnsi="Aptos"/>
                <w:b w:val="0"/>
                <w:sz w:val="16"/>
              </w:rPr>
              <w:t>Inventory</w:t>
            </w:r>
          </w:p>
        </w:tc>
        <w:tc>
          <w:tcPr>
            <w:tcW w:type="dxa" w:w="5112"/>
            <w:vAlign w:val="center"/>
          </w:tcPr>
          <w:p>
            <w:r/>
            <w:r>
              <w:rPr>
                <w:rFonts w:ascii="Aptos" w:hAnsi="Aptos"/>
                <w:b w:val="0"/>
                <w:sz w:val="16"/>
              </w:rPr>
              <w:t>Accounts, regions and resource preflight</w:t>
            </w:r>
          </w:p>
        </w:tc>
      </w:tr>
      <w:tr>
        <w:tc>
          <w:tcPr>
            <w:tcW w:type="dxa" w:w="5112"/>
            <w:vAlign w:val="center"/>
          </w:tcPr>
          <w:p>
            <w:r/>
            <w:r>
              <w:rPr>
                <w:rFonts w:ascii="Aptos" w:hAnsi="Aptos"/>
                <w:b w:val="0"/>
                <w:sz w:val="16"/>
              </w:rPr>
              <w:t>Modules</w:t>
            </w:r>
          </w:p>
        </w:tc>
        <w:tc>
          <w:tcPr>
            <w:tcW w:type="dxa" w:w="5112"/>
            <w:vAlign w:val="center"/>
          </w:tcPr>
          <w:p>
            <w:r/>
            <w:r>
              <w:rPr>
                <w:rFonts w:ascii="Aptos" w:hAnsi="Aptos"/>
                <w:b w:val="0"/>
                <w:sz w:val="16"/>
              </w:rPr>
              <w:t>IAM, S3, EC2, SG, KMS, CloudTrail, Config, Security Hub, RDS and costs</w:t>
            </w:r>
          </w:p>
        </w:tc>
      </w:tr>
      <w:tr>
        <w:tc>
          <w:tcPr>
            <w:tcW w:type="dxa" w:w="5112"/>
            <w:vAlign w:val="center"/>
          </w:tcPr>
          <w:p>
            <w:r/>
            <w:r>
              <w:rPr>
                <w:rFonts w:ascii="Aptos" w:hAnsi="Aptos"/>
                <w:b w:val="0"/>
                <w:sz w:val="16"/>
              </w:rPr>
              <w:t>Security</w:t>
            </w:r>
          </w:p>
        </w:tc>
        <w:tc>
          <w:tcPr>
            <w:tcW w:type="dxa" w:w="5112"/>
            <w:vAlign w:val="center"/>
          </w:tcPr>
          <w:p>
            <w:r/>
            <w:r>
              <w:rPr>
                <w:rFonts w:ascii="Aptos" w:hAnsi="Aptos"/>
                <w:b w:val="0"/>
                <w:sz w:val="16"/>
              </w:rPr>
              <w:t>Tenant isolation, region allowlist, timeout/retry and evidence redaction</w:t>
            </w:r>
          </w:p>
        </w:tc>
      </w:tr>
      <w:tr>
        <w:tc>
          <w:tcPr>
            <w:tcW w:type="dxa" w:w="5112"/>
            <w:vAlign w:val="center"/>
          </w:tcPr>
          <w:p>
            <w:r/>
            <w:r>
              <w:rPr>
                <w:rFonts w:ascii="Aptos" w:hAnsi="Aptos"/>
                <w:b w:val="0"/>
                <w:sz w:val="16"/>
              </w:rPr>
              <w:t>Operations</w:t>
            </w:r>
          </w:p>
        </w:tc>
        <w:tc>
          <w:tcPr>
            <w:tcW w:type="dxa" w:w="5112"/>
            <w:vAlign w:val="center"/>
          </w:tcPr>
          <w:p>
            <w:r/>
            <w:r>
              <w:rPr>
                <w:rFonts w:ascii="Aptos" w:hAnsi="Aptos"/>
                <w:b w:val="0"/>
                <w:sz w:val="16"/>
              </w:rPr>
              <w:t>DLQ/replay, quotas, metrics, support runbook</w:t>
            </w:r>
          </w:p>
        </w:tc>
      </w:tr>
      <w:tr>
        <w:tc>
          <w:tcPr>
            <w:tcW w:type="dxa" w:w="5112"/>
            <w:vAlign w:val="center"/>
          </w:tcPr>
          <w:p>
            <w:r/>
            <w:r>
              <w:rPr>
                <w:rFonts w:ascii="Aptos" w:hAnsi="Aptos"/>
                <w:b w:val="0"/>
                <w:sz w:val="16"/>
              </w:rPr>
              <w:t>Contract</w:t>
            </w:r>
          </w:p>
        </w:tc>
        <w:tc>
          <w:tcPr>
            <w:tcW w:type="dxa" w:w="5112"/>
            <w:vAlign w:val="center"/>
          </w:tcPr>
          <w:p>
            <w:r/>
            <w:r>
              <w:rPr>
                <w:rFonts w:ascii="Aptos" w:hAnsi="Aptos"/>
                <w:b w:val="0"/>
                <w:sz w:val="16"/>
              </w:rPr>
              <w:t>No regression to Azure or public scan response</w:t>
            </w:r>
          </w:p>
        </w:tc>
      </w:tr>
    </w:tbl>
    <w:p/>
    <w:p>
      <w:r>
        <w:br w:type="page"/>
      </w:r>
    </w:p>
    <w:p>
      <w:pPr>
        <w:pStyle w:val="Heading1"/>
      </w:pPr>
      <w:r>
        <w:t>12. Production acceptance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F5F"/>
            <w:vAlign w:val="center"/>
          </w:tcPr>
          <w:p>
            <w:r>
              <w:rPr>
                <w:b/>
              </w:rPr>
            </w:r>
            <w:r>
              <w:rPr>
                <w:rFonts w:ascii="Aptos" w:hAnsi="Aptos"/>
                <w:b/>
                <w:color w:val="FFFFFF"/>
                <w:sz w:val="16"/>
              </w:rPr>
              <w:t>Domain</w:t>
            </w:r>
          </w:p>
        </w:tc>
        <w:tc>
          <w:tcPr>
            <w:tcW w:type="dxa" w:w="3408"/>
            <w:shd w:fill="173F5F"/>
            <w:vAlign w:val="center"/>
          </w:tcPr>
          <w:p>
            <w:r>
              <w:rPr>
                <w:b/>
              </w:rPr>
            </w:r>
            <w:r>
              <w:rPr>
                <w:rFonts w:ascii="Aptos" w:hAnsi="Aptos"/>
                <w:b/>
                <w:color w:val="FFFFFF"/>
                <w:sz w:val="16"/>
              </w:rPr>
              <w:t>GO condition</w:t>
            </w:r>
          </w:p>
        </w:tc>
        <w:tc>
          <w:tcPr>
            <w:tcW w:type="dxa" w:w="3408"/>
            <w:shd w:fill="173F5F"/>
            <w:vAlign w:val="center"/>
          </w:tcPr>
          <w:p>
            <w:r>
              <w:rPr>
                <w:b/>
              </w:rPr>
            </w:r>
            <w:r>
              <w:rPr>
                <w:rFonts w:ascii="Aptos" w:hAnsi="Aptos"/>
                <w:b/>
                <w:color w:val="FFFFFF"/>
                <w:sz w:val="16"/>
              </w:rPr>
              <w:t>Evidence owner</w:t>
            </w:r>
          </w:p>
        </w:tc>
      </w:tr>
      <w:tr>
        <w:tc>
          <w:tcPr>
            <w:tcW w:type="dxa" w:w="3408"/>
          </w:tcPr>
          <w:p>
            <w:r>
              <w:t>Source</w:t>
            </w:r>
          </w:p>
        </w:tc>
        <w:tc>
          <w:tcPr>
            <w:tcW w:type="dxa" w:w="3408"/>
          </w:tcPr>
          <w:p>
            <w:r>
              <w:t>Complete source/overlay validation succeeds; reviewed Git diff; immutable commit</w:t>
            </w:r>
          </w:p>
        </w:tc>
        <w:tc>
          <w:tcPr>
            <w:tcW w:type="dxa" w:w="3408"/>
          </w:tcPr>
          <w:p>
            <w:r>
              <w:t>Tech Lead</w:t>
            </w:r>
          </w:p>
        </w:tc>
      </w:tr>
      <w:tr>
        <w:tc>
          <w:tcPr>
            <w:tcW w:type="dxa" w:w="3408"/>
          </w:tcPr>
          <w:p>
            <w:r>
              <w:t>CI</w:t>
            </w:r>
          </w:p>
        </w:tc>
        <w:tc>
          <w:tcPr>
            <w:tcW w:type="dxa" w:w="3408"/>
          </w:tcPr>
          <w:p>
            <w:r>
              <w:t>Code/IaC and PostgreSQL enterprise jobs green</w:t>
            </w:r>
          </w:p>
        </w:tc>
        <w:tc>
          <w:tcPr>
            <w:tcW w:type="dxa" w:w="3408"/>
          </w:tcPr>
          <w:p>
            <w:r>
              <w:t>Engineering</w:t>
            </w:r>
          </w:p>
        </w:tc>
      </w:tr>
      <w:tr>
        <w:tc>
          <w:tcPr>
            <w:tcW w:type="dxa" w:w="3408"/>
          </w:tcPr>
          <w:p>
            <w:r>
              <w:t>PostgreSQL</w:t>
            </w:r>
          </w:p>
        </w:tc>
        <w:tc>
          <w:tcPr>
            <w:tcW w:type="dxa" w:w="3408"/>
          </w:tcPr>
          <w:p>
            <w:r>
              <w:t>Eight migrations; six hardened roles; 15 forced-RLS tables; 29 policies; 58 grants</w:t>
            </w:r>
          </w:p>
        </w:tc>
        <w:tc>
          <w:tcPr>
            <w:tcW w:type="dxa" w:w="3408"/>
          </w:tcPr>
          <w:p>
            <w:r>
              <w:t>DB/Platform</w:t>
            </w:r>
          </w:p>
        </w:tc>
      </w:tr>
      <w:tr>
        <w:tc>
          <w:tcPr>
            <w:tcW w:type="dxa" w:w="3408"/>
          </w:tcPr>
          <w:p>
            <w:r>
              <w:t>Workload migration</w:t>
            </w:r>
          </w:p>
        </w:tc>
        <w:tc>
          <w:tcPr>
            <w:tcW w:type="dxa" w:w="3408"/>
          </w:tcPr>
          <w:p>
            <w:r>
              <w:t>Every runtime shows expected UAMI, PG_USER and secret reference</w:t>
            </w:r>
          </w:p>
        </w:tc>
        <w:tc>
          <w:tcPr>
            <w:tcW w:type="dxa" w:w="3408"/>
          </w:tcPr>
          <w:p>
            <w:r>
              <w:t>Cloud architect</w:t>
            </w:r>
          </w:p>
        </w:tc>
      </w:tr>
      <w:tr>
        <w:tc>
          <w:tcPr>
            <w:tcW w:type="dxa" w:w="3408"/>
          </w:tcPr>
          <w:p>
            <w:r>
              <w:t>Key Vault</w:t>
            </w:r>
          </w:p>
        </w:tc>
        <w:tc>
          <w:tcPr>
            <w:tcW w:type="dxa" w:w="3408"/>
          </w:tcPr>
          <w:p>
            <w:r>
              <w:t>Dedicated secret access works; legacy broad readers removed after finalization</w:t>
            </w:r>
          </w:p>
        </w:tc>
        <w:tc>
          <w:tcPr>
            <w:tcW w:type="dxa" w:w="3408"/>
          </w:tcPr>
          <w:p>
            <w:r>
              <w:t>RSSI/Cloud</w:t>
            </w:r>
          </w:p>
        </w:tc>
      </w:tr>
      <w:tr>
        <w:tc>
          <w:tcPr>
            <w:tcW w:type="dxa" w:w="3408"/>
          </w:tcPr>
          <w:p>
            <w:r>
              <w:t>Service Bus</w:t>
            </w:r>
          </w:p>
        </w:tc>
        <w:tc>
          <w:tcPr>
            <w:tcW w:type="dxa" w:w="3408"/>
          </w:tcPr>
          <w:p>
            <w:r>
              <w:t>Worker/scaler Receiver, outbox Sender, API no Sender; local auth disabled after finalization</w:t>
            </w:r>
          </w:p>
        </w:tc>
        <w:tc>
          <w:tcPr>
            <w:tcW w:type="dxa" w:w="3408"/>
          </w:tcPr>
          <w:p>
            <w:r>
              <w:t>Cloud architect</w:t>
            </w:r>
          </w:p>
        </w:tc>
      </w:tr>
      <w:tr>
        <w:tc>
          <w:tcPr>
            <w:tcW w:type="dxa" w:w="3408"/>
          </w:tcPr>
          <w:p>
            <w:r>
              <w:t>API</w:t>
            </w:r>
          </w:p>
        </w:tc>
        <w:tc>
          <w:tcPr>
            <w:tcW w:type="dxa" w:w="3408"/>
          </w:tcPr>
          <w:p>
            <w:r>
              <w:t>Health, 401/200/404 isolation, durable outbox, JSON/PDF and billing smoke</w:t>
            </w:r>
          </w:p>
        </w:tc>
        <w:tc>
          <w:tcPr>
            <w:tcW w:type="dxa" w:w="3408"/>
          </w:tcPr>
          <w:p>
            <w:r>
              <w:t>QA/Product</w:t>
            </w:r>
          </w:p>
        </w:tc>
      </w:tr>
      <w:tr>
        <w:tc>
          <w:tcPr>
            <w:tcW w:type="dxa" w:w="3408"/>
          </w:tcPr>
          <w:p>
            <w:r>
              <w:t>Network</w:t>
            </w:r>
          </w:p>
        </w:tc>
        <w:tc>
          <w:tcPr>
            <w:tcW w:type="dxa" w:w="3408"/>
          </w:tcPr>
          <w:p>
            <w:r>
              <w:t>Key Vault/PostgreSQL private DNS and connectivity validated from private runner</w:t>
            </w:r>
          </w:p>
        </w:tc>
        <w:tc>
          <w:tcPr>
            <w:tcW w:type="dxa" w:w="3408"/>
          </w:tcPr>
          <w:p>
            <w:r>
              <w:t>Cloud architect</w:t>
            </w:r>
          </w:p>
        </w:tc>
      </w:tr>
      <w:tr>
        <w:tc>
          <w:tcPr>
            <w:tcW w:type="dxa" w:w="3408"/>
          </w:tcPr>
          <w:p>
            <w:r>
              <w:t>Operations</w:t>
            </w:r>
          </w:p>
        </w:tc>
        <w:tc>
          <w:tcPr>
            <w:tcW w:type="dxa" w:w="3408"/>
          </w:tcPr>
          <w:p>
            <w:r>
              <w:t>Backlog=0, DLQ=0, alerts, retention and rollback tested</w:t>
            </w:r>
          </w:p>
        </w:tc>
        <w:tc>
          <w:tcPr>
            <w:tcW w:type="dxa" w:w="3408"/>
          </w:tcPr>
          <w:p>
            <w:r>
              <w:t>SRE</w:t>
            </w:r>
          </w:p>
        </w:tc>
      </w:tr>
      <w:tr>
        <w:tc>
          <w:tcPr>
            <w:tcW w:type="dxa" w:w="3408"/>
          </w:tcPr>
          <w:p>
            <w:r>
              <w:t>Traffic</w:t>
            </w:r>
          </w:p>
        </w:tc>
        <w:tc>
          <w:tcPr>
            <w:tcW w:type="dxa" w:w="3408"/>
          </w:tcPr>
          <w:p>
            <w:r>
              <w:t>5%, 25%, 100% observations signed</w:t>
            </w:r>
          </w:p>
        </w:tc>
        <w:tc>
          <w:tcPr>
            <w:tcW w:type="dxa" w:w="3408"/>
          </w:tcPr>
          <w:p>
            <w:r>
              <w:t>Release manager</w:t>
            </w:r>
          </w:p>
        </w:tc>
      </w:tr>
      <w:tr>
        <w:tc>
          <w:tcPr>
            <w:tcW w:type="dxa" w:w="3408"/>
          </w:tcPr>
          <w:p>
            <w:r>
              <w:t>Evidence</w:t>
            </w:r>
          </w:p>
        </w:tc>
        <w:tc>
          <w:tcPr>
            <w:tcW w:type="dxa" w:w="3408"/>
          </w:tcPr>
          <w:p>
            <w:r>
              <w:t>Plans, image digests, DB/RBAC/network/APIM/traffic evidence checksummed</w:t>
            </w:r>
          </w:p>
        </w:tc>
        <w:tc>
          <w:tcPr>
            <w:tcW w:type="dxa" w:w="3408"/>
          </w:tcPr>
          <w:p>
            <w:r>
              <w:t>Technical writer/RSSI</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F2CC"/>
            <w:vAlign w:val="center"/>
          </w:tcPr>
          <w:p>
            <w:r>
              <w:rPr>
                <w:b/>
                <w:color w:val="143D5C"/>
              </w:rPr>
              <w:t xml:space="preserve">Final status wording  </w:t>
            </w:r>
            <w:r>
              <w:rPr>
                <w:b/>
              </w:rPr>
              <w:t>Before these gates: “deployment-ready release candidate”. After successful Azure deployment and signed evidence: “enterprise-ready production baseline”. Neither wording means zero residual risk or regulatory certification.</w:t>
            </w:r>
          </w:p>
        </w:tc>
      </w:tr>
    </w:tbl>
    <w:p/>
    <w:p>
      <w:pPr>
        <w:pStyle w:val="Heading1"/>
      </w:pPr>
      <w:r>
        <w:t>13. Files delivered in the package</w:t>
      </w:r>
    </w:p>
    <w:p>
      <w:r>
        <w:t>The ZIP includes the complete V6.1.3 source tree, an atomic baseline-upgrade installer, validators, CI workflow, PostgreSQL gate, integration tests, staged Terraform workload/security profiles, an isolated admin runtime, deployment and evidence automation, canonical R3 documentation and the multi-cloud architecture baseline.</w:t>
      </w:r>
    </w:p>
    <w:p>
      <w:pPr>
        <w:pStyle w:val="Heading1"/>
      </w:pPr>
      <w:r>
        <w:t>14. Operator checklist</w:t>
      </w:r>
    </w:p>
    <w:p>
      <w:pPr>
        <w:pStyle w:val="ListNumber"/>
      </w:pPr>
      <w:r>
        <w:t>Extract the package outside the repository and read README_FIRST.md.</w:t>
      </w:r>
    </w:p>
    <w:p>
      <w:pPr>
        <w:pStyle w:val="ListNumber"/>
      </w:pPr>
      <w:r>
        <w:t>Use the complete source tree for a new release branch, or run the overlay installer --check/--apply on the exact baseline.</w:t>
      </w:r>
    </w:p>
    <w:p>
      <w:pPr>
        <w:pStyle w:val="ListNumber"/>
      </w:pPr>
      <w:r>
        <w:t>Run validate_release.sh --full; do not push when any gate is red.</w:t>
      </w:r>
    </w:p>
    <w:p>
      <w:pPr>
        <w:pStyle w:val="ListNumber"/>
      </w:pPr>
      <w:r>
        <w:t>Push the reviewed V6.1.3 commit and require both CI jobs to pass.</w:t>
      </w:r>
    </w:p>
    <w:p>
      <w:pPr>
        <w:pStyle w:val="ListNumber"/>
      </w:pPr>
      <w:r>
        <w:t>Run preflight, build, database migration, workload plan/apply and workload smoke.</w:t>
      </w:r>
    </w:p>
    <w:p>
      <w:pPr>
        <w:pStyle w:val="ListNumber"/>
      </w:pPr>
      <w:r>
        <w:t>Roll API traffic 5% → 25% → 100% while the rollback bridge remains available.</w:t>
      </w:r>
    </w:p>
    <w:p>
      <w:pPr>
        <w:pStyle w:val="ListNumber"/>
      </w:pPr>
      <w:r>
        <w:t>From a private runner, plan/apply security finalization and run the final smoke.</w:t>
      </w:r>
    </w:p>
    <w:p>
      <w:pPr>
        <w:pStyle w:val="ListNumber"/>
      </w:pPr>
      <w:r>
        <w:t>Collect and archive checksummed evidence; update the runbook with actual deployment identifiers.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Document contrôlé — ne pas diffuser avec secrets, clés ou identifiants réels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BEVOAC V6.1.3 — Enterprise release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D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D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3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Bevoac V6.1.3 Enterprise Release and Deployment Guide</dc:title>
  <dc:subject>Staged runtime identity rollout, PostgreSQL RLS, Azure security finalization and multi-cloud foundation</dc:subject>
  <dc:creator>python-docx</dc:creator>
  <cp:keywords/>
  <dc:description>Generated and verified for the V6.1.3 enterprise release package.</dc:description>
  <cp:lastModifiedBy/>
  <cp:revision>1</cp:revision>
  <dcterms:created xsi:type="dcterms:W3CDTF">2013-12-23T23:15:00Z</dcterms:created>
  <dcterms:modified xsi:type="dcterms:W3CDTF">2013-12-23T23:15:00Z</dcterms:modified>
  <cp:category/>
</cp:coreProperties>
</file>