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45B"/>
          <w:sz w:val="44"/>
        </w:rPr>
        <w:t>Comparatif Runbooks Bevoac V4.2 / V5.1 / V5.2 / V5.3</w:t>
      </w:r>
    </w:p>
    <w:p>
      <w:pPr>
        <w:jc w:val="center"/>
      </w:pPr>
      <w:r>
        <w:rPr>
          <w:i/>
          <w:sz w:val="22"/>
        </w:rPr>
        <w:t>Contrôle de couverture documentaire et décisions de consolidation</w:t>
      </w:r>
    </w:p>
    <w:p>
      <w:r>
        <w:t>Généré le 2026-06-02 - Document V5.3 production-acceptance</w:t>
      </w:r>
    </w:p>
    <w:p>
      <w:r>
        <w:br w:type="page"/>
      </w:r>
    </w:p>
    <w:p>
      <w:pPr>
        <w:pStyle w:val="Heading1"/>
      </w:pPr>
      <w:r>
        <w:t>Comparatif exécutif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Apport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</w:rPr>
              <w:t>Limite</w:t>
            </w:r>
          </w:p>
        </w:tc>
      </w:tr>
      <w:tr>
        <w:tc>
          <w:tcPr>
            <w:tcW w:type="dxa" w:w="3552"/>
            <w:vAlign w:val="top"/>
          </w:tcPr>
          <w:p>
            <w:r>
              <w:t>V4.2</w:t>
            </w:r>
          </w:p>
        </w:tc>
        <w:tc>
          <w:tcPr>
            <w:tcW w:type="dxa" w:w="3552"/>
            <w:vAlign w:val="top"/>
          </w:tcPr>
          <w:p>
            <w:r>
              <w:t>Socle opérationnel très détaillé, architecture et démo from scratch.</w:t>
            </w:r>
          </w:p>
        </w:tc>
        <w:tc>
          <w:tcPr>
            <w:tcW w:type="dxa" w:w="3552"/>
            <w:vAlign w:val="top"/>
          </w:tcPr>
          <w:p>
            <w:r>
              <w:t>Avant hardening V5/V5.3.</w:t>
            </w:r>
          </w:p>
        </w:tc>
      </w:tr>
      <w:tr>
        <w:tc>
          <w:tcPr>
            <w:tcW w:type="dxa" w:w="3552"/>
            <w:vAlign w:val="top"/>
          </w:tcPr>
          <w:p>
            <w:r>
              <w:t>V5.1</w:t>
            </w:r>
          </w:p>
        </w:tc>
        <w:tc>
          <w:tcPr>
            <w:tcW w:type="dxa" w:w="3552"/>
            <w:vAlign w:val="top"/>
          </w:tcPr>
          <w:p>
            <w:r>
              <w:t>Production ready documenté, DLQ, private endpoints, OIDC, scan_results.</w:t>
            </w:r>
          </w:p>
        </w:tc>
        <w:tc>
          <w:tcPr>
            <w:tcW w:type="dxa" w:w="3552"/>
            <w:vAlign w:val="top"/>
          </w:tcPr>
          <w:p>
            <w:r>
              <w:t>Ne couvre pas outbox publisher dédié ni V5.3 risks.</w:t>
            </w:r>
          </w:p>
        </w:tc>
      </w:tr>
      <w:tr>
        <w:tc>
          <w:tcPr>
            <w:tcW w:type="dxa" w:w="3552"/>
            <w:vAlign w:val="top"/>
          </w:tcPr>
          <w:p>
            <w:r>
              <w:t>V5.2</w:t>
            </w:r>
          </w:p>
        </w:tc>
        <w:tc>
          <w:tcPr>
            <w:tcW w:type="dxa" w:w="3552"/>
            <w:vAlign w:val="top"/>
          </w:tcPr>
          <w:p>
            <w:r>
              <w:t>Idempotence, outbox, billing lifecycle, APIM, alerting, retention.</w:t>
            </w:r>
          </w:p>
        </w:tc>
        <w:tc>
          <w:tcPr>
            <w:tcW w:type="dxa" w:w="3552"/>
            <w:vAlign w:val="top"/>
          </w:tcPr>
          <w:p>
            <w:r>
              <w:t>Package plus court et V5.3 non intégré.</w:t>
            </w:r>
          </w:p>
        </w:tc>
      </w:tr>
      <w:tr>
        <w:tc>
          <w:tcPr>
            <w:tcW w:type="dxa" w:w="3552"/>
            <w:vAlign w:val="top"/>
          </w:tcPr>
          <w:p>
            <w:r>
              <w:t>V5.3</w:t>
            </w:r>
          </w:p>
        </w:tc>
        <w:tc>
          <w:tcPr>
            <w:tcW w:type="dxa" w:w="3552"/>
            <w:vAlign w:val="top"/>
          </w:tcPr>
          <w:p>
            <w:r>
              <w:t>Production acceptance, guardrails tenant, outbox publisher, APIM modes, load proof.</w:t>
            </w:r>
          </w:p>
        </w:tc>
        <w:tc>
          <w:tcPr>
            <w:tcW w:type="dxa" w:w="3552"/>
            <w:vAlign w:val="top"/>
          </w:tcPr>
          <w:p>
            <w:r>
              <w:t>Enterprise strict encore conditionné à pentest/RLS/DR/charge.</w:t>
            </w:r>
          </w:p>
        </w:tc>
      </w:tr>
    </w:tbl>
    <w:p>
      <w:pPr>
        <w:pStyle w:val="Heading1"/>
      </w:pPr>
      <w:r>
        <w:t>Documents actifs et historiques</w:t>
      </w:r>
    </w:p>
    <w:p>
      <w:r>
        <w:t>La V5.3 devient le corpus actif. Les documents V5.2 doivent rester disponibles mais ne plus être utilisés comme guides opérationnels principaux.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328"/>
            <w:shd w:fill="D9EAF7"/>
          </w:tcPr>
          <w:p>
            <w:r>
              <w:rPr>
                <w:b/>
              </w:rPr>
              <w:t>Statut recommandé</w:t>
            </w:r>
          </w:p>
        </w:tc>
      </w:tr>
      <w:tr>
        <w:tc>
          <w:tcPr>
            <w:tcW w:type="dxa" w:w="5328"/>
            <w:vAlign w:val="top"/>
          </w:tcPr>
          <w:p>
            <w:r>
              <w:t>Runbook_Bevoac_V5_3_Production_Ready_Ultime.docx</w:t>
            </w:r>
          </w:p>
        </w:tc>
        <w:tc>
          <w:tcPr>
            <w:tcW w:type="dxa" w:w="5328"/>
            <w:vAlign w:val="top"/>
          </w:tcPr>
          <w:p>
            <w:r>
              <w:t>Actif</w:t>
            </w:r>
          </w:p>
        </w:tc>
      </w:tr>
      <w:tr>
        <w:tc>
          <w:tcPr>
            <w:tcW w:type="dxa" w:w="5328"/>
            <w:vAlign w:val="top"/>
          </w:tcPr>
          <w:p>
            <w:r>
              <w:t>operations/runbook-v5-3-production-ready.md</w:t>
            </w:r>
          </w:p>
        </w:tc>
        <w:tc>
          <w:tcPr>
            <w:tcW w:type="dxa" w:w="5328"/>
            <w:vAlign w:val="top"/>
          </w:tcPr>
          <w:p>
            <w:r>
              <w:t>Actif</w:t>
            </w:r>
          </w:p>
        </w:tc>
      </w:tr>
      <w:tr>
        <w:tc>
          <w:tcPr>
            <w:tcW w:type="dxa" w:w="5328"/>
            <w:vAlign w:val="top"/>
          </w:tcPr>
          <w:p>
            <w:r>
              <w:t>V5.2 runbooks</w:t>
            </w:r>
          </w:p>
        </w:tc>
        <w:tc>
          <w:tcPr>
            <w:tcW w:type="dxa" w:w="5328"/>
            <w:vAlign w:val="top"/>
          </w:tcPr>
          <w:p>
            <w:r>
              <w:t>Historique / archive</w:t>
            </w:r>
          </w:p>
        </w:tc>
      </w:tr>
      <w:tr>
        <w:tc>
          <w:tcPr>
            <w:tcW w:type="dxa" w:w="5328"/>
            <w:vAlign w:val="top"/>
          </w:tcPr>
          <w:p>
            <w:r>
              <w:t>V4.2/V5.1 source runbooks</w:t>
            </w:r>
          </w:p>
        </w:tc>
        <w:tc>
          <w:tcPr>
            <w:tcW w:type="dxa" w:w="5328"/>
            <w:vAlign w:val="top"/>
          </w:tcPr>
          <w:p>
            <w:r>
              <w:t>Source de traçabilité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