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b/>
          <w:i w:val="0"/>
          <w:color w:val="1F4E79"/>
          <w:sz w:val="56"/>
        </w:rPr>
        <w:t>Comparatif Runbooks Bevoac</w:t>
      </w:r>
    </w:p>
    <w:p>
      <w:pPr>
        <w:spacing w:before="0" w:after="200" w:line="252" w:lineRule="auto"/>
        <w:jc w:val="center"/>
      </w:pPr>
      <w:r>
        <w:rPr>
          <w:b w:val="0"/>
          <w:i w:val="0"/>
          <w:color w:val="0F243E"/>
          <w:sz w:val="24"/>
        </w:rPr>
        <w:t>V4.2 / V5.2 Ultimate / V5.3 précédent / V5.3 rebase V4.2</w:t>
      </w:r>
    </w:p>
    <w:p>
      <w:pPr>
        <w:spacing w:before="0" w:after="80" w:line="252" w:lineRule="auto"/>
      </w:pPr>
      <w:r>
        <w:t>Objectif : prouver que le runbook V5.3 final ne dégrade pas la V4.2, mais la reprend comme base et ajoute les évolutions V5.2/V5.3.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304"/>
            <w:shd w:fill="1F4E79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5"/>
              </w:rPr>
              <w:t>Critère</w:t>
            </w:r>
          </w:p>
        </w:tc>
        <w:tc>
          <w:tcPr>
            <w:tcW w:type="dxa" w:w="2016"/>
            <w:shd w:fill="1F4E79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5"/>
              </w:rPr>
              <w:t>V4.2</w:t>
            </w:r>
          </w:p>
        </w:tc>
        <w:tc>
          <w:tcPr>
            <w:tcW w:type="dxa" w:w="2160"/>
            <w:shd w:fill="1F4E79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5"/>
              </w:rPr>
              <w:t>V5.2 Ultimate</w:t>
            </w:r>
          </w:p>
        </w:tc>
        <w:tc>
          <w:tcPr>
            <w:tcW w:type="dxa" w:w="2016"/>
            <w:shd w:fill="1F4E79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5"/>
              </w:rPr>
              <w:t>V5.3 précédent</w:t>
            </w:r>
          </w:p>
        </w:tc>
        <w:tc>
          <w:tcPr>
            <w:tcW w:type="dxa" w:w="2736"/>
            <w:shd w:fill="1F4E79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color w:val="FFFFFF"/>
                <w:sz w:val="15"/>
              </w:rPr>
              <w:t>V5.3 rebase final</w:t>
            </w:r>
          </w:p>
        </w:tc>
      </w:tr>
      <w:tr>
        <w:tc>
          <w:tcPr>
            <w:tcW w:type="dxa" w:w="2304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Structure from scratch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Très complète</w:t>
            </w:r>
          </w:p>
        </w:tc>
        <w:tc>
          <w:tcPr>
            <w:tcW w:type="dxa" w:w="2160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Complète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Trop courte</w:t>
            </w:r>
          </w:p>
        </w:tc>
        <w:tc>
          <w:tcPr>
            <w:tcW w:type="dxa" w:w="273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Conservée et enrichie</w:t>
            </w:r>
          </w:p>
        </w:tc>
      </w:tr>
      <w:tr>
        <w:tc>
          <w:tcPr>
            <w:tcW w:type="dxa" w:w="2304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sz w:val="15"/>
              </w:rPr>
              <w:t>Schémas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Architecture/onboarding/scan/isolation</w:t>
            </w:r>
          </w:p>
        </w:tc>
        <w:tc>
          <w:tcPr>
            <w:tcW w:type="dxa" w:w="2160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7 schémas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Schémas insuffisants ou faibles</w:t>
            </w:r>
          </w:p>
        </w:tc>
        <w:tc>
          <w:tcPr>
            <w:tcW w:type="dxa" w:w="273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9 schémas + Mermaid + PNG</w:t>
            </w:r>
          </w:p>
        </w:tc>
      </w:tr>
      <w:tr>
        <w:tc>
          <w:tcPr>
            <w:tcW w:type="dxa" w:w="2304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sz w:val="15"/>
              </w:rPr>
              <w:t>API client/admin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Complet V4.2</w:t>
            </w:r>
          </w:p>
        </w:tc>
        <w:tc>
          <w:tcPr>
            <w:tcW w:type="dxa" w:w="2160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V5.2 complet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Partiel</w:t>
            </w:r>
          </w:p>
        </w:tc>
        <w:tc>
          <w:tcPr>
            <w:tcW w:type="dxa" w:w="273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Complet V5.3</w:t>
            </w:r>
          </w:p>
        </w:tc>
      </w:tr>
      <w:tr>
        <w:tc>
          <w:tcPr>
            <w:tcW w:type="dxa" w:w="2304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sz w:val="15"/>
              </w:rPr>
              <w:t>Outbox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Peu central</w:t>
            </w:r>
          </w:p>
        </w:tc>
        <w:tc>
          <w:tcPr>
            <w:tcW w:type="dxa" w:w="2160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Transactional outbox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Publisher dédié mentionné</w:t>
            </w:r>
          </w:p>
        </w:tc>
        <w:tc>
          <w:tcPr>
            <w:tcW w:type="dxa" w:w="273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Chapitre dédié + validation</w:t>
            </w:r>
          </w:p>
        </w:tc>
      </w:tr>
      <w:tr>
        <w:tc>
          <w:tcPr>
            <w:tcW w:type="dxa" w:w="2304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sz w:val="15"/>
              </w:rPr>
              <w:t>Billing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Ledger/snapshot</w:t>
            </w:r>
          </w:p>
        </w:tc>
        <w:tc>
          <w:tcPr>
            <w:tcW w:type="dxa" w:w="2160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RESERVED/CONSUMED/REFUNDED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Mentionné</w:t>
            </w:r>
          </w:p>
        </w:tc>
        <w:tc>
          <w:tcPr>
            <w:tcW w:type="dxa" w:w="273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Commandes + SQL + états</w:t>
            </w:r>
          </w:p>
        </w:tc>
      </w:tr>
      <w:tr>
        <w:tc>
          <w:tcPr>
            <w:tcW w:type="dxa" w:w="2304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sz w:val="15"/>
              </w:rPr>
              <w:t>APIM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Non central</w:t>
            </w:r>
          </w:p>
        </w:tc>
        <w:tc>
          <w:tcPr>
            <w:tcW w:type="dxa" w:w="2160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Optionnel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Présent</w:t>
            </w:r>
          </w:p>
        </w:tc>
        <w:tc>
          <w:tcPr>
            <w:tcW w:type="dxa" w:w="273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Modes double-auth/Bevoac-only + smoke test</w:t>
            </w:r>
          </w:p>
        </w:tc>
      </w:tr>
      <w:tr>
        <w:tc>
          <w:tcPr>
            <w:tcW w:type="dxa" w:w="2304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sz w:val="15"/>
              </w:rPr>
              <w:t>Tenant isolation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Filtres applicatifs</w:t>
            </w:r>
          </w:p>
        </w:tc>
        <w:tc>
          <w:tcPr>
            <w:tcW w:type="dxa" w:w="2160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Tests cross tenant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Guardrails mentionnés</w:t>
            </w:r>
          </w:p>
        </w:tc>
        <w:tc>
          <w:tcPr>
            <w:tcW w:type="dxa" w:w="273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Guardrails + check:tenant-isolation + limites RLS</w:t>
            </w:r>
          </w:p>
        </w:tc>
      </w:tr>
      <w:tr>
        <w:tc>
          <w:tcPr>
            <w:tcW w:type="dxa" w:w="2304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sz w:val="15"/>
              </w:rPr>
              <w:t>Troubleshooting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Solide</w:t>
            </w:r>
          </w:p>
        </w:tc>
        <w:tc>
          <w:tcPr>
            <w:tcW w:type="dxa" w:w="2160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Solide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Trop synthétique</w:t>
            </w:r>
          </w:p>
        </w:tc>
        <w:tc>
          <w:tcPr>
            <w:tcW w:type="dxa" w:w="273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Erreurs réelles intégrées</w:t>
            </w:r>
          </w:p>
        </w:tc>
      </w:tr>
      <w:tr>
        <w:tc>
          <w:tcPr>
            <w:tcW w:type="dxa" w:w="2304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i w:val="0"/>
                <w:sz w:val="15"/>
              </w:rPr>
              <w:t>Discours client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Préproduction B2B</w:t>
            </w:r>
          </w:p>
        </w:tc>
        <w:tc>
          <w:tcPr>
            <w:tcW w:type="dxa" w:w="2160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Pilot-ready</w:t>
            </w:r>
          </w:p>
        </w:tc>
        <w:tc>
          <w:tcPr>
            <w:tcW w:type="dxa" w:w="201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Production acceptance</w:t>
            </w:r>
          </w:p>
        </w:tc>
        <w:tc>
          <w:tcPr>
            <w:tcW w:type="dxa" w:w="2736"/>
            <w:tcBorders>
              <w:top w:sz="6" w:val="single" w:color="A6A6A6"/>
              <w:left w:sz="6" w:val="single" w:color="A6A6A6"/>
              <w:bottom w:sz="6" w:val="single" w:color="A6A6A6"/>
              <w:right w:sz="6" w:val="single" w:color="A6A6A6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15"/>
              </w:rPr>
              <w:t>Production contrôlée client-safe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Borders>
              <w:top w:sz="6" w:val="single" w:color="7F7F7F"/>
              <w:left w:sz="6" w:val="single" w:color="7F7F7F"/>
              <w:bottom w:sz="6" w:val="single" w:color="7F7F7F"/>
              <w:right w:sz="6" w:val="single" w:color="7F7F7F"/>
            </w:tcBorders>
            <w:vAlign w:val="center"/>
          </w:tcPr>
          <w:p>
            <w:pPr>
              <w:spacing w:before="0" w:after="40" w:line="252" w:lineRule="auto"/>
            </w:pPr>
            <w:r>
              <w:rPr>
                <w:b/>
                <w:i w:val="0"/>
                <w:color w:val="0F243E"/>
              </w:rPr>
              <w:t xml:space="preserve">Décision - </w:t>
            </w:r>
            <w:r>
              <w:rPr>
                <w:b w:val="0"/>
                <w:i w:val="0"/>
              </w:rPr>
              <w:t>Le document actif doit être le runbook V5.3 rebase V4.2. Les anciennes versions restent en sources historiques.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