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345B"/>
          <w:sz w:val="44"/>
        </w:rPr>
        <w:t>BEVOAC - Runbook V5.3 Production Ready Ultime</w:t>
      </w:r>
    </w:p>
    <w:p>
      <w:pPr>
        <w:jc w:val="center"/>
      </w:pPr>
      <w:r>
        <w:rPr>
          <w:i/>
          <w:sz w:val="22"/>
        </w:rPr>
        <w:t>API SaaS B2B Azure-first - exploitation, sécurité, tests client/admin, APIM, outbox, rétention, charge et GO/NO-GO</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Champ</w:t>
            </w:r>
          </w:p>
        </w:tc>
        <w:tc>
          <w:tcPr>
            <w:tcW w:type="dxa" w:w="5328"/>
            <w:shd w:fill="D9EAF7"/>
          </w:tcPr>
          <w:p>
            <w:r>
              <w:rPr>
                <w:b/>
              </w:rPr>
              <w:t>Valeur</w:t>
            </w:r>
          </w:p>
        </w:tc>
      </w:tr>
      <w:tr>
        <w:tc>
          <w:tcPr>
            <w:tcW w:type="dxa" w:w="5328"/>
            <w:vAlign w:val="top"/>
          </w:tcPr>
          <w:p>
            <w:r>
              <w:t>Version</w:t>
            </w:r>
          </w:p>
        </w:tc>
        <w:tc>
          <w:tcPr>
            <w:tcW w:type="dxa" w:w="5328"/>
            <w:vAlign w:val="top"/>
          </w:tcPr>
          <w:p>
            <w:r>
              <w:t>V5.3.0-production-acceptance</w:t>
            </w:r>
          </w:p>
        </w:tc>
      </w:tr>
      <w:tr>
        <w:tc>
          <w:tcPr>
            <w:tcW w:type="dxa" w:w="5328"/>
            <w:vAlign w:val="top"/>
          </w:tcPr>
          <w:p>
            <w:r>
              <w:t>Statut</w:t>
            </w:r>
          </w:p>
        </w:tc>
        <w:tc>
          <w:tcPr>
            <w:tcW w:type="dxa" w:w="5328"/>
            <w:vAlign w:val="top"/>
          </w:tcPr>
          <w:p>
            <w:r>
              <w:t>Production contrôlée / pilote B2B avancé</w:t>
            </w:r>
          </w:p>
        </w:tc>
      </w:tr>
      <w:tr>
        <w:tc>
          <w:tcPr>
            <w:tcW w:type="dxa" w:w="5328"/>
            <w:vAlign w:val="top"/>
          </w:tcPr>
          <w:p>
            <w:r>
              <w:t>Audience</w:t>
            </w:r>
          </w:p>
        </w:tc>
        <w:tc>
          <w:tcPr>
            <w:tcW w:type="dxa" w:w="5328"/>
            <w:vAlign w:val="top"/>
          </w:tcPr>
          <w:p>
            <w:r>
              <w:t>CTO, RSSI, architecte cloud, opérateur Bevoac, intégrateur B2B</w:t>
            </w:r>
          </w:p>
        </w:tc>
      </w:tr>
      <w:tr>
        <w:tc>
          <w:tcPr>
            <w:tcW w:type="dxa" w:w="5328"/>
            <w:vAlign w:val="top"/>
          </w:tcPr>
          <w:p>
            <w:r>
              <w:t>Contrat scan.requested</w:t>
            </w:r>
          </w:p>
        </w:tc>
        <w:tc>
          <w:tcPr>
            <w:tcW w:type="dxa" w:w="5328"/>
            <w:vAlign w:val="top"/>
          </w:tcPr>
          <w:p>
            <w:r>
              <w:t>2026-05-06-production-hardening-v5</w:t>
            </w:r>
          </w:p>
        </w:tc>
      </w:tr>
      <w:tr>
        <w:tc>
          <w:tcPr>
            <w:tcW w:type="dxa" w:w="5328"/>
            <w:vAlign w:val="top"/>
          </w:tcPr>
          <w:p>
            <w:r>
              <w:t>Positionnement</w:t>
            </w:r>
          </w:p>
        </w:tc>
        <w:tc>
          <w:tcPr>
            <w:tcW w:type="dxa" w:w="5328"/>
            <w:vAlign w:val="top"/>
          </w:tcPr>
          <w:p>
            <w:r>
              <w:t>Production-oriented, non enterprise-certified sans preuves complémentaires</w:t>
            </w:r>
          </w:p>
        </w:tc>
      </w:tr>
    </w:tbl>
    <w:p>
      <w:r>
        <w:br w:type="page"/>
      </w:r>
    </w:p>
    <w:p>
      <w:pPr>
        <w:pStyle w:val="Heading1"/>
      </w:pPr>
      <w:r>
        <w:t>0. Contrôle documentaire et décisions V5.3</w:t>
      </w:r>
    </w:p>
    <w:p>
      <w:r>
        <w:t>Ce document est le runbook actif recommandé pour Bevoac V5.3. Les runbooks V4.2, V5.1 et V5.2 restent des sources historiques utiles mais ne doivent plus être utilisés comme documentation active client après adoption V5.3.</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Source</w:t>
            </w:r>
          </w:p>
        </w:tc>
        <w:tc>
          <w:tcPr>
            <w:tcW w:type="dxa" w:w="3552"/>
            <w:shd w:fill="D9EAF7"/>
          </w:tcPr>
          <w:p>
            <w:r>
              <w:rPr>
                <w:b/>
              </w:rPr>
              <w:t>Décision V5.3</w:t>
            </w:r>
          </w:p>
        </w:tc>
        <w:tc>
          <w:tcPr>
            <w:tcW w:type="dxa" w:w="3552"/>
            <w:shd w:fill="D9EAF7"/>
          </w:tcPr>
          <w:p>
            <w:r>
              <w:rPr>
                <w:b/>
              </w:rPr>
              <w:t>Raison</w:t>
            </w:r>
          </w:p>
        </w:tc>
      </w:tr>
      <w:tr>
        <w:tc>
          <w:tcPr>
            <w:tcW w:type="dxa" w:w="3552"/>
            <w:vAlign w:val="top"/>
          </w:tcPr>
          <w:p>
            <w:r>
              <w:t>Runbook V4.2</w:t>
            </w:r>
          </w:p>
        </w:tc>
        <w:tc>
          <w:tcPr>
            <w:tcW w:type="dxa" w:w="3552"/>
            <w:vAlign w:val="top"/>
          </w:tcPr>
          <w:p>
            <w:r>
              <w:t>Conserver en historique</w:t>
            </w:r>
          </w:p>
        </w:tc>
        <w:tc>
          <w:tcPr>
            <w:tcW w:type="dxa" w:w="3552"/>
            <w:vAlign w:val="top"/>
          </w:tcPr>
          <w:p>
            <w:r>
              <w:t>Très bonne granularité opératoire et schémas utiles.</w:t>
            </w:r>
          </w:p>
        </w:tc>
      </w:tr>
      <w:tr>
        <w:tc>
          <w:tcPr>
            <w:tcW w:type="dxa" w:w="3552"/>
            <w:vAlign w:val="top"/>
          </w:tcPr>
          <w:p>
            <w:r>
              <w:t>Runbook V5.1</w:t>
            </w:r>
          </w:p>
        </w:tc>
        <w:tc>
          <w:tcPr>
            <w:tcW w:type="dxa" w:w="3552"/>
            <w:vAlign w:val="top"/>
          </w:tcPr>
          <w:p>
            <w:r>
              <w:t>Conserver en source</w:t>
            </w:r>
          </w:p>
        </w:tc>
        <w:tc>
          <w:tcPr>
            <w:tcW w:type="dxa" w:w="3552"/>
            <w:vAlign w:val="top"/>
          </w:tcPr>
          <w:p>
            <w:r>
              <w:t>Base structurante production-ready documentée.</w:t>
            </w:r>
          </w:p>
        </w:tc>
      </w:tr>
      <w:tr>
        <w:tc>
          <w:tcPr>
            <w:tcW w:type="dxa" w:w="3552"/>
            <w:vAlign w:val="top"/>
          </w:tcPr>
          <w:p>
            <w:r>
              <w:t>Runbook V5.2</w:t>
            </w:r>
          </w:p>
        </w:tc>
        <w:tc>
          <w:tcPr>
            <w:tcW w:type="dxa" w:w="3552"/>
            <w:vAlign w:val="top"/>
          </w:tcPr>
          <w:p>
            <w:r>
              <w:t>Conserver en historique</w:t>
            </w:r>
          </w:p>
        </w:tc>
        <w:tc>
          <w:tcPr>
            <w:tcW w:type="dxa" w:w="3552"/>
            <w:vAlign w:val="top"/>
          </w:tcPr>
          <w:p>
            <w:r>
              <w:t>A intégré idempotence, outbox, APIM, alerting et rétention.</w:t>
            </w:r>
          </w:p>
        </w:tc>
      </w:tr>
      <w:tr>
        <w:tc>
          <w:tcPr>
            <w:tcW w:type="dxa" w:w="3552"/>
            <w:vAlign w:val="top"/>
          </w:tcPr>
          <w:p>
            <w:r>
              <w:t>V5.3</w:t>
            </w:r>
          </w:p>
        </w:tc>
        <w:tc>
          <w:tcPr>
            <w:tcW w:type="dxa" w:w="3552"/>
            <w:vAlign w:val="top"/>
          </w:tcPr>
          <w:p>
            <w:r>
              <w:t>Document actif</w:t>
            </w:r>
          </w:p>
        </w:tc>
        <w:tc>
          <w:tcPr>
            <w:tcW w:type="dxa" w:w="3552"/>
            <w:vAlign w:val="top"/>
          </w:tcPr>
          <w:p>
            <w:r>
              <w:t>Ajoute production acceptance, outbox publisher dédié, guardrails tenant, APIM explicite et load proof.</w:t>
            </w:r>
          </w:p>
        </w:tc>
      </w:tr>
    </w:tbl>
    <w:p>
      <w:pPr>
        <w:pStyle w:val="ListBullet"/>
      </w:pPr>
      <w:r>
        <w:t>Tout document V5.2 doit être marqué historique ou archivé dans un PR documentaire dédié.</w:t>
      </w:r>
    </w:p>
    <w:p>
      <w:pPr>
        <w:pStyle w:val="ListBullet"/>
      </w:pPr>
      <w:r>
        <w:t>Aucune suppression automatique sans validation documentaire.</w:t>
      </w:r>
    </w:p>
    <w:p>
      <w:pPr>
        <w:pStyle w:val="ListBullet"/>
      </w:pPr>
      <w:r>
        <w:t>Les risques non prouvés restent visibles dans le registre d’acceptation.</w:t>
      </w:r>
    </w:p>
    <w:p>
      <w:r>
        <w:br w:type="page"/>
      </w:r>
    </w:p>
    <w:p>
      <w:pPr>
        <w:pStyle w:val="Heading1"/>
      </w:pPr>
      <w:r>
        <w:t>1. Résumé exécutif</w:t>
      </w:r>
    </w:p>
    <w:p>
      <w:r>
        <w:t>Bevoac est une API SaaS B2B d’audit cloud et web. Elle permet à un client, intégrateur ou partenaire de lancer des scans web et Azure, de récupérer les résultats JSON, de générer un rapport PDF orienté findings/remediation/evidence, de suivre l’historique et de relancer des scans après remédiation.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Axe</w:t>
            </w:r>
          </w:p>
        </w:tc>
        <w:tc>
          <w:tcPr>
            <w:tcW w:type="dxa" w:w="3552"/>
            <w:shd w:fill="D9EAF7"/>
          </w:tcPr>
          <w:p>
            <w:r>
              <w:rPr>
                <w:b/>
              </w:rPr>
              <w:t>Implémentation V5.3</w:t>
            </w:r>
          </w:p>
        </w:tc>
        <w:tc>
          <w:tcPr>
            <w:tcW w:type="dxa" w:w="3552"/>
            <w:shd w:fill="D9EAF7"/>
          </w:tcPr>
          <w:p>
            <w:r>
              <w:rPr>
                <w:b/>
              </w:rPr>
              <w:t>Valeur B2B</w:t>
            </w:r>
          </w:p>
        </w:tc>
      </w:tr>
      <w:tr>
        <w:tc>
          <w:tcPr>
            <w:tcW w:type="dxa" w:w="3552"/>
            <w:vAlign w:val="top"/>
          </w:tcPr>
          <w:p>
            <w:r>
              <w:t>API</w:t>
            </w:r>
          </w:p>
        </w:tc>
        <w:tc>
          <w:tcPr>
            <w:tcW w:type="dxa" w:w="3552"/>
            <w:vAlign w:val="top"/>
          </w:tcPr>
          <w:p>
            <w:r>
              <w:t>Fastify /v1, API key, tenant dérivé</w:t>
            </w:r>
          </w:p>
        </w:tc>
        <w:tc>
          <w:tcPr>
            <w:tcW w:type="dxa" w:w="3552"/>
            <w:vAlign w:val="top"/>
          </w:tcPr>
          <w:p>
            <w:r>
              <w:t>Interface simple et industrialisable.</w:t>
            </w:r>
          </w:p>
        </w:tc>
      </w:tr>
      <w:tr>
        <w:tc>
          <w:tcPr>
            <w:tcW w:type="dxa" w:w="3552"/>
            <w:vAlign w:val="top"/>
          </w:tcPr>
          <w:p>
            <w:r>
              <w:t>Multi-tenant</w:t>
            </w:r>
          </w:p>
        </w:tc>
        <w:tc>
          <w:tcPr>
            <w:tcW w:type="dxa" w:w="3552"/>
            <w:vAlign w:val="top"/>
          </w:tcPr>
          <w:p>
            <w:r>
              <w:t>Allowlists, tenant filters, guardrails DB</w:t>
            </w:r>
          </w:p>
        </w:tc>
        <w:tc>
          <w:tcPr>
            <w:tcW w:type="dxa" w:w="3552"/>
            <w:vAlign w:val="top"/>
          </w:tcPr>
          <w:p>
            <w:r>
              <w:t>Réduit le risque cross-customer.</w:t>
            </w:r>
          </w:p>
        </w:tc>
      </w:tr>
      <w:tr>
        <w:tc>
          <w:tcPr>
            <w:tcW w:type="dxa" w:w="3552"/>
            <w:vAlign w:val="top"/>
          </w:tcPr>
          <w:p>
            <w:r>
              <w:t>Fiabilité</w:t>
            </w:r>
          </w:p>
        </w:tc>
        <w:tc>
          <w:tcPr>
            <w:tcW w:type="dxa" w:w="3552"/>
            <w:vAlign w:val="top"/>
          </w:tcPr>
          <w:p>
            <w:r>
              <w:t>Idempotence + transactional outbox + publisher dédié</w:t>
            </w:r>
          </w:p>
        </w:tc>
        <w:tc>
          <w:tcPr>
            <w:tcW w:type="dxa" w:w="3552"/>
            <w:vAlign w:val="top"/>
          </w:tcPr>
          <w:p>
            <w:r>
              <w:t>Évite scans bloqués et doublons.</w:t>
            </w:r>
          </w:p>
        </w:tc>
      </w:tr>
      <w:tr>
        <w:tc>
          <w:tcPr>
            <w:tcW w:type="dxa" w:w="3552"/>
            <w:vAlign w:val="top"/>
          </w:tcPr>
          <w:p>
            <w:r>
              <w:t>Worker</w:t>
            </w:r>
          </w:p>
        </w:tc>
        <w:tc>
          <w:tcPr>
            <w:tcW w:type="dxa" w:w="3552"/>
            <w:vAlign w:val="top"/>
          </w:tcPr>
          <w:p>
            <w:r>
              <w:t>Service Bus sessions, attempts, retry/backoff</w:t>
            </w:r>
          </w:p>
        </w:tc>
        <w:tc>
          <w:tcPr>
            <w:tcW w:type="dxa" w:w="3552"/>
            <w:vAlign w:val="top"/>
          </w:tcPr>
          <w:p>
            <w:r>
              <w:t>Traitement asynchrone résilient.</w:t>
            </w:r>
          </w:p>
        </w:tc>
      </w:tr>
      <w:tr>
        <w:tc>
          <w:tcPr>
            <w:tcW w:type="dxa" w:w="3552"/>
            <w:vAlign w:val="top"/>
          </w:tcPr>
          <w:p>
            <w:r>
              <w:t>Billing</w:t>
            </w:r>
          </w:p>
        </w:tc>
        <w:tc>
          <w:tcPr>
            <w:tcW w:type="dxa" w:w="3552"/>
            <w:vAlign w:val="top"/>
          </w:tcPr>
          <w:p>
            <w:r>
              <w:t>RESERVED -&gt; CONSUMED/REFUNDED</w:t>
            </w:r>
          </w:p>
        </w:tc>
        <w:tc>
          <w:tcPr>
            <w:tcW w:type="dxa" w:w="3552"/>
            <w:vAlign w:val="top"/>
          </w:tcPr>
          <w:p>
            <w:r>
              <w:t>Modèle défendable commercialement.</w:t>
            </w:r>
          </w:p>
        </w:tc>
      </w:tr>
      <w:tr>
        <w:tc>
          <w:tcPr>
            <w:tcW w:type="dxa" w:w="3552"/>
            <w:vAlign w:val="top"/>
          </w:tcPr>
          <w:p>
            <w:r>
              <w:t>Ops</w:t>
            </w:r>
          </w:p>
        </w:tc>
        <w:tc>
          <w:tcPr>
            <w:tcW w:type="dxa" w:w="3552"/>
            <w:vAlign w:val="top"/>
          </w:tcPr>
          <w:p>
            <w:r>
              <w:t>APIM, alerting, retention, load proof</w:t>
            </w:r>
          </w:p>
        </w:tc>
        <w:tc>
          <w:tcPr>
            <w:tcW w:type="dxa" w:w="3552"/>
            <w:vAlign w:val="top"/>
          </w:tcPr>
          <w:p>
            <w:r>
              <w:t>Exploitation plus crédible.</w:t>
            </w:r>
          </w:p>
        </w:tc>
      </w:tr>
    </w:tbl>
    <w:p>
      <w:r>
        <w:t>Formulation client recommandée : Bevoac V5.3 est une API B2B Azure-first production-oriented, utilisable en production contrôlée lorsque les risques résiduels documentés sont acceptés.</w:t>
      </w:r>
    </w:p>
    <w:p>
      <w:r>
        <w:br w:type="page"/>
      </w:r>
    </w:p>
    <w:p>
      <w:pPr>
        <w:pStyle w:val="Heading1"/>
      </w:pPr>
      <w:r>
        <w:t>2. Architecture cible</w:t>
      </w:r>
    </w:p>
    <w:p>
      <w:r>
        <w:drawing>
          <wp:inline xmlns:a="http://schemas.openxmlformats.org/drawingml/2006/main" xmlns:pic="http://schemas.openxmlformats.org/drawingml/2006/picture">
            <wp:extent cx="6035040" cy="464033"/>
            <wp:docPr id="1" name="Picture 1"/>
            <wp:cNvGraphicFramePr>
              <a:graphicFrameLocks noChangeAspect="1"/>
            </wp:cNvGraphicFramePr>
            <a:graphic>
              <a:graphicData uri="http://schemas.openxmlformats.org/drawingml/2006/picture">
                <pic:pic>
                  <pic:nvPicPr>
                    <pic:cNvPr id="0" name="architecture_v5_3.png"/>
                    <pic:cNvPicPr/>
                  </pic:nvPicPr>
                  <pic:blipFill>
                    <a:blip r:embed="rId9"/>
                    <a:stretch>
                      <a:fillRect/>
                    </a:stretch>
                  </pic:blipFill>
                  <pic:spPr>
                    <a:xfrm>
                      <a:off x="0" y="0"/>
                      <a:ext cx="6035040" cy="464033"/>
                    </a:xfrm>
                    <a:prstGeom prst="rect"/>
                  </pic:spPr>
                </pic:pic>
              </a:graphicData>
            </a:graphic>
          </wp:inline>
        </w:drawing>
      </w:r>
    </w:p>
    <w:p>
      <w:pPr>
        <w:jc w:val="center"/>
      </w:pPr>
      <w:r>
        <w:rPr>
          <w:i/>
        </w:rPr>
        <w:t>Figure 1 - Architecture cible V5.3</w:t>
      </w:r>
    </w:p>
    <w:p>
      <w:r>
        <w:t>Le flux sépare le control plane Bevoac et les environnements clients. Bevoac héberge API, worker, PostgreSQL, Service Bus, Key Vault, APIM optionnel, alerting et retention job. Les clients conservent leurs tenants Microsoft et subscriptions Azure.</w:t>
      </w:r>
    </w:p>
    <w:p>
      <w:pPr>
        <w:pStyle w:val="NoSpacing"/>
      </w:pPr>
      <w:r>
        <w:rPr>
          <w:rFonts w:ascii="Courier New" w:hAnsi="Courier New" w:eastAsia="Courier New"/>
          <w:sz w:val="16"/>
        </w:rPr>
        <w:t>Client -&gt; APIM optionnel -&gt; API Fastify /v1 -&gt; Auth API key -&gt; Tenant -&gt; Allowlists -&gt; Idempotence -&gt; PostgreSQL -&gt; Outbox publisher -&gt; Service Bus -&gt; Worker -&gt; scan_results -&gt; JSON/PDF</w:t>
      </w:r>
    </w:p>
    <w:p>
      <w:r>
        <w:br w:type="page"/>
      </w:r>
    </w:p>
    <w:p>
      <w:pPr>
        <w:pStyle w:val="Heading1"/>
      </w:pPr>
      <w:r>
        <w:t>3. Cycle de vie d’un scan</w:t>
      </w:r>
    </w:p>
    <w:p>
      <w:r>
        <w:drawing>
          <wp:inline xmlns:a="http://schemas.openxmlformats.org/drawingml/2006/main" xmlns:pic="http://schemas.openxmlformats.org/drawingml/2006/picture">
            <wp:extent cx="5303520" cy="9333794"/>
            <wp:docPr id="2" name="Picture 2"/>
            <wp:cNvGraphicFramePr>
              <a:graphicFrameLocks noChangeAspect="1"/>
            </wp:cNvGraphicFramePr>
            <a:graphic>
              <a:graphicData uri="http://schemas.openxmlformats.org/drawingml/2006/picture">
                <pic:pic>
                  <pic:nvPicPr>
                    <pic:cNvPr id="0" name="scan_lifecycle_v5_3.png"/>
                    <pic:cNvPicPr/>
                  </pic:nvPicPr>
                  <pic:blipFill>
                    <a:blip r:embed="rId10"/>
                    <a:stretch>
                      <a:fillRect/>
                    </a:stretch>
                  </pic:blipFill>
                  <pic:spPr>
                    <a:xfrm>
                      <a:off x="0" y="0"/>
                      <a:ext cx="5303520" cy="9333794"/>
                    </a:xfrm>
                    <a:prstGeom prst="rect"/>
                  </pic:spPr>
                </pic:pic>
              </a:graphicData>
            </a:graphic>
          </wp:inline>
        </w:drawing>
      </w:r>
    </w:p>
    <w:p>
      <w:pPr>
        <w:jc w:val="center"/>
      </w:pPr>
      <w:r>
        <w:rPr>
          <w:i/>
        </w:rPr>
        <w:t>Figure 2 - Cycle de vie scan V5.3</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Étape</w:t>
            </w:r>
          </w:p>
        </w:tc>
        <w:tc>
          <w:tcPr>
            <w:tcW w:type="dxa" w:w="3552"/>
            <w:shd w:fill="D9EAF7"/>
          </w:tcPr>
          <w:p>
            <w:r>
              <w:rPr>
                <w:b/>
              </w:rPr>
              <w:t>Composant</w:t>
            </w:r>
          </w:p>
        </w:tc>
        <w:tc>
          <w:tcPr>
            <w:tcW w:type="dxa" w:w="3552"/>
            <w:shd w:fill="D9EAF7"/>
          </w:tcPr>
          <w:p>
            <w:r>
              <w:rPr>
                <w:b/>
              </w:rPr>
              <w:t>État / preuve</w:t>
            </w:r>
          </w:p>
        </w:tc>
      </w:tr>
      <w:tr>
        <w:tc>
          <w:tcPr>
            <w:tcW w:type="dxa" w:w="3552"/>
            <w:vAlign w:val="top"/>
          </w:tcPr>
          <w:p>
            <w:r>
              <w:t>Création</w:t>
            </w:r>
          </w:p>
        </w:tc>
        <w:tc>
          <w:tcPr>
            <w:tcW w:type="dxa" w:w="3552"/>
            <w:vAlign w:val="top"/>
          </w:tcPr>
          <w:p>
            <w:r>
              <w:t>API</w:t>
            </w:r>
          </w:p>
        </w:tc>
        <w:tc>
          <w:tcPr>
            <w:tcW w:type="dxa" w:w="3552"/>
            <w:vAlign w:val="top"/>
          </w:tcPr>
          <w:p>
            <w:r>
              <w:t>POST /v1/scans, billingState RESERVED, idempotencyKey retournée</w:t>
            </w:r>
          </w:p>
        </w:tc>
      </w:tr>
      <w:tr>
        <w:tc>
          <w:tcPr>
            <w:tcW w:type="dxa" w:w="3552"/>
            <w:vAlign w:val="top"/>
          </w:tcPr>
          <w:p>
            <w:r>
              <w:t>Persistance</w:t>
            </w:r>
          </w:p>
        </w:tc>
        <w:tc>
          <w:tcPr>
            <w:tcW w:type="dxa" w:w="3552"/>
            <w:vAlign w:val="top"/>
          </w:tcPr>
          <w:p>
            <w:r>
              <w:t>PostgreSQL</w:t>
            </w:r>
          </w:p>
        </w:tc>
        <w:tc>
          <w:tcPr>
            <w:tcW w:type="dxa" w:w="3552"/>
            <w:vAlign w:val="top"/>
          </w:tcPr>
          <w:p>
            <w:r>
              <w:t>scans + scan_request_idempotency + billing_usage_ledger + outbox_events</w:t>
            </w:r>
          </w:p>
        </w:tc>
      </w:tr>
      <w:tr>
        <w:tc>
          <w:tcPr>
            <w:tcW w:type="dxa" w:w="3552"/>
            <w:vAlign w:val="top"/>
          </w:tcPr>
          <w:p>
            <w:r>
              <w:t>Publication</w:t>
            </w:r>
          </w:p>
        </w:tc>
        <w:tc>
          <w:tcPr>
            <w:tcW w:type="dxa" w:w="3552"/>
            <w:vAlign w:val="top"/>
          </w:tcPr>
          <w:p>
            <w:r>
              <w:t>Outbox publisher</w:t>
            </w:r>
          </w:p>
        </w:tc>
        <w:tc>
          <w:tcPr>
            <w:tcW w:type="dxa" w:w="3552"/>
            <w:vAlign w:val="top"/>
          </w:tcPr>
          <w:p>
            <w:r>
              <w:t>outbox PUBLISHED vers Service Bus</w:t>
            </w:r>
          </w:p>
        </w:tc>
      </w:tr>
      <w:tr>
        <w:tc>
          <w:tcPr>
            <w:tcW w:type="dxa" w:w="3552"/>
            <w:vAlign w:val="top"/>
          </w:tcPr>
          <w:p>
            <w:r>
              <w:t>Traitement</w:t>
            </w:r>
          </w:p>
        </w:tc>
        <w:tc>
          <w:tcPr>
            <w:tcW w:type="dxa" w:w="3552"/>
            <w:vAlign w:val="top"/>
          </w:tcPr>
          <w:p>
            <w:r>
              <w:t>Worker</w:t>
            </w:r>
          </w:p>
        </w:tc>
        <w:tc>
          <w:tcPr>
            <w:tcW w:type="dxa" w:w="3552"/>
            <w:vAlign w:val="top"/>
          </w:tcPr>
          <w:p>
            <w:r>
              <w:t>IN_PROGRESS, scan_attempt STARTED</w:t>
            </w:r>
          </w:p>
        </w:tc>
      </w:tr>
      <w:tr>
        <w:tc>
          <w:tcPr>
            <w:tcW w:type="dxa" w:w="3552"/>
            <w:vAlign w:val="top"/>
          </w:tcPr>
          <w:p>
            <w:r>
              <w:t>Résultat</w:t>
            </w:r>
          </w:p>
        </w:tc>
        <w:tc>
          <w:tcPr>
            <w:tcW w:type="dxa" w:w="3552"/>
            <w:vAlign w:val="top"/>
          </w:tcPr>
          <w:p>
            <w:r>
              <w:t>Worker/PostgreSQL</w:t>
            </w:r>
          </w:p>
        </w:tc>
        <w:tc>
          <w:tcPr>
            <w:tcW w:type="dxa" w:w="3552"/>
            <w:vAlign w:val="top"/>
          </w:tcPr>
          <w:p>
            <w:r>
              <w:t>scan_results + resultSha256 + DONE ou FAILED</w:t>
            </w:r>
          </w:p>
        </w:tc>
      </w:tr>
      <w:tr>
        <w:tc>
          <w:tcPr>
            <w:tcW w:type="dxa" w:w="3552"/>
            <w:vAlign w:val="top"/>
          </w:tcPr>
          <w:p>
            <w:r>
              <w:t>Billing final</w:t>
            </w:r>
          </w:p>
        </w:tc>
        <w:tc>
          <w:tcPr>
            <w:tcW w:type="dxa" w:w="3552"/>
            <w:vAlign w:val="top"/>
          </w:tcPr>
          <w:p>
            <w:r>
              <w:t>Worker</w:t>
            </w:r>
          </w:p>
        </w:tc>
        <w:tc>
          <w:tcPr>
            <w:tcW w:type="dxa" w:w="3552"/>
            <w:vAlign w:val="top"/>
          </w:tcPr>
          <w:p>
            <w:r>
              <w:t>scan_consumed ou scan_refunded</w:t>
            </w:r>
          </w:p>
        </w:tc>
      </w:tr>
    </w:tbl>
    <w:p>
      <w:r>
        <w:br w:type="page"/>
      </w:r>
    </w:p>
    <w:p>
      <w:pPr>
        <w:pStyle w:val="Heading1"/>
      </w:pPr>
      <w:r>
        <w:t>4. Prérequis opérateur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Outil</w:t>
            </w:r>
          </w:p>
        </w:tc>
        <w:tc>
          <w:tcPr>
            <w:tcW w:type="dxa" w:w="3552"/>
            <w:shd w:fill="D9EAF7"/>
          </w:tcPr>
          <w:p>
            <w:r>
              <w:rPr>
                <w:b/>
              </w:rPr>
              <w:t>Usage</w:t>
            </w:r>
          </w:p>
        </w:tc>
        <w:tc>
          <w:tcPr>
            <w:tcW w:type="dxa" w:w="3552"/>
            <w:shd w:fill="D9EAF7"/>
          </w:tcPr>
          <w:p>
            <w:r>
              <w:rPr>
                <w:b/>
              </w:rPr>
              <w:t>Validation</w:t>
            </w:r>
          </w:p>
        </w:tc>
      </w:tr>
      <w:tr>
        <w:tc>
          <w:tcPr>
            <w:tcW w:type="dxa" w:w="3552"/>
            <w:vAlign w:val="top"/>
          </w:tcPr>
          <w:p>
            <w:r>
              <w:t>Azure CLI</w:t>
            </w:r>
          </w:p>
        </w:tc>
        <w:tc>
          <w:tcPr>
            <w:tcW w:type="dxa" w:w="3552"/>
            <w:vAlign w:val="top"/>
          </w:tcPr>
          <w:p>
            <w:r>
              <w:t>Ressources Azure, logs, APIM, Service Bus</w:t>
            </w:r>
          </w:p>
        </w:tc>
        <w:tc>
          <w:tcPr>
            <w:tcW w:type="dxa" w:w="3552"/>
            <w:vAlign w:val="top"/>
          </w:tcPr>
          <w:p>
            <w:r>
              <w:t>az account show</w:t>
            </w:r>
          </w:p>
        </w:tc>
      </w:tr>
      <w:tr>
        <w:tc>
          <w:tcPr>
            <w:tcW w:type="dxa" w:w="3552"/>
            <w:vAlign w:val="top"/>
          </w:tcPr>
          <w:p>
            <w:r>
              <w:t>Terraform &gt;=1.6</w:t>
            </w:r>
          </w:p>
        </w:tc>
        <w:tc>
          <w:tcPr>
            <w:tcW w:type="dxa" w:w="3552"/>
            <w:vAlign w:val="top"/>
          </w:tcPr>
          <w:p>
            <w:r>
              <w:t>IaC</w:t>
            </w:r>
          </w:p>
        </w:tc>
        <w:tc>
          <w:tcPr>
            <w:tcW w:type="dxa" w:w="3552"/>
            <w:vAlign w:val="top"/>
          </w:tcPr>
          <w:p>
            <w:r>
              <w:t>terraform validate</w:t>
            </w:r>
          </w:p>
        </w:tc>
      </w:tr>
      <w:tr>
        <w:tc>
          <w:tcPr>
            <w:tcW w:type="dxa" w:w="3552"/>
            <w:vAlign w:val="top"/>
          </w:tcPr>
          <w:p>
            <w:r>
              <w:t>Docker</w:t>
            </w:r>
          </w:p>
        </w:tc>
        <w:tc>
          <w:tcPr>
            <w:tcW w:type="dxa" w:w="3552"/>
            <w:vAlign w:val="top"/>
          </w:tcPr>
          <w:p>
            <w:r>
              <w:t>Build/push images</w:t>
            </w:r>
          </w:p>
        </w:tc>
        <w:tc>
          <w:tcPr>
            <w:tcW w:type="dxa" w:w="3552"/>
            <w:vAlign w:val="top"/>
          </w:tcPr>
          <w:p>
            <w:r>
              <w:t>docker version</w:t>
            </w:r>
          </w:p>
        </w:tc>
      </w:tr>
      <w:tr>
        <w:tc>
          <w:tcPr>
            <w:tcW w:type="dxa" w:w="3552"/>
            <w:vAlign w:val="top"/>
          </w:tcPr>
          <w:p>
            <w:r>
              <w:t>Node 20 LTS</w:t>
            </w:r>
          </w:p>
        </w:tc>
        <w:tc>
          <w:tcPr>
            <w:tcW w:type="dxa" w:w="3552"/>
            <w:vAlign w:val="top"/>
          </w:tcPr>
          <w:p>
            <w:r>
              <w:t>Scripts API/worker</w:t>
            </w:r>
          </w:p>
        </w:tc>
        <w:tc>
          <w:tcPr>
            <w:tcW w:type="dxa" w:w="3552"/>
            <w:vAlign w:val="top"/>
          </w:tcPr>
          <w:p>
            <w:r>
              <w:t>node -v</w:t>
            </w:r>
          </w:p>
        </w:tc>
      </w:tr>
      <w:tr>
        <w:tc>
          <w:tcPr>
            <w:tcW w:type="dxa" w:w="3552"/>
            <w:vAlign w:val="top"/>
          </w:tcPr>
          <w:p>
            <w:r>
              <w:t>jq</w:t>
            </w:r>
          </w:p>
        </w:tc>
        <w:tc>
          <w:tcPr>
            <w:tcW w:type="dxa" w:w="3552"/>
            <w:vAlign w:val="top"/>
          </w:tcPr>
          <w:p>
            <w:r>
              <w:t>Lecture JSON</w:t>
            </w:r>
          </w:p>
        </w:tc>
        <w:tc>
          <w:tcPr>
            <w:tcW w:type="dxa" w:w="3552"/>
            <w:vAlign w:val="top"/>
          </w:tcPr>
          <w:p>
            <w:r>
              <w:t>jq --version</w:t>
            </w:r>
          </w:p>
        </w:tc>
      </w:tr>
      <w:tr>
        <w:tc>
          <w:tcPr>
            <w:tcW w:type="dxa" w:w="3552"/>
            <w:vAlign w:val="top"/>
          </w:tcPr>
          <w:p>
            <w:r>
              <w:t>k6</w:t>
            </w:r>
          </w:p>
        </w:tc>
        <w:tc>
          <w:tcPr>
            <w:tcW w:type="dxa" w:w="3552"/>
            <w:vAlign w:val="top"/>
          </w:tcPr>
          <w:p>
            <w:r>
              <w:t>Charge multi-tenant</w:t>
            </w:r>
          </w:p>
        </w:tc>
        <w:tc>
          <w:tcPr>
            <w:tcW w:type="dxa" w:w="3552"/>
            <w:vAlign w:val="top"/>
          </w:tcPr>
          <w:p>
            <w:r>
              <w:t>k6 version</w:t>
            </w:r>
          </w:p>
        </w:tc>
      </w:tr>
      <w:tr>
        <w:tc>
          <w:tcPr>
            <w:tcW w:type="dxa" w:w="3552"/>
            <w:vAlign w:val="top"/>
          </w:tcPr>
          <w:p>
            <w:r>
              <w:t>VPN/Runner privé</w:t>
            </w:r>
          </w:p>
        </w:tc>
        <w:tc>
          <w:tcPr>
            <w:tcW w:type="dxa" w:w="3552"/>
            <w:vAlign w:val="top"/>
          </w:tcPr>
          <w:p>
            <w:r>
              <w:t>Key Vault privé</w:t>
            </w:r>
          </w:p>
        </w:tc>
        <w:tc>
          <w:tcPr>
            <w:tcW w:type="dxa" w:w="3552"/>
            <w:vAlign w:val="top"/>
          </w:tcPr>
          <w:p>
            <w:r>
              <w:t>résolution DNS privée OK</w:t>
            </w:r>
          </w:p>
        </w:tc>
      </w:tr>
    </w:tbl>
    <w:p>
      <w:pPr>
        <w:pStyle w:val="NoSpacing"/>
      </w:pPr>
      <w:r>
        <w:rPr>
          <w:rFonts w:ascii="Courier New" w:hAnsi="Courier New" w:eastAsia="Courier New"/>
          <w:sz w:val="16"/>
        </w:rPr>
        <w:t>az login --tenant &lt;TENANT_BEVOAC&gt;</w:t>
        <w:br/>
        <w:t>az account set --subscription &lt;SUBSCRIPTION&gt;</w:t>
        <w:br/>
        <w:t>az account show -o table</w:t>
        <w:br/>
        <w:t>terraform version</w:t>
        <w:br/>
        <w:t>docker version</w:t>
        <w:br/>
        <w:t>node -v</w:t>
        <w:br/>
        <w:t>npm -v</w:t>
        <w:br/>
        <w:t>jq --version</w:t>
      </w:r>
    </w:p>
    <w:p>
      <w:r>
        <w:br w:type="page"/>
      </w:r>
    </w:p>
    <w:p>
      <w:pPr>
        <w:pStyle w:val="Heading1"/>
      </w:pPr>
      <w:r>
        <w:t>5. Variables et nommage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Variable</w:t>
            </w:r>
          </w:p>
        </w:tc>
        <w:tc>
          <w:tcPr>
            <w:tcW w:type="dxa" w:w="3552"/>
            <w:shd w:fill="D9EAF7"/>
          </w:tcPr>
          <w:p>
            <w:r>
              <w:rPr>
                <w:b/>
              </w:rPr>
              <w:t>Valeur cible</w:t>
            </w:r>
          </w:p>
        </w:tc>
        <w:tc>
          <w:tcPr>
            <w:tcW w:type="dxa" w:w="3552"/>
            <w:shd w:fill="D9EAF7"/>
          </w:tcPr>
          <w:p>
            <w:r>
              <w:rPr>
                <w:b/>
              </w:rPr>
              <w:t>Usage</w:t>
            </w:r>
          </w:p>
        </w:tc>
      </w:tr>
      <w:tr>
        <w:tc>
          <w:tcPr>
            <w:tcW w:type="dxa" w:w="3552"/>
            <w:vAlign w:val="top"/>
          </w:tcPr>
          <w:p>
            <w:r>
              <w:t>api_image</w:t>
            </w:r>
          </w:p>
        </w:tc>
        <w:tc>
          <w:tcPr>
            <w:tcW w:type="dxa" w:w="3552"/>
            <w:vAlign w:val="top"/>
          </w:tcPr>
          <w:p>
            <w:r>
              <w:t>&lt;acr&gt;/bevoac-api-enterprise:&lt;tag&gt;</w:t>
            </w:r>
          </w:p>
        </w:tc>
        <w:tc>
          <w:tcPr>
            <w:tcW w:type="dxa" w:w="3552"/>
            <w:vAlign w:val="top"/>
          </w:tcPr>
          <w:p>
            <w:r>
              <w:t>Image API immutable</w:t>
            </w:r>
          </w:p>
        </w:tc>
      </w:tr>
      <w:tr>
        <w:tc>
          <w:tcPr>
            <w:tcW w:type="dxa" w:w="3552"/>
            <w:vAlign w:val="top"/>
          </w:tcPr>
          <w:p>
            <w:r>
              <w:t>worker_image</w:t>
            </w:r>
          </w:p>
        </w:tc>
        <w:tc>
          <w:tcPr>
            <w:tcW w:type="dxa" w:w="3552"/>
            <w:vAlign w:val="top"/>
          </w:tcPr>
          <w:p>
            <w:r>
              <w:t>&lt;acr&gt;/bevoac-worker-enterprise:&lt;tag&gt;</w:t>
            </w:r>
          </w:p>
        </w:tc>
        <w:tc>
          <w:tcPr>
            <w:tcW w:type="dxa" w:w="3552"/>
            <w:vAlign w:val="top"/>
          </w:tcPr>
          <w:p>
            <w:r>
              <w:t>Image worker immutable</w:t>
            </w:r>
          </w:p>
        </w:tc>
      </w:tr>
      <w:tr>
        <w:tc>
          <w:tcPr>
            <w:tcW w:type="dxa" w:w="3552"/>
            <w:vAlign w:val="top"/>
          </w:tcPr>
          <w:p>
            <w:r>
              <w:t>enable_dedicated_outbox_publisher</w:t>
            </w:r>
          </w:p>
        </w:tc>
        <w:tc>
          <w:tcPr>
            <w:tcW w:type="dxa" w:w="3552"/>
            <w:vAlign w:val="top"/>
          </w:tcPr>
          <w:p>
            <w:r>
              <w:t>true</w:t>
            </w:r>
          </w:p>
        </w:tc>
        <w:tc>
          <w:tcPr>
            <w:tcW w:type="dxa" w:w="3552"/>
            <w:vAlign w:val="top"/>
          </w:tcPr>
          <w:p>
            <w:r>
              <w:t>Découple publication Service Bus de l’API</w:t>
            </w:r>
          </w:p>
        </w:tc>
      </w:tr>
      <w:tr>
        <w:tc>
          <w:tcPr>
            <w:tcW w:type="dxa" w:w="3552"/>
            <w:vAlign w:val="top"/>
          </w:tcPr>
          <w:p>
            <w:r>
              <w:t>apim_subscription_required</w:t>
            </w:r>
          </w:p>
        </w:tc>
        <w:tc>
          <w:tcPr>
            <w:tcW w:type="dxa" w:w="3552"/>
            <w:vAlign w:val="top"/>
          </w:tcPr>
          <w:p>
            <w:r>
              <w:t>true ou false</w:t>
            </w:r>
          </w:p>
        </w:tc>
        <w:tc>
          <w:tcPr>
            <w:tcW w:type="dxa" w:w="3552"/>
            <w:vAlign w:val="top"/>
          </w:tcPr>
          <w:p>
            <w:r>
              <w:t>Mode d’auth APIM</w:t>
            </w:r>
          </w:p>
        </w:tc>
      </w:tr>
      <w:tr>
        <w:tc>
          <w:tcPr>
            <w:tcW w:type="dxa" w:w="3552"/>
            <w:vAlign w:val="top"/>
          </w:tcPr>
          <w:p>
            <w:r>
              <w:t>enable_private_endpoints</w:t>
            </w:r>
          </w:p>
        </w:tc>
        <w:tc>
          <w:tcPr>
            <w:tcW w:type="dxa" w:w="3552"/>
            <w:vAlign w:val="top"/>
          </w:tcPr>
          <w:p>
            <w:r>
              <w:t>true en prod</w:t>
            </w:r>
          </w:p>
        </w:tc>
        <w:tc>
          <w:tcPr>
            <w:tcW w:type="dxa" w:w="3552"/>
            <w:vAlign w:val="top"/>
          </w:tcPr>
          <w:p>
            <w:r>
              <w:t>KV/PG privés</w:t>
            </w:r>
          </w:p>
        </w:tc>
      </w:tr>
      <w:tr>
        <w:tc>
          <w:tcPr>
            <w:tcW w:type="dxa" w:w="3552"/>
            <w:vAlign w:val="top"/>
          </w:tcPr>
          <w:p>
            <w:r>
              <w:t>monitor_action_group_id</w:t>
            </w:r>
          </w:p>
        </w:tc>
        <w:tc>
          <w:tcPr>
            <w:tcW w:type="dxa" w:w="3552"/>
            <w:vAlign w:val="top"/>
          </w:tcPr>
          <w:p>
            <w:r>
              <w:t>id Action Group</w:t>
            </w:r>
          </w:p>
        </w:tc>
        <w:tc>
          <w:tcPr>
            <w:tcW w:type="dxa" w:w="3552"/>
            <w:vAlign w:val="top"/>
          </w:tcPr>
          <w:p>
            <w:r>
              <w:t>Création alertes</w:t>
            </w:r>
          </w:p>
        </w:tc>
      </w:tr>
      <w:tr>
        <w:tc>
          <w:tcPr>
            <w:tcW w:type="dxa" w:w="3552"/>
            <w:vAlign w:val="top"/>
          </w:tcPr>
          <w:p>
            <w:r>
              <w:t>retention_cron_expression</w:t>
            </w:r>
          </w:p>
        </w:tc>
        <w:tc>
          <w:tcPr>
            <w:tcW w:type="dxa" w:w="3552"/>
            <w:vAlign w:val="top"/>
          </w:tcPr>
          <w:p>
            <w:r>
              <w:t>15 3 * * *</w:t>
            </w:r>
          </w:p>
        </w:tc>
        <w:tc>
          <w:tcPr>
            <w:tcW w:type="dxa" w:w="3552"/>
            <w:vAlign w:val="top"/>
          </w:tcPr>
          <w:p>
            <w:r>
              <w:t>Planification rétention</w:t>
            </w:r>
          </w:p>
        </w:tc>
      </w:tr>
    </w:tbl>
    <w:p>
      <w:r>
        <w:t>Les tags latest sont interdits en démonstration client et en production contrôlée. Utiliser un tag immutable V5.3 daté ou SHA.</w:t>
      </w:r>
    </w:p>
    <w:p>
      <w:r>
        <w:br w:type="page"/>
      </w:r>
    </w:p>
    <w:p>
      <w:pPr>
        <w:pStyle w:val="Heading1"/>
      </w:pPr>
      <w:r>
        <w:t>6. Microsoft Entra et onboarding Azure</w:t>
      </w:r>
    </w:p>
    <w:p>
      <w:r>
        <w:t>Le frontend ne fabrique pas l’URL Microsoft. L’API crée une session courte, signe le state HMAC, reçoit le callback Microsoft, vérifie RBAC/subscriptions et alimente tenant_azure_scopes.</w:t>
      </w:r>
    </w:p>
    <w:p>
      <w:pPr>
        <w:pStyle w:val="NoSpacing"/>
      </w:pPr>
      <w:r>
        <w:rPr>
          <w:rFonts w:ascii="Courier New" w:hAnsi="Courier New" w:eastAsia="Courier New"/>
          <w:sz w:val="16"/>
        </w:rPr>
        <w:t>curl -s -X POST "$API_BASE_URL/v1/onboarding/azure/start" \</w:t>
        <w:br/>
        <w:t xml:space="preserve">  -H "Authorization: Bearer $BEVOAC_API_KEY" \</w:t>
        <w:br/>
        <w:t xml:space="preserve">  -H "Content-Type: application/json" -d '{}' | jq .</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Point</w:t>
            </w:r>
          </w:p>
        </w:tc>
        <w:tc>
          <w:tcPr>
            <w:tcW w:type="dxa" w:w="5328"/>
            <w:shd w:fill="D9EAF7"/>
          </w:tcPr>
          <w:p>
            <w:r>
              <w:rPr>
                <w:b/>
              </w:rPr>
              <w:t>Exigence</w:t>
            </w:r>
          </w:p>
        </w:tc>
      </w:tr>
      <w:tr>
        <w:tc>
          <w:tcPr>
            <w:tcW w:type="dxa" w:w="5328"/>
            <w:vAlign w:val="top"/>
          </w:tcPr>
          <w:p>
            <w:r>
              <w:t>Redirect URI</w:t>
            </w:r>
          </w:p>
        </w:tc>
        <w:tc>
          <w:tcPr>
            <w:tcW w:type="dxa" w:w="5328"/>
            <w:vAlign w:val="top"/>
          </w:tcPr>
          <w:p>
            <w:r>
              <w:t>https://&lt;api&gt;/v1/onboarding/azure/callback</w:t>
            </w:r>
          </w:p>
        </w:tc>
      </w:tr>
      <w:tr>
        <w:tc>
          <w:tcPr>
            <w:tcW w:type="dxa" w:w="5328"/>
            <w:vAlign w:val="top"/>
          </w:tcPr>
          <w:p>
            <w:r>
              <w:t>Client secret</w:t>
            </w:r>
          </w:p>
        </w:tc>
        <w:tc>
          <w:tcPr>
            <w:tcW w:type="dxa" w:w="5328"/>
            <w:vAlign w:val="top"/>
          </w:tcPr>
          <w:p>
            <w:r>
              <w:t>Key Vault</w:t>
            </w:r>
          </w:p>
        </w:tc>
      </w:tr>
      <w:tr>
        <w:tc>
          <w:tcPr>
            <w:tcW w:type="dxa" w:w="5328"/>
            <w:vAlign w:val="top"/>
          </w:tcPr>
          <w:p>
            <w:r>
              <w:t>Graph permissions</w:t>
            </w:r>
          </w:p>
        </w:tc>
        <w:tc>
          <w:tcPr>
            <w:tcW w:type="dxa" w:w="5328"/>
            <w:vAlign w:val="top"/>
          </w:tcPr>
          <w:p>
            <w:r>
              <w:t>Moindre privilège</w:t>
            </w:r>
          </w:p>
        </w:tc>
      </w:tr>
      <w:tr>
        <w:tc>
          <w:tcPr>
            <w:tcW w:type="dxa" w:w="5328"/>
            <w:vAlign w:val="top"/>
          </w:tcPr>
          <w:p>
            <w:r>
              <w:t>Azure RBAC</w:t>
            </w:r>
          </w:p>
        </w:tc>
        <w:tc>
          <w:tcPr>
            <w:tcW w:type="dxa" w:w="5328"/>
            <w:vAlign w:val="top"/>
          </w:tcPr>
          <w:p>
            <w:r>
              <w:t>Reader/Security Reader selon modules</w:t>
            </w:r>
          </w:p>
        </w:tc>
      </w:tr>
      <w:tr>
        <w:tc>
          <w:tcPr>
            <w:tcW w:type="dxa" w:w="5328"/>
            <w:vAlign w:val="top"/>
          </w:tcPr>
          <w:p>
            <w:r>
              <w:t>Résultat</w:t>
            </w:r>
          </w:p>
        </w:tc>
        <w:tc>
          <w:tcPr>
            <w:tcW w:type="dxa" w:w="5328"/>
            <w:vAlign w:val="top"/>
          </w:tcPr>
          <w:p>
            <w:r>
              <w:t>tenant_azure_scopes status VERIFIED</w:t>
            </w:r>
          </w:p>
        </w:tc>
      </w:tr>
    </w:tbl>
    <w:p>
      <w:r>
        <w:br w:type="page"/>
      </w:r>
    </w:p>
    <w:p>
      <w:pPr>
        <w:pStyle w:val="Heading1"/>
      </w:pPr>
      <w:r>
        <w:t>7. Build, push et mise à jour des containers</w:t>
      </w:r>
    </w:p>
    <w:p>
      <w:pPr>
        <w:pStyle w:val="NoSpacing"/>
      </w:pPr>
      <w:r>
        <w:rPr>
          <w:rFonts w:ascii="Courier New" w:hAnsi="Courier New" w:eastAsia="Courier New"/>
          <w:sz w:val="16"/>
        </w:rPr>
        <w:t>cd bevoac-iac-enterprise</w:t>
        <w:br/>
        <w:t>export ACR_LOGIN_SERVER="$(terraform output -raw acr_login_server)"</w:t>
        <w:br/>
        <w:t>export ACR_NAME="$(echo "$ACR_LOGIN_SERVER" | cut -d. -f1)"</w:t>
        <w:br/>
        <w:t>export IMAGE_TAG="v5.3.0-production-acceptance-$(date +%Y%m%d%H%M)"</w:t>
        <w:br/>
        <w:t>az acr login --name "$ACR_NAME"</w:t>
        <w:br/>
        <w:br/>
        <w:t>cd ../bevoac-api-enterprise</w:t>
        <w:br/>
        <w:t>npm install &amp;&amp; npm run check &amp;&amp; npm test</w:t>
        <w:br/>
        <w:t>docker build --platform linux/amd64 -t "$ACR_LOGIN_SERVER/bevoac-api-enterprise:$IMAGE_TAG" .</w:t>
        <w:br/>
        <w:t>docker push "$ACR_LOGIN_SERVER/bevoac-api-enterprise:$IMAGE_TAG"</w:t>
        <w:br/>
        <w:br/>
        <w:t>cd ../bevoac-worker-enterprise</w:t>
        <w:br/>
        <w:t>npm install &amp;&amp; npm run check</w:t>
        <w:br/>
        <w:t>docker build --platform linux/amd64 -t "$ACR_LOGIN_SERVER/bevoac-worker-enterprise:$IMAGE_TAG" .</w:t>
        <w:br/>
        <w:t>docker push "$ACR_LOGIN_SERVER/bevoac-worker-enterprise:$IMAGE_TAG"</w:t>
      </w:r>
    </w:p>
    <w:p>
      <w:r>
        <w:br w:type="page"/>
      </w:r>
    </w:p>
    <w:p>
      <w:pPr>
        <w:pStyle w:val="Heading1"/>
      </w:pPr>
      <w:r>
        <w:t>8. Validation API locale</w:t>
      </w:r>
    </w:p>
    <w:p>
      <w:pPr>
        <w:pStyle w:val="NoSpacing"/>
      </w:pPr>
      <w:r>
        <w:rPr>
          <w:rFonts w:ascii="Courier New" w:hAnsi="Courier New" w:eastAsia="Courier New"/>
          <w:sz w:val="16"/>
        </w:rPr>
        <w:t>cd bevoac-api-enterprise</w:t>
        <w:br/>
        <w:t>npm install</w:t>
        <w:br/>
        <w:t>npm run check</w:t>
        <w:br/>
        <w:t>npm test</w:t>
        <w:br/>
        <w:t>npm run migrate-db</w:t>
        <w:br/>
        <w:t>npm run check:tenant-isolation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Commande</w:t>
            </w:r>
          </w:p>
        </w:tc>
        <w:tc>
          <w:tcPr>
            <w:tcW w:type="dxa" w:w="5328"/>
            <w:shd w:fill="D9EAF7"/>
          </w:tcPr>
          <w:p>
            <w:r>
              <w:rPr>
                <w:b/>
              </w:rPr>
              <w:t>Attendu</w:t>
            </w:r>
          </w:p>
        </w:tc>
      </w:tr>
      <w:tr>
        <w:tc>
          <w:tcPr>
            <w:tcW w:type="dxa" w:w="5328"/>
            <w:vAlign w:val="top"/>
          </w:tcPr>
          <w:p>
            <w:r>
              <w:t>npm run check</w:t>
            </w:r>
          </w:p>
        </w:tc>
        <w:tc>
          <w:tcPr>
            <w:tcW w:type="dxa" w:w="5328"/>
            <w:vAlign w:val="top"/>
          </w:tcPr>
          <w:p>
            <w:r>
              <w:t>Dépendances runtime, syntaxe, contrats OK</w:t>
            </w:r>
          </w:p>
        </w:tc>
      </w:tr>
      <w:tr>
        <w:tc>
          <w:tcPr>
            <w:tcW w:type="dxa" w:w="5328"/>
            <w:vAlign w:val="top"/>
          </w:tcPr>
          <w:p>
            <w:r>
              <w:t>npm test</w:t>
            </w:r>
          </w:p>
        </w:tc>
        <w:tc>
          <w:tcPr>
            <w:tcW w:type="dxa" w:w="5328"/>
            <w:vAlign w:val="top"/>
          </w:tcPr>
          <w:p>
            <w:r>
              <w:t>Tests unitaires/intégration OK</w:t>
            </w:r>
          </w:p>
        </w:tc>
      </w:tr>
      <w:tr>
        <w:tc>
          <w:tcPr>
            <w:tcW w:type="dxa" w:w="5328"/>
            <w:vAlign w:val="top"/>
          </w:tcPr>
          <w:p>
            <w:r>
              <w:t>npm run migrate-db</w:t>
            </w:r>
          </w:p>
        </w:tc>
        <w:tc>
          <w:tcPr>
            <w:tcW w:type="dxa" w:w="5328"/>
            <w:vAlign w:val="top"/>
          </w:tcPr>
          <w:p>
            <w:r>
              <w:t>Migrations appliquées ou SKIP</w:t>
            </w:r>
          </w:p>
        </w:tc>
      </w:tr>
      <w:tr>
        <w:tc>
          <w:tcPr>
            <w:tcW w:type="dxa" w:w="5328"/>
            <w:vAlign w:val="top"/>
          </w:tcPr>
          <w:p>
            <w:r>
              <w:t>npm run check:tenant-isolation</w:t>
            </w:r>
          </w:p>
        </w:tc>
        <w:tc>
          <w:tcPr>
            <w:tcW w:type="dxa" w:w="5328"/>
            <w:vAlign w:val="top"/>
          </w:tcPr>
          <w:p>
            <w:r>
              <w:t>Tenant isolation integrity checks passed</w:t>
            </w:r>
          </w:p>
        </w:tc>
      </w:tr>
    </w:tbl>
    <w:p>
      <w:r>
        <w:br w:type="page"/>
      </w:r>
    </w:p>
    <w:p>
      <w:pPr>
        <w:pStyle w:val="Heading1"/>
      </w:pPr>
      <w:r>
        <w:t>9. Validation worker locale</w:t>
      </w:r>
    </w:p>
    <w:p>
      <w:pPr>
        <w:pStyle w:val="NoSpacing"/>
      </w:pPr>
      <w:r>
        <w:rPr>
          <w:rFonts w:ascii="Courier New" w:hAnsi="Courier New" w:eastAsia="Courier New"/>
          <w:sz w:val="16"/>
        </w:rPr>
        <w:t>cd bevoac-worker-enterprise</w:t>
        <w:br/>
        <w:t>npm install</w:t>
        <w:br/>
        <w:t>npm run check</w:t>
      </w:r>
    </w:p>
    <w:p>
      <w:r>
        <w:t>Le worker doit valider les dépendances runtime et la syntaxe. Les tests runtime Azure sont effectués sur Container Apps avec un scope Azure réel ou un tenant de test déjà onboardé.</w:t>
      </w:r>
    </w:p>
    <w:p>
      <w:r>
        <w:br w:type="page"/>
      </w:r>
    </w:p>
    <w:p>
      <w:pPr>
        <w:pStyle w:val="Heading1"/>
      </w:pPr>
      <w:r>
        <w:t>10. Validation IaC</w:t>
      </w:r>
    </w:p>
    <w:p>
      <w:pPr>
        <w:pStyle w:val="NoSpacing"/>
      </w:pPr>
      <w:r>
        <w:rPr>
          <w:rFonts w:ascii="Courier New" w:hAnsi="Courier New" w:eastAsia="Courier New"/>
          <w:sz w:val="16"/>
        </w:rPr>
        <w:t>cd bevoac-iac-enterprise</w:t>
        <w:br/>
        <w:t>terraform fmt -recursive</w:t>
        <w:br/>
        <w:t>terraform init -backend=false</w:t>
        <w:br/>
        <w:t>terraform validate</w:t>
        <w:br/>
        <w:t>bash scripts/static-hardening-check.sh</w:t>
      </w:r>
    </w:p>
    <w:p>
      <w:r>
        <w:t>Le static-hardening-check doit confirmer APIM /v1, opérations proxy, subscription mode explicite, outputs opérationnels, retention job sans trigger_type invalide et env blocks multiline.</w:t>
      </w:r>
    </w:p>
    <w:p>
      <w:r>
        <w:br w:type="page"/>
      </w:r>
    </w:p>
    <w:p>
      <w:pPr>
        <w:pStyle w:val="Heading1"/>
      </w:pPr>
      <w:r>
        <w:t>11. Terraform et Key Vault privé</w:t>
      </w:r>
    </w:p>
    <w:p>
      <w:r>
        <w:drawing>
          <wp:inline xmlns:a="http://schemas.openxmlformats.org/drawingml/2006/main" xmlns:pic="http://schemas.openxmlformats.org/drawingml/2006/picture">
            <wp:extent cx="5577840" cy="1652472"/>
            <wp:docPr id="3" name="Picture 3"/>
            <wp:cNvGraphicFramePr>
              <a:graphicFrameLocks noChangeAspect="1"/>
            </wp:cNvGraphicFramePr>
            <a:graphic>
              <a:graphicData uri="http://schemas.openxmlformats.org/drawingml/2006/picture">
                <pic:pic>
                  <pic:nvPicPr>
                    <pic:cNvPr id="0" name="terraform_private_network_v5_3.png"/>
                    <pic:cNvPicPr/>
                  </pic:nvPicPr>
                  <pic:blipFill>
                    <a:blip r:embed="rId11"/>
                    <a:stretch>
                      <a:fillRect/>
                    </a:stretch>
                  </pic:blipFill>
                  <pic:spPr>
                    <a:xfrm>
                      <a:off x="0" y="0"/>
                      <a:ext cx="5577840" cy="1652472"/>
                    </a:xfrm>
                    <a:prstGeom prst="rect"/>
                  </pic:spPr>
                </pic:pic>
              </a:graphicData>
            </a:graphic>
          </wp:inline>
        </w:drawing>
      </w:r>
    </w:p>
    <w:p>
      <w:pPr>
        <w:jc w:val="center"/>
      </w:pPr>
      <w:r>
        <w:rPr>
          <w:i/>
        </w:rPr>
        <w:t>Figure 3 - Terraform et Key Vault privé</w:t>
      </w:r>
    </w:p>
    <w:p>
      <w:r>
        <w:t>Si Key Vault public access est disabled, Terraform depuis un Mac hors VNet échoue en ForbiddenByConnection lors du refresh des secrets. Ce n’est pas un bug de code ; c’est la posture réseau. Le modèle nominal est runner privé, VM admin ou VPN.</w:t>
      </w:r>
    </w:p>
    <w:p>
      <w:pPr>
        <w:pStyle w:val="NoSpacing"/>
      </w:pPr>
      <w:r>
        <w:rPr>
          <w:rFonts w:ascii="Courier New" w:hAnsi="Courier New" w:eastAsia="Courier New"/>
          <w:sz w:val="16"/>
        </w:rPr>
        <w:t>cd bevoac-iac-enterprise</w:t>
        <w:br/>
        <w:t>bash scripts/terraform-private-network-preflight.sh</w:t>
      </w:r>
    </w:p>
    <w:p>
      <w:r>
        <w:br w:type="page"/>
      </w:r>
    </w:p>
    <w:p>
      <w:pPr>
        <w:pStyle w:val="Heading1"/>
      </w:pPr>
      <w:r>
        <w:t>12. APIM</w:t>
      </w:r>
    </w:p>
    <w:p>
      <w:r>
        <w:drawing>
          <wp:inline xmlns:a="http://schemas.openxmlformats.org/drawingml/2006/main" xmlns:pic="http://schemas.openxmlformats.org/drawingml/2006/picture">
            <wp:extent cx="5120640" cy="4787749"/>
            <wp:docPr id="4" name="Picture 4"/>
            <wp:cNvGraphicFramePr>
              <a:graphicFrameLocks noChangeAspect="1"/>
            </wp:cNvGraphicFramePr>
            <a:graphic>
              <a:graphicData uri="http://schemas.openxmlformats.org/drawingml/2006/picture">
                <pic:pic>
                  <pic:nvPicPr>
                    <pic:cNvPr id="0" name="apim_modes_v5_3.png"/>
                    <pic:cNvPicPr/>
                  </pic:nvPicPr>
                  <pic:blipFill>
                    <a:blip r:embed="rId12"/>
                    <a:stretch>
                      <a:fillRect/>
                    </a:stretch>
                  </pic:blipFill>
                  <pic:spPr>
                    <a:xfrm>
                      <a:off x="0" y="0"/>
                      <a:ext cx="5120640" cy="4787749"/>
                    </a:xfrm>
                    <a:prstGeom prst="rect"/>
                  </pic:spPr>
                </pic:pic>
              </a:graphicData>
            </a:graphic>
          </wp:inline>
        </w:drawing>
      </w:r>
    </w:p>
    <w:p>
      <w:pPr>
        <w:jc w:val="center"/>
      </w:pPr>
      <w:r>
        <w:rPr>
          <w:i/>
        </w:rPr>
        <w:t>Figure 4 - Modes APIM V5.3</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Mode</w:t>
            </w:r>
          </w:p>
        </w:tc>
        <w:tc>
          <w:tcPr>
            <w:tcW w:type="dxa" w:w="3552"/>
            <w:shd w:fill="D9EAF7"/>
          </w:tcPr>
          <w:p>
            <w:r>
              <w:rPr>
                <w:b/>
              </w:rPr>
              <w:t>Terraform</w:t>
            </w:r>
          </w:p>
        </w:tc>
        <w:tc>
          <w:tcPr>
            <w:tcW w:type="dxa" w:w="3552"/>
            <w:shd w:fill="D9EAF7"/>
          </w:tcPr>
          <w:p>
            <w:r>
              <w:rPr>
                <w:b/>
              </w:rPr>
              <w:t>Headers</w:t>
            </w:r>
          </w:p>
        </w:tc>
      </w:tr>
      <w:tr>
        <w:tc>
          <w:tcPr>
            <w:tcW w:type="dxa" w:w="3552"/>
            <w:vAlign w:val="top"/>
          </w:tcPr>
          <w:p>
            <w:r>
              <w:t>Double-auth</w:t>
            </w:r>
          </w:p>
        </w:tc>
        <w:tc>
          <w:tcPr>
            <w:tcW w:type="dxa" w:w="3552"/>
            <w:vAlign w:val="top"/>
          </w:tcPr>
          <w:p>
            <w:r>
              <w:t>apim_subscription_required=true</w:t>
            </w:r>
          </w:p>
        </w:tc>
        <w:tc>
          <w:tcPr>
            <w:tcW w:type="dxa" w:w="3552"/>
            <w:vAlign w:val="top"/>
          </w:tcPr>
          <w:p>
            <w:r>
              <w:t>Ocp-Apim-Subscription-Key + Authorization Bearer</w:t>
            </w:r>
          </w:p>
        </w:tc>
      </w:tr>
      <w:tr>
        <w:tc>
          <w:tcPr>
            <w:tcW w:type="dxa" w:w="3552"/>
            <w:vAlign w:val="top"/>
          </w:tcPr>
          <w:p>
            <w:r>
              <w:t>Bevoac-only</w:t>
            </w:r>
          </w:p>
        </w:tc>
        <w:tc>
          <w:tcPr>
            <w:tcW w:type="dxa" w:w="3552"/>
            <w:vAlign w:val="top"/>
          </w:tcPr>
          <w:p>
            <w:r>
              <w:t>apim_subscription_required=false</w:t>
            </w:r>
          </w:p>
        </w:tc>
        <w:tc>
          <w:tcPr>
            <w:tcW w:type="dxa" w:w="3552"/>
            <w:vAlign w:val="top"/>
          </w:tcPr>
          <w:p>
            <w:r>
              <w:t>Authorization Bearer uniquement</w:t>
            </w:r>
          </w:p>
        </w:tc>
      </w:tr>
    </w:tbl>
    <w:p>
      <w:pPr>
        <w:pStyle w:val="NoSpacing"/>
      </w:pPr>
      <w:r>
        <w:rPr>
          <w:rFonts w:ascii="Courier New" w:hAnsi="Courier New" w:eastAsia="Courier New"/>
          <w:sz w:val="16"/>
        </w:rPr>
        <w:t>cd bevoac-iac-enterprise</w:t>
        <w:br/>
        <w:t>export APIM_URL="$(terraform output -raw apim_gateway_url)"</w:t>
        <w:br/>
        <w:t>export APIM_SUBSCRIPTION_REQUIRED="$(terraform output -raw apim_subscription_required)"</w:t>
        <w:br/>
        <w:t>export APIM_SUBSCRIPTION_KEY="$(bash scripts/get-apim-subscription-key.sh)"</w:t>
        <w:br/>
        <w:t>export BEVOAC_API_KEY="biv_live_..."</w:t>
        <w:br/>
        <w:t>bash scripts/apim-smoke-test.sh</w:t>
      </w:r>
    </w:p>
    <w:p>
      <w:r>
        <w:br w:type="page"/>
      </w:r>
    </w:p>
    <w:p>
      <w:pPr>
        <w:pStyle w:val="Heading1"/>
      </w:pPr>
      <w:r>
        <w:t>13. Outbox publisher dédié</w:t>
      </w:r>
    </w:p>
    <w:p>
      <w:r>
        <w:drawing>
          <wp:inline xmlns:a="http://schemas.openxmlformats.org/drawingml/2006/main" xmlns:pic="http://schemas.openxmlformats.org/drawingml/2006/picture">
            <wp:extent cx="5669280" cy="612772"/>
            <wp:docPr id="5" name="Picture 5"/>
            <wp:cNvGraphicFramePr>
              <a:graphicFrameLocks noChangeAspect="1"/>
            </wp:cNvGraphicFramePr>
            <a:graphic>
              <a:graphicData uri="http://schemas.openxmlformats.org/drawingml/2006/picture">
                <pic:pic>
                  <pic:nvPicPr>
                    <pic:cNvPr id="0" name="outbox_publisher_v5_3.png"/>
                    <pic:cNvPicPr/>
                  </pic:nvPicPr>
                  <pic:blipFill>
                    <a:blip r:embed="rId13"/>
                    <a:stretch>
                      <a:fillRect/>
                    </a:stretch>
                  </pic:blipFill>
                  <pic:spPr>
                    <a:xfrm>
                      <a:off x="0" y="0"/>
                      <a:ext cx="5669280" cy="612772"/>
                    </a:xfrm>
                    <a:prstGeom prst="rect"/>
                  </pic:spPr>
                </pic:pic>
              </a:graphicData>
            </a:graphic>
          </wp:inline>
        </w:drawing>
      </w:r>
    </w:p>
    <w:p>
      <w:pPr>
        <w:jc w:val="center"/>
      </w:pPr>
      <w:r>
        <w:rPr>
          <w:i/>
        </w:rPr>
        <w:t>Figure 5 - Dedicated outbox publisher</w:t>
      </w:r>
    </w:p>
    <w:p>
      <w:r>
        <w:t>La V5.3 sort la publication outbox du cycle API. L’API écrit outbox_events ; le publisher dédié publie Service Bus et marque PUBLISHED/FAILED.</w:t>
      </w:r>
    </w:p>
    <w:p>
      <w:pPr>
        <w:pStyle w:val="NoSpacing"/>
      </w:pPr>
      <w:r>
        <w:rPr>
          <w:rFonts w:ascii="Courier New" w:hAnsi="Courier New" w:eastAsia="Courier New"/>
          <w:sz w:val="16"/>
        </w:rPr>
        <w:t>terraform output -raw outbox_publisher_container_app_name</w:t>
        <w:br/>
        <w:t>az containerapp logs show --resource-group "$RESOURCE_GROUP" --name "$(terraform output -raw outbox_publisher_container_app_name)" --tail 100</w:t>
      </w:r>
    </w:p>
    <w:p>
      <w:r>
        <w:br w:type="page"/>
      </w:r>
    </w:p>
    <w:p>
      <w:pPr>
        <w:pStyle w:val="Heading1"/>
      </w:pPr>
      <w:r>
        <w:t>14. Isolation tenant</w:t>
      </w:r>
    </w:p>
    <w:p>
      <w:r>
        <w:drawing>
          <wp:inline xmlns:a="http://schemas.openxmlformats.org/drawingml/2006/main" xmlns:pic="http://schemas.openxmlformats.org/drawingml/2006/picture">
            <wp:extent cx="5669280" cy="1927730"/>
            <wp:docPr id="6" name="Picture 6"/>
            <wp:cNvGraphicFramePr>
              <a:graphicFrameLocks noChangeAspect="1"/>
            </wp:cNvGraphicFramePr>
            <a:graphic>
              <a:graphicData uri="http://schemas.openxmlformats.org/drawingml/2006/picture">
                <pic:pic>
                  <pic:nvPicPr>
                    <pic:cNvPr id="0" name="tenant_isolation_v5_3.png"/>
                    <pic:cNvPicPr/>
                  </pic:nvPicPr>
                  <pic:blipFill>
                    <a:blip r:embed="rId14"/>
                    <a:stretch>
                      <a:fillRect/>
                    </a:stretch>
                  </pic:blipFill>
                  <pic:spPr>
                    <a:xfrm>
                      <a:off x="0" y="0"/>
                      <a:ext cx="5669280" cy="1927730"/>
                    </a:xfrm>
                    <a:prstGeom prst="rect"/>
                  </pic:spPr>
                </pic:pic>
              </a:graphicData>
            </a:graphic>
          </wp:inline>
        </w:drawing>
      </w:r>
    </w:p>
    <w:p>
      <w:pPr>
        <w:jc w:val="center"/>
      </w:pPr>
      <w:r>
        <w:rPr>
          <w:i/>
        </w:rPr>
        <w:t>Figure 6 - Isolation tenant et guardrails</w:t>
      </w:r>
    </w:p>
    <w:p>
      <w:r>
        <w:t>La V5.3 n’active pas RLS strict par défaut. Elle ajoute des guardrails non cassants : clés tenant, contraintes, triggers et vue tenant_isolation_violations. RLS strict reste une option future si toutes les transactions set app.tenant_id.</w:t>
      </w:r>
    </w:p>
    <w:p>
      <w:pPr>
        <w:pStyle w:val="NoSpacing"/>
      </w:pPr>
      <w:r>
        <w:rPr>
          <w:rFonts w:ascii="Courier New" w:hAnsi="Courier New" w:eastAsia="Courier New"/>
          <w:sz w:val="16"/>
        </w:rPr>
        <w:t>cd bevoac-api-enterprise</w:t>
        <w:br/>
        <w:t>npm run check:tenant-isolation</w:t>
      </w:r>
    </w:p>
    <w:p>
      <w:r>
        <w:br w:type="page"/>
      </w:r>
    </w:p>
    <w:p>
      <w:pPr>
        <w:pStyle w:val="Heading1"/>
      </w:pPr>
      <w:r>
        <w:t>15. Tests client API</w:t>
      </w:r>
    </w:p>
    <w:p>
      <w:pPr>
        <w:pStyle w:val="NoSpacing"/>
      </w:pPr>
      <w:r>
        <w:rPr>
          <w:rFonts w:ascii="Courier New" w:hAnsi="Courier New" w:eastAsia="Courier New"/>
          <w:sz w:val="16"/>
        </w:rPr>
        <w:t>export API_BASE_URL="https://&lt;api-ou-apim&gt;"</w:t>
        <w:br/>
        <w:t>export BEVOAC_API_KEY="biv_live_..."</w:t>
        <w:br/>
        <w:br/>
        <w:t>curl -s -o /tmp/no-auth.json -w "%{http_code}\n" "$API_BASE_URL/v1/scans"</w:t>
        <w:br/>
        <w:t>curl -s -o /tmp/bad-auth.json -w "%{http_code}\n" "$API_BASE_URL/v1/scans" -H "Authorization: Bearer invalid-key"</w:t>
      </w:r>
    </w:p>
    <w:p>
      <w:r>
        <w:t>Attendu : 401 pour absence de clé et clé invalide.</w:t>
      </w:r>
    </w:p>
    <w:p>
      <w:pPr>
        <w:pStyle w:val="NoSpacing"/>
      </w:pPr>
      <w:r>
        <w:rPr>
          <w:rFonts w:ascii="Courier New" w:hAnsi="Courier New" w:eastAsia="Courier New"/>
          <w:sz w:val="16"/>
        </w:rPr>
        <w:t>RESP=$(curl -s -X POST "$API_BASE_URL/v1/scans" -H "Authorization: Bearer $BEVOAC_API_KEY" -H "Content-Type: application/json" -d '{"cloudProvider":"azure","scanProfile":"web","modules":["web"],"azure":{"targetUrl":"https://example.com"}}')</w:t>
        <w:br/>
        <w:t>echo "$RESP" | jq .</w:t>
      </w:r>
    </w:p>
    <w:p>
      <w:r>
        <w:br w:type="page"/>
      </w:r>
    </w:p>
    <w:p>
      <w:pPr>
        <w:pStyle w:val="Heading1"/>
      </w:pPr>
      <w:r>
        <w:t>16. Tests idempotence</w:t>
      </w:r>
    </w:p>
    <w:p>
      <w:pPr>
        <w:pStyle w:val="NoSpacing"/>
      </w:pPr>
      <w:r>
        <w:rPr>
          <w:rFonts w:ascii="Courier New" w:hAnsi="Courier New" w:eastAsia="Courier New"/>
          <w:sz w:val="16"/>
        </w:rPr>
        <w:t>export SCAN_ID="$(echo "$RESP" | jq -r .scanId)"</w:t>
        <w:br/>
        <w:t>export IDEM="$(echo "$RESP" | jq -r .idempotencyKey)"</w:t>
        <w:br/>
        <w:t>RESP2=$(curl -s -X POST "$API_BASE_URL/v1/scans" -H "Authorization: Bearer $BEVOAC_API_KEY" -H "Content-Type: application/json" -H "Idempotency-Key: $IDEM" -d '{"cloudProvider":"azure","scanProfile":"web","modules":["web"],"azure":{"targetUrl":"https://example.com"}}')</w:t>
        <w:br/>
        <w:t>echo "$RESP2" | jq .</w:t>
      </w:r>
    </w:p>
    <w:p>
      <w:r>
        <w:t>Attendu : même scanId et idempotentReplay=true.</w:t>
      </w:r>
    </w:p>
    <w:p>
      <w:r>
        <w:br w:type="page"/>
      </w:r>
    </w:p>
    <w:p>
      <w:pPr>
        <w:pStyle w:val="Heading1"/>
      </w:pPr>
      <w:r>
        <w:t>17. Tests multi-tenant</w:t>
      </w:r>
    </w:p>
    <w:p>
      <w:pPr>
        <w:pStyle w:val="NoSpacing"/>
      </w:pPr>
      <w:r>
        <w:rPr>
          <w:rFonts w:ascii="Courier New" w:hAnsi="Courier New" w:eastAsia="Courier New"/>
          <w:sz w:val="16"/>
        </w:rPr>
        <w:t>curl -s -o /tmp/b-read-a.json -w "%{http_code}\n" "$API_BASE_URL/v1/scans/$SCAN_ID_A" -H "Authorization: Bearer $BEVOAC_API_KEY_B"</w:t>
        <w:br/>
        <w:t>curl -s "$API_BASE_URL/v1/scans" -H "Authorization: Bearer $BEVOAC_API_KEY_B" | jq -r '.[].scanId' | grep -Fx "$SCAN_ID_A" &amp;&amp; echo KO || echo OK</w:t>
      </w:r>
    </w:p>
    <w:p>
      <w:r>
        <w:t>Attendu : 404 sur lecture croisée, absence du scan A dans la liste B.</w:t>
      </w:r>
    </w:p>
    <w:p>
      <w:r>
        <w:br w:type="page"/>
      </w:r>
    </w:p>
    <w:p>
      <w:pPr>
        <w:pStyle w:val="Heading1"/>
      </w:pPr>
      <w:r>
        <w:t>18. Scan Azure réel</w:t>
      </w:r>
    </w:p>
    <w:p>
      <w:pPr>
        <w:pStyle w:val="NoSpacing"/>
      </w:pPr>
      <w:r>
        <w:rPr>
          <w:rFonts w:ascii="Courier New" w:hAnsi="Courier New" w:eastAsia="Courier New"/>
          <w:sz w:val="16"/>
        </w:rPr>
        <w:t>RESP_AZ=$(curl -s -X POST "$API_BASE_URL/v1/scans" -H "Authorization: Bearer $BEVOAC_API_KEY" -H "Content-Type: application/json" -H "Idempotency-Key: azure-$(date +%s)" -d "{"cloudProvider":"azure","scanProfile":"infra","modules":["storage"],"azure":{"microsoftTenantId":"$MICROSOFT_TENANT_ID","subscriptionIds":["$SUBSCRIPTION_ID"]}}")</w:t>
        <w:br/>
        <w:t>echo "$RESP_AZ" | jq .</w:t>
      </w:r>
    </w:p>
    <w:p>
      <w:r>
        <w:t>Attendu : scanId, PENDING, billingState RESERVED, puis DONE/CONSUMED ou FAILED/REFUNDED selon droits et résultat.</w:t>
      </w:r>
    </w:p>
    <w:p>
      <w:r>
        <w:br w:type="page"/>
      </w:r>
    </w:p>
    <w:p>
      <w:pPr>
        <w:pStyle w:val="Heading1"/>
      </w:pPr>
      <w:r>
        <w:t>19. Billing</w:t>
      </w:r>
    </w:p>
    <w:p>
      <w:pPr>
        <w:pStyle w:val="NoSpacing"/>
      </w:pPr>
      <w:r>
        <w:rPr>
          <w:rFonts w:ascii="Courier New" w:hAnsi="Courier New" w:eastAsia="Courier New"/>
          <w:sz w:val="16"/>
        </w:rPr>
        <w:t>SELECT scan_id, event_type, billing_units, amount_eur_ht, recorded_at</w:t>
        <w:br/>
        <w:t>FROM billing_usage_ledger</w:t>
        <w:br/>
        <w:t>WHERE scan_id = '&lt;SCAN_ID&gt;'</w:t>
        <w:br/>
        <w:t>ORDER BY recorded_at ASC;</w:t>
      </w:r>
    </w:p>
    <w:p>
      <w:r>
        <w:t>Attendu succès : scan_reserved puis scan_consumed. Attendu échec contrôlé : scan_reserved puis scan_refunded.</w:t>
      </w:r>
    </w:p>
    <w:p>
      <w:r>
        <w:br w:type="page"/>
      </w:r>
    </w:p>
    <w:p>
      <w:pPr>
        <w:pStyle w:val="Heading1"/>
      </w:pPr>
      <w:r>
        <w:t>20. PDF et JSON</w:t>
      </w:r>
    </w:p>
    <w:p>
      <w:pPr>
        <w:pStyle w:val="NoSpacing"/>
      </w:pPr>
      <w:r>
        <w:rPr>
          <w:rFonts w:ascii="Courier New" w:hAnsi="Courier New" w:eastAsia="Courier New"/>
          <w:sz w:val="16"/>
        </w:rPr>
        <w:t>curl -s "$API_BASE_URL/v1/scans/$SCAN_ID?includeResult=true" -H "Authorization: Bearer $BEVOAC_API_KEY" | jq .</w:t>
        <w:br/>
        <w:t>curl -L "$API_BASE_URL/v1/scans/$SCAN_ID/pdf" -H "Authorization: Bearer $BEVOAC_API_KEY" -o /tmp/bevoac-report.pdf</w:t>
        <w:br/>
        <w:t>file /tmp/bevoac-report.pdf</w:t>
      </w:r>
    </w:p>
    <w:p>
      <w:r>
        <w:t>Le JSON reste la source exhaustive. Le PDF est une synthèse finding/remediation/evidence.</w:t>
      </w:r>
    </w:p>
    <w:p>
      <w:r>
        <w:br w:type="page"/>
      </w:r>
    </w:p>
    <w:p>
      <w:pPr>
        <w:pStyle w:val="Heading1"/>
      </w:pPr>
      <w:r>
        <w:t>21. Service Bus, DLQ et backlog</w:t>
      </w:r>
    </w:p>
    <w:p>
      <w:pPr>
        <w:pStyle w:val="NoSpacing"/>
      </w:pPr>
      <w:r>
        <w:rPr>
          <w:rFonts w:ascii="Courier New" w:hAnsi="Courier New" w:eastAsia="Courier New"/>
          <w:sz w:val="16"/>
        </w:rPr>
        <w:t>export SERVICEBUS_NAMESPACE="$(terraform output -raw service_bus_namespace_short)"</w:t>
        <w:br/>
        <w:t>export SERVICEBUS_QUEUE_NAME="$(terraform output -raw service_bus_queue_name)"</w:t>
        <w:b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p>
      <w:r>
        <w:t>Nominal hors test volontaire : deadLetter=0, active=0 après rattrapage worker, requiresSession=true.</w:t>
      </w:r>
    </w:p>
    <w:p>
      <w:r>
        <w:br w:type="page"/>
      </w:r>
    </w:p>
    <w:p>
      <w:pPr>
        <w:pStyle w:val="Heading1"/>
      </w:pPr>
      <w:r>
        <w:t>22. Rétention et alerting</w:t>
      </w:r>
    </w:p>
    <w:p>
      <w:r>
        <w:drawing>
          <wp:inline xmlns:a="http://schemas.openxmlformats.org/drawingml/2006/main" xmlns:pic="http://schemas.openxmlformats.org/drawingml/2006/picture">
            <wp:extent cx="5669280" cy="1135350"/>
            <wp:docPr id="7" name="Picture 7"/>
            <wp:cNvGraphicFramePr>
              <a:graphicFrameLocks noChangeAspect="1"/>
            </wp:cNvGraphicFramePr>
            <a:graphic>
              <a:graphicData uri="http://schemas.openxmlformats.org/drawingml/2006/picture">
                <pic:pic>
                  <pic:nvPicPr>
                    <pic:cNvPr id="0" name="retention_alerting_v5_3.png"/>
                    <pic:cNvPicPr/>
                  </pic:nvPicPr>
                  <pic:blipFill>
                    <a:blip r:embed="rId15"/>
                    <a:stretch>
                      <a:fillRect/>
                    </a:stretch>
                  </pic:blipFill>
                  <pic:spPr>
                    <a:xfrm>
                      <a:off x="0" y="0"/>
                      <a:ext cx="5669280" cy="1135350"/>
                    </a:xfrm>
                    <a:prstGeom prst="rect"/>
                  </pic:spPr>
                </pic:pic>
              </a:graphicData>
            </a:graphic>
          </wp:inline>
        </w:drawing>
      </w:r>
    </w:p>
    <w:p>
      <w:pPr>
        <w:jc w:val="center"/>
      </w:pPr>
      <w:r>
        <w:rPr>
          <w:i/>
        </w:rPr>
        <w:t>Figure 7 - Rétention et alerting</w:t>
      </w:r>
    </w:p>
    <w:p>
      <w:pPr>
        <w:pStyle w:val="NoSpacing"/>
      </w:pPr>
      <w:r>
        <w:rPr>
          <w:rFonts w:ascii="Courier New" w:hAnsi="Courier New" w:eastAsia="Courier New"/>
          <w:sz w:val="16"/>
        </w:rPr>
        <w:t>terraform output -raw retention_job_name</w:t>
        <w:br/>
        <w:t>az containerapp job start --resource-group "$RESOURCE_GROUP" --name "$(terraform output -raw retention_job_name)"</w:t>
        <w:br/>
        <w:t>az monitor metrics alert list --resource-group "$RESOURCE_GROUP" -o table</w:t>
      </w:r>
    </w:p>
    <w:p>
      <w:r>
        <w:br w:type="page"/>
      </w:r>
    </w:p>
    <w:p>
      <w:pPr>
        <w:pStyle w:val="Heading1"/>
      </w:pPr>
      <w:r>
        <w:t>23. Charge multi-tenant</w:t>
      </w:r>
    </w:p>
    <w:p>
      <w:pPr>
        <w:pStyle w:val="NoSpacing"/>
      </w:pPr>
      <w:r>
        <w:rPr>
          <w:rFonts w:ascii="Courier New" w:hAnsi="Courier New" w:eastAsia="Courier New"/>
          <w:sz w:val="16"/>
        </w:rPr>
        <w:t>API_BASE_URL="https://&lt;api-or-apim&gt;" \</w:t>
        <w:br/>
        <w:t>BEVOAC_API_KEY_A="biv_live_..." \</w:t>
        <w:br/>
        <w:t>BEVOAC_API_KEY_B="biv_live_..." \</w:t>
        <w:br/>
        <w:t>BEVOAC_TARGET_URL_A="https://tenant-a.example" \</w:t>
        <w:br/>
        <w:t>BEVOAC_TARGET_URL_B="https://tenant-b.example" \</w:t>
        <w:br/>
        <w:t>TENANT_A_VUS=3 TENANT_B_VUS=3 TEST_DURATION=3m \</w:t>
        <w:br/>
        <w:t>k6 run tests/load/k6-multitenant-b2b-v5-3.js</w:t>
      </w:r>
    </w:p>
    <w:p>
      <w:pPr>
        <w:pStyle w:val="ListBullet"/>
      </w:pPr>
      <w:r>
        <w:t>5xx inattendus &lt; 5%.</w:t>
      </w:r>
    </w:p>
    <w:p>
      <w:pPr>
        <w:pStyle w:val="ListBullet"/>
      </w:pPr>
      <w:r>
        <w:t>429 accepté si backpressure atteinte.</w:t>
      </w:r>
    </w:p>
    <w:p>
      <w:pPr>
        <w:pStyle w:val="ListBullet"/>
      </w:pPr>
      <w:r>
        <w:t>DLQ reste à 0 après rattrapage worker.</w:t>
      </w:r>
    </w:p>
    <w:p>
      <w:pPr>
        <w:pStyle w:val="ListBullet"/>
      </w:pPr>
      <w:r>
        <w:t>Aucun PENDING ancien.</w:t>
      </w:r>
    </w:p>
    <w:p>
      <w:r>
        <w:br w:type="page"/>
      </w:r>
    </w:p>
    <w:p>
      <w:pPr>
        <w:pStyle w:val="Heading1"/>
      </w:pPr>
      <w:r>
        <w:t>24. Observabilité et signaux opérateur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Signal</w:t>
            </w:r>
          </w:p>
        </w:tc>
        <w:tc>
          <w:tcPr>
            <w:tcW w:type="dxa" w:w="3552"/>
            <w:shd w:fill="D9EAF7"/>
          </w:tcPr>
          <w:p>
            <w:r>
              <w:rPr>
                <w:b/>
              </w:rPr>
              <w:t>Commande</w:t>
            </w:r>
          </w:p>
        </w:tc>
        <w:tc>
          <w:tcPr>
            <w:tcW w:type="dxa" w:w="3552"/>
            <w:shd w:fill="D9EAF7"/>
          </w:tcPr>
          <w:p>
            <w:r>
              <w:rPr>
                <w:b/>
              </w:rPr>
              <w:t>Interprétation</w:t>
            </w:r>
          </w:p>
        </w:tc>
      </w:tr>
      <w:tr>
        <w:tc>
          <w:tcPr>
            <w:tcW w:type="dxa" w:w="3552"/>
            <w:vAlign w:val="top"/>
          </w:tcPr>
          <w:p>
            <w:r>
              <w:t>API logs</w:t>
            </w:r>
          </w:p>
        </w:tc>
        <w:tc>
          <w:tcPr>
            <w:tcW w:type="dxa" w:w="3552"/>
            <w:vAlign w:val="top"/>
          </w:tcPr>
          <w:p>
            <w:r>
              <w:t>az containerapp logs show --name &lt;api&gt;</w:t>
            </w:r>
          </w:p>
        </w:tc>
        <w:tc>
          <w:tcPr>
            <w:tcW w:type="dxa" w:w="3552"/>
            <w:vAlign w:val="top"/>
          </w:tcPr>
          <w:p>
            <w:r>
              <w:t>Démarrage, erreurs auth, DB, Service Bus.</w:t>
            </w:r>
          </w:p>
        </w:tc>
      </w:tr>
      <w:tr>
        <w:tc>
          <w:tcPr>
            <w:tcW w:type="dxa" w:w="3552"/>
            <w:vAlign w:val="top"/>
          </w:tcPr>
          <w:p>
            <w:r>
              <w:t>Worker logs</w:t>
            </w:r>
          </w:p>
        </w:tc>
        <w:tc>
          <w:tcPr>
            <w:tcW w:type="dxa" w:w="3552"/>
            <w:vAlign w:val="top"/>
          </w:tcPr>
          <w:p>
            <w:r>
              <w:t>az containerapp logs show --name &lt;worker&gt;</w:t>
            </w:r>
          </w:p>
        </w:tc>
        <w:tc>
          <w:tcPr>
            <w:tcW w:type="dxa" w:w="3552"/>
            <w:vAlign w:val="top"/>
          </w:tcPr>
          <w:p>
            <w:r>
              <w:t>Traitement scans et retry/backoff.</w:t>
            </w:r>
          </w:p>
        </w:tc>
      </w:tr>
      <w:tr>
        <w:tc>
          <w:tcPr>
            <w:tcW w:type="dxa" w:w="3552"/>
            <w:vAlign w:val="top"/>
          </w:tcPr>
          <w:p>
            <w:r>
              <w:t>Outbox logs</w:t>
            </w:r>
          </w:p>
        </w:tc>
        <w:tc>
          <w:tcPr>
            <w:tcW w:type="dxa" w:w="3552"/>
            <w:vAlign w:val="top"/>
          </w:tcPr>
          <w:p>
            <w:r>
              <w:t>az containerapp logs show --name &lt;outbox&gt;</w:t>
            </w:r>
          </w:p>
        </w:tc>
        <w:tc>
          <w:tcPr>
            <w:tcW w:type="dxa" w:w="3552"/>
            <w:vAlign w:val="top"/>
          </w:tcPr>
          <w:p>
            <w:r>
              <w:t>Publication Service Bus.</w:t>
            </w:r>
          </w:p>
        </w:tc>
      </w:tr>
      <w:tr>
        <w:tc>
          <w:tcPr>
            <w:tcW w:type="dxa" w:w="3552"/>
            <w:vAlign w:val="top"/>
          </w:tcPr>
          <w:p>
            <w:r>
              <w:t>DLQ</w:t>
            </w:r>
          </w:p>
        </w:tc>
        <w:tc>
          <w:tcPr>
            <w:tcW w:type="dxa" w:w="3552"/>
            <w:vAlign w:val="top"/>
          </w:tcPr>
          <w:p>
            <w:r>
              <w:t>az servicebus queue show</w:t>
            </w:r>
          </w:p>
        </w:tc>
        <w:tc>
          <w:tcPr>
            <w:tcW w:type="dxa" w:w="3552"/>
            <w:vAlign w:val="top"/>
          </w:tcPr>
          <w:p>
            <w:r>
              <w:t>Incident worker/contrat si &gt;0.</w:t>
            </w:r>
          </w:p>
        </w:tc>
      </w:tr>
      <w:tr>
        <w:tc>
          <w:tcPr>
            <w:tcW w:type="dxa" w:w="3552"/>
            <w:vAlign w:val="top"/>
          </w:tcPr>
          <w:p>
            <w:r>
              <w:t>PG CPU/storage</w:t>
            </w:r>
          </w:p>
        </w:tc>
        <w:tc>
          <w:tcPr>
            <w:tcW w:type="dxa" w:w="3552"/>
            <w:vAlign w:val="top"/>
          </w:tcPr>
          <w:p>
            <w:r>
              <w:t>az monitor metrics alert list</w:t>
            </w:r>
          </w:p>
        </w:tc>
        <w:tc>
          <w:tcPr>
            <w:tcW w:type="dxa" w:w="3552"/>
            <w:vAlign w:val="top"/>
          </w:tcPr>
          <w:p>
            <w:r>
              <w:t>Saturation DB ou rétention insuffisante.</w:t>
            </w:r>
          </w:p>
        </w:tc>
      </w:tr>
    </w:tbl>
    <w:p>
      <w:r>
        <w:br w:type="page"/>
      </w:r>
    </w:p>
    <w:p>
      <w:pPr>
        <w:pStyle w:val="Heading1"/>
      </w:pPr>
      <w:r>
        <w:t>25. Troubleshooting des erreurs rencontrées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Erreur</w:t>
            </w:r>
          </w:p>
        </w:tc>
        <w:tc>
          <w:tcPr>
            <w:tcW w:type="dxa" w:w="3552"/>
            <w:shd w:fill="D9EAF7"/>
          </w:tcPr>
          <w:p>
            <w:r>
              <w:rPr>
                <w:b/>
              </w:rPr>
              <w:t>Cause</w:t>
            </w:r>
          </w:p>
        </w:tc>
        <w:tc>
          <w:tcPr>
            <w:tcW w:type="dxa" w:w="3552"/>
            <w:shd w:fill="D9EAF7"/>
          </w:tcPr>
          <w:p>
            <w:r>
              <w:rPr>
                <w:b/>
              </w:rPr>
              <w:t>Correction</w:t>
            </w:r>
          </w:p>
        </w:tc>
      </w:tr>
      <w:tr>
        <w:tc>
          <w:tcPr>
            <w:tcW w:type="dxa" w:w="3552"/>
            <w:vAlign w:val="top"/>
          </w:tcPr>
          <w:p>
            <w:r>
              <w:t>curl 000</w:t>
            </w:r>
          </w:p>
        </w:tc>
        <w:tc>
          <w:tcPr>
            <w:tcW w:type="dxa" w:w="3552"/>
            <w:vAlign w:val="top"/>
          </w:tcPr>
          <w:p>
            <w:r>
              <w:t>API_BASE_URL vide</w:t>
            </w:r>
          </w:p>
        </w:tc>
        <w:tc>
          <w:tcPr>
            <w:tcW w:type="dxa" w:w="3552"/>
            <w:vAlign w:val="top"/>
          </w:tcPr>
          <w:p>
            <w:r>
              <w:t>export API_BASE_URL puis /v1/health.</w:t>
            </w:r>
          </w:p>
        </w:tc>
      </w:tr>
      <w:tr>
        <w:tc>
          <w:tcPr>
            <w:tcW w:type="dxa" w:w="3552"/>
            <w:vAlign w:val="top"/>
          </w:tcPr>
          <w:p>
            <w:r>
              <w:t>billingState null</w:t>
            </w:r>
          </w:p>
        </w:tc>
        <w:tc>
          <w:tcPr>
            <w:tcW w:type="dxa" w:w="3552"/>
            <w:vAlign w:val="top"/>
          </w:tcPr>
          <w:p>
            <w:r>
              <w:t>Champ regardé au mauvais niveau ou vieille image</w:t>
            </w:r>
          </w:p>
        </w:tc>
        <w:tc>
          <w:tcPr>
            <w:tcW w:type="dxa" w:w="3552"/>
            <w:vAlign w:val="top"/>
          </w:tcPr>
          <w:p>
            <w:r>
              <w:t>V5.3 expose billingState racine et billing.billingState.</w:t>
            </w:r>
          </w:p>
        </w:tc>
      </w:tr>
      <w:tr>
        <w:tc>
          <w:tcPr>
            <w:tcW w:type="dxa" w:w="3552"/>
            <w:vAlign w:val="top"/>
          </w:tcPr>
          <w:p>
            <w:r>
              <w:t>ForbiddenByConnection Key Vault</w:t>
            </w:r>
          </w:p>
        </w:tc>
        <w:tc>
          <w:tcPr>
            <w:tcW w:type="dxa" w:w="3552"/>
            <w:vAlign w:val="top"/>
          </w:tcPr>
          <w:p>
            <w:r>
              <w:t>Terraform hors VNet</w:t>
            </w:r>
          </w:p>
        </w:tc>
        <w:tc>
          <w:tcPr>
            <w:tcW w:type="dxa" w:w="3552"/>
            <w:vAlign w:val="top"/>
          </w:tcPr>
          <w:p>
            <w:r>
              <w:t>Runner privé ou ouverture POC temporaire.</w:t>
            </w:r>
          </w:p>
        </w:tc>
      </w:tr>
      <w:tr>
        <w:tc>
          <w:tcPr>
            <w:tcW w:type="dxa" w:w="3552"/>
            <w:vAlign w:val="top"/>
          </w:tcPr>
          <w:p>
            <w:r>
              <w:t>APIM 404</w:t>
            </w:r>
          </w:p>
        </w:tc>
        <w:tc>
          <w:tcPr>
            <w:tcW w:type="dxa" w:w="3552"/>
            <w:vAlign w:val="top"/>
          </w:tcPr>
          <w:p>
            <w:r>
              <w:t>Pas d’opération proxy</w:t>
            </w:r>
          </w:p>
        </w:tc>
        <w:tc>
          <w:tcPr>
            <w:tcW w:type="dxa" w:w="3552"/>
            <w:vAlign w:val="top"/>
          </w:tcPr>
          <w:p>
            <w:r>
              <w:t>Déclarer opérations /*.</w:t>
            </w:r>
          </w:p>
        </w:tc>
      </w:tr>
      <w:tr>
        <w:tc>
          <w:tcPr>
            <w:tcW w:type="dxa" w:w="3552"/>
            <w:vAlign w:val="top"/>
          </w:tcPr>
          <w:p>
            <w:r>
              <w:t>APIM missing subscription key</w:t>
            </w:r>
          </w:p>
        </w:tc>
        <w:tc>
          <w:tcPr>
            <w:tcW w:type="dxa" w:w="3552"/>
            <w:vAlign w:val="top"/>
          </w:tcPr>
          <w:p>
            <w:r>
              <w:t>apim_subscription_required=true</w:t>
            </w:r>
          </w:p>
        </w:tc>
        <w:tc>
          <w:tcPr>
            <w:tcW w:type="dxa" w:w="3552"/>
            <w:vAlign w:val="top"/>
          </w:tcPr>
          <w:p>
            <w:r>
              <w:t>Fournir Ocp-Apim-Subscription-Key ou passer à false.</w:t>
            </w:r>
          </w:p>
        </w:tc>
      </w:tr>
      <w:tr>
        <w:tc>
          <w:tcPr>
            <w:tcW w:type="dxa" w:w="3552"/>
            <w:vAlign w:val="top"/>
          </w:tcPr>
          <w:p>
            <w:r>
              <w:t>Duplicate .tf</w:t>
            </w:r>
          </w:p>
        </w:tc>
        <w:tc>
          <w:tcPr>
            <w:tcW w:type="dxa" w:w="3552"/>
            <w:vAlign w:val="top"/>
          </w:tcPr>
          <w:p>
            <w:r>
              <w:t>Copies * 2.tf</w:t>
            </w:r>
          </w:p>
        </w:tc>
        <w:tc>
          <w:tcPr>
            <w:tcW w:type="dxa" w:w="3552"/>
            <w:vAlign w:val="top"/>
          </w:tcPr>
          <w:p>
            <w:r>
              <w:t>Mettre en quarantaine les doublons.</w:t>
            </w:r>
          </w:p>
        </w:tc>
      </w:tr>
      <w:tr>
        <w:tc>
          <w:tcPr>
            <w:tcW w:type="dxa" w:w="3552"/>
            <w:vAlign w:val="top"/>
          </w:tcPr>
          <w:p>
            <w:r>
              <w:t>Service Bus namespace introuvable</w:t>
            </w:r>
          </w:p>
        </w:tc>
        <w:tc>
          <w:tcPr>
            <w:tcW w:type="dxa" w:w="3552"/>
            <w:vAlign w:val="top"/>
          </w:tcPr>
          <w:p>
            <w:r>
              <w:t>FQDN utilisé au lieu du nom court</w:t>
            </w:r>
          </w:p>
        </w:tc>
        <w:tc>
          <w:tcPr>
            <w:tcW w:type="dxa" w:w="3552"/>
            <w:vAlign w:val="top"/>
          </w:tcPr>
          <w:p>
            <w:r>
              <w:t>terraform output service_bus_namespace_short.</w:t>
            </w:r>
          </w:p>
        </w:tc>
      </w:tr>
    </w:tbl>
    <w:p>
      <w:r>
        <w:br w:type="page"/>
      </w:r>
    </w:p>
    <w:p>
      <w:pPr>
        <w:pStyle w:val="Heading1"/>
      </w:pPr>
      <w:r>
        <w:t>26. Known defects acceptés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rPr>
              <w:t>Risque</w:t>
            </w:r>
          </w:p>
        </w:tc>
        <w:tc>
          <w:tcPr>
            <w:tcW w:type="dxa" w:w="3552"/>
            <w:shd w:fill="D9EAF7"/>
          </w:tcPr>
          <w:p>
            <w:r>
              <w:rPr>
                <w:b/>
              </w:rPr>
              <w:t>Acceptabilité</w:t>
            </w:r>
          </w:p>
        </w:tc>
        <w:tc>
          <w:tcPr>
            <w:tcW w:type="dxa" w:w="3552"/>
            <w:shd w:fill="D9EAF7"/>
          </w:tcPr>
          <w:p>
            <w:r>
              <w:rPr>
                <w:b/>
              </w:rPr>
              <w:t>Contrôle compensatoire</w:t>
            </w:r>
          </w:p>
        </w:tc>
      </w:tr>
      <w:tr>
        <w:tc>
          <w:tcPr>
            <w:tcW w:type="dxa" w:w="3552"/>
            <w:vAlign w:val="top"/>
          </w:tcPr>
          <w:p>
            <w:r>
              <w:t>Production enterprise non prouvée</w:t>
            </w:r>
          </w:p>
        </w:tc>
        <w:tc>
          <w:tcPr>
            <w:tcW w:type="dxa" w:w="3552"/>
            <w:vAlign w:val="top"/>
          </w:tcPr>
          <w:p>
            <w:r>
              <w:t>Acceptée seulement avec wording contrôlé</w:t>
            </w:r>
          </w:p>
        </w:tc>
        <w:tc>
          <w:tcPr>
            <w:tcW w:type="dxa" w:w="3552"/>
            <w:vAlign w:val="top"/>
          </w:tcPr>
          <w:p>
            <w:r>
              <w:t>Registre risques résiduels.</w:t>
            </w:r>
          </w:p>
        </w:tc>
      </w:tr>
      <w:tr>
        <w:tc>
          <w:tcPr>
            <w:tcW w:type="dxa" w:w="3552"/>
            <w:vAlign w:val="top"/>
          </w:tcPr>
          <w:p>
            <w:r>
              <w:t>RLS non activée</w:t>
            </w:r>
          </w:p>
        </w:tc>
        <w:tc>
          <w:tcPr>
            <w:tcW w:type="dxa" w:w="3552"/>
            <w:vAlign w:val="top"/>
          </w:tcPr>
          <w:p>
            <w:r>
              <w:t>Acceptée si guardrails + signoff</w:t>
            </w:r>
          </w:p>
        </w:tc>
        <w:tc>
          <w:tcPr>
            <w:tcW w:type="dxa" w:w="3552"/>
            <w:vAlign w:val="top"/>
          </w:tcPr>
          <w:p>
            <w:r>
              <w:t>check:tenant-isolation.</w:t>
            </w:r>
          </w:p>
        </w:tc>
      </w:tr>
      <w:tr>
        <w:tc>
          <w:tcPr>
            <w:tcW w:type="dxa" w:w="3552"/>
            <w:vAlign w:val="top"/>
          </w:tcPr>
          <w:p>
            <w:r>
              <w:t>APIM double-auth</w:t>
            </w:r>
          </w:p>
        </w:tc>
        <w:tc>
          <w:tcPr>
            <w:tcW w:type="dxa" w:w="3552"/>
            <w:vAlign w:val="top"/>
          </w:tcPr>
          <w:p>
            <w:r>
              <w:t>Acceptée si documentée</w:t>
            </w:r>
          </w:p>
        </w:tc>
        <w:tc>
          <w:tcPr>
            <w:tcW w:type="dxa" w:w="3552"/>
            <w:vAlign w:val="top"/>
          </w:tcPr>
          <w:p>
            <w:r>
              <w:t>Guide intégrateur + smoke test.</w:t>
            </w:r>
          </w:p>
        </w:tc>
      </w:tr>
      <w:tr>
        <w:tc>
          <w:tcPr>
            <w:tcW w:type="dxa" w:w="3552"/>
            <w:vAlign w:val="top"/>
          </w:tcPr>
          <w:p>
            <w:r>
              <w:t>Backup/restore hors scope volontaire</w:t>
            </w:r>
          </w:p>
        </w:tc>
        <w:tc>
          <w:tcPr>
            <w:tcW w:type="dxa" w:w="3552"/>
            <w:vAlign w:val="top"/>
          </w:tcPr>
          <w:p>
            <w:r>
              <w:t>Accepté si le client l’accepte</w:t>
            </w:r>
          </w:p>
        </w:tc>
        <w:tc>
          <w:tcPr>
            <w:tcW w:type="dxa" w:w="3552"/>
            <w:vAlign w:val="top"/>
          </w:tcPr>
          <w:p>
            <w:r>
              <w:t>Contrat / scope explicite.</w:t>
            </w:r>
          </w:p>
        </w:tc>
      </w:tr>
      <w:tr>
        <w:tc>
          <w:tcPr>
            <w:tcW w:type="dxa" w:w="3552"/>
            <w:vAlign w:val="top"/>
          </w:tcPr>
          <w:p>
            <w:r>
              <w:t>Charge multi-tenant</w:t>
            </w:r>
          </w:p>
        </w:tc>
        <w:tc>
          <w:tcPr>
            <w:tcW w:type="dxa" w:w="3552"/>
            <w:vAlign w:val="top"/>
          </w:tcPr>
          <w:p>
            <w:r>
              <w:t>Acceptée après test</w:t>
            </w:r>
          </w:p>
        </w:tc>
        <w:tc>
          <w:tcPr>
            <w:tcW w:type="dxa" w:w="3552"/>
            <w:vAlign w:val="top"/>
          </w:tcPr>
          <w:p>
            <w:r>
              <w:t>Rapport k6.</w:t>
            </w:r>
          </w:p>
        </w:tc>
      </w:tr>
    </w:tbl>
    <w:p>
      <w:r>
        <w:br w:type="page"/>
      </w:r>
    </w:p>
    <w:p>
      <w:pPr>
        <w:pStyle w:val="Heading1"/>
      </w:pPr>
      <w:r>
        <w:t>27. Checklist GO / NO-GO</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Gate</w:t>
            </w:r>
          </w:p>
        </w:tc>
        <w:tc>
          <w:tcPr>
            <w:tcW w:type="dxa" w:w="5328"/>
            <w:shd w:fill="D9EAF7"/>
          </w:tcPr>
          <w:p>
            <w:r>
              <w:rPr>
                <w:b/>
              </w:rPr>
              <w:t>Statut attendu</w:t>
            </w:r>
          </w:p>
        </w:tc>
      </w:tr>
      <w:tr>
        <w:tc>
          <w:tcPr>
            <w:tcW w:type="dxa" w:w="5328"/>
            <w:vAlign w:val="top"/>
          </w:tcPr>
          <w:p>
            <w:r>
              <w:t>API npm run check/test</w:t>
            </w:r>
          </w:p>
        </w:tc>
        <w:tc>
          <w:tcPr>
            <w:tcW w:type="dxa" w:w="5328"/>
            <w:vAlign w:val="top"/>
          </w:tcPr>
          <w:p>
            <w:r>
              <w:t>OK</w:t>
            </w:r>
          </w:p>
        </w:tc>
      </w:tr>
      <w:tr>
        <w:tc>
          <w:tcPr>
            <w:tcW w:type="dxa" w:w="5328"/>
            <w:vAlign w:val="top"/>
          </w:tcPr>
          <w:p>
            <w:r>
              <w:t>Worker npm run check</w:t>
            </w:r>
          </w:p>
        </w:tc>
        <w:tc>
          <w:tcPr>
            <w:tcW w:type="dxa" w:w="5328"/>
            <w:vAlign w:val="top"/>
          </w:tcPr>
          <w:p>
            <w:r>
              <w:t>OK</w:t>
            </w:r>
          </w:p>
        </w:tc>
      </w:tr>
      <w:tr>
        <w:tc>
          <w:tcPr>
            <w:tcW w:type="dxa" w:w="5328"/>
            <w:vAlign w:val="top"/>
          </w:tcPr>
          <w:p>
            <w:r>
              <w:t>Terraform validate + static check</w:t>
            </w:r>
          </w:p>
        </w:tc>
        <w:tc>
          <w:tcPr>
            <w:tcW w:type="dxa" w:w="5328"/>
            <w:vAlign w:val="top"/>
          </w:tcPr>
          <w:p>
            <w:r>
              <w:t>OK</w:t>
            </w:r>
          </w:p>
        </w:tc>
      </w:tr>
      <w:tr>
        <w:tc>
          <w:tcPr>
            <w:tcW w:type="dxa" w:w="5328"/>
            <w:vAlign w:val="top"/>
          </w:tcPr>
          <w:p>
            <w:r>
              <w:t>Migrations et tenant isolation</w:t>
            </w:r>
          </w:p>
        </w:tc>
        <w:tc>
          <w:tcPr>
            <w:tcW w:type="dxa" w:w="5328"/>
            <w:vAlign w:val="top"/>
          </w:tcPr>
          <w:p>
            <w:r>
              <w:t>OK</w:t>
            </w:r>
          </w:p>
        </w:tc>
      </w:tr>
      <w:tr>
        <w:tc>
          <w:tcPr>
            <w:tcW w:type="dxa" w:w="5328"/>
            <w:vAlign w:val="top"/>
          </w:tcPr>
          <w:p>
            <w:r>
              <w:t>Dedicated outbox publisher</w:t>
            </w:r>
          </w:p>
        </w:tc>
        <w:tc>
          <w:tcPr>
            <w:tcW w:type="dxa" w:w="5328"/>
            <w:vAlign w:val="top"/>
          </w:tcPr>
          <w:p>
            <w:r>
              <w:t>Déployé ou exception signée</w:t>
            </w:r>
          </w:p>
        </w:tc>
      </w:tr>
      <w:tr>
        <w:tc>
          <w:tcPr>
            <w:tcW w:type="dxa" w:w="5328"/>
            <w:vAlign w:val="top"/>
          </w:tcPr>
          <w:p>
            <w:r>
              <w:t>APIM mode</w:t>
            </w:r>
          </w:p>
        </w:tc>
        <w:tc>
          <w:tcPr>
            <w:tcW w:type="dxa" w:w="5328"/>
            <w:vAlign w:val="top"/>
          </w:tcPr>
          <w:p>
            <w:r>
              <w:t>Documenté</w:t>
            </w:r>
          </w:p>
        </w:tc>
      </w:tr>
      <w:tr>
        <w:tc>
          <w:tcPr>
            <w:tcW w:type="dxa" w:w="5328"/>
            <w:vAlign w:val="top"/>
          </w:tcPr>
          <w:p>
            <w:r>
              <w:t>DLQ</w:t>
            </w:r>
          </w:p>
        </w:tc>
        <w:tc>
          <w:tcPr>
            <w:tcW w:type="dxa" w:w="5328"/>
            <w:vAlign w:val="top"/>
          </w:tcPr>
          <w:p>
            <w:r>
              <w:t>0 hors tests</w:t>
            </w:r>
          </w:p>
        </w:tc>
      </w:tr>
      <w:tr>
        <w:tc>
          <w:tcPr>
            <w:tcW w:type="dxa" w:w="5328"/>
            <w:vAlign w:val="top"/>
          </w:tcPr>
          <w:p>
            <w:r>
              <w:t>PDF</w:t>
            </w:r>
          </w:p>
        </w:tc>
        <w:tc>
          <w:tcPr>
            <w:tcW w:type="dxa" w:w="5328"/>
            <w:vAlign w:val="top"/>
          </w:tcPr>
          <w:p>
            <w:r>
              <w:t>Généré</w:t>
            </w:r>
          </w:p>
        </w:tc>
      </w:tr>
      <w:tr>
        <w:tc>
          <w:tcPr>
            <w:tcW w:type="dxa" w:w="5328"/>
            <w:vAlign w:val="top"/>
          </w:tcPr>
          <w:p>
            <w:r>
              <w:t>Load test</w:t>
            </w:r>
          </w:p>
        </w:tc>
        <w:tc>
          <w:tcPr>
            <w:tcW w:type="dxa" w:w="5328"/>
            <w:vAlign w:val="top"/>
          </w:tcPr>
          <w:p>
            <w:r>
              <w:t>Exécuté</w:t>
            </w:r>
          </w:p>
        </w:tc>
      </w:tr>
      <w:tr>
        <w:tc>
          <w:tcPr>
            <w:tcW w:type="dxa" w:w="5328"/>
            <w:vAlign w:val="top"/>
          </w:tcPr>
          <w:p>
            <w:r>
              <w:t>Risques résiduels</w:t>
            </w:r>
          </w:p>
        </w:tc>
        <w:tc>
          <w:tcPr>
            <w:tcW w:type="dxa" w:w="5328"/>
            <w:vAlign w:val="top"/>
          </w:tcPr>
          <w:p>
            <w:r>
              <w:t>Acceptés</w:t>
            </w:r>
          </w:p>
        </w:tc>
      </w:tr>
    </w:tbl>
    <w:p>
      <w:r>
        <w:t>NO-GO enterprise strict si pentest, DR/SLO, RLS/équivalent et runbook incident ne sont pas prouvés.</w:t>
      </w:r>
    </w:p>
    <w:p>
      <w:r>
        <w:br w:type="page"/>
      </w:r>
    </w:p>
    <w:p>
      <w:pPr>
        <w:pStyle w:val="Heading1"/>
      </w:pPr>
      <w:r>
        <w:t>28. Inventaire documentaire</w:t>
      </w:r>
    </w:p>
    <w:p>
      <w:r>
        <w:t>Les documents V5.2 et antérieurs ne sont pas inutiles : ils constituent la traçabilité documentaire. Ils doivent être marqués historiques ou déplacés dans une archive avec validation, pas supprimés automatiquement.</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Document</w:t>
            </w:r>
          </w:p>
        </w:tc>
        <w:tc>
          <w:tcPr>
            <w:tcW w:type="dxa" w:w="5328"/>
            <w:shd w:fill="D9EAF7"/>
          </w:tcPr>
          <w:p>
            <w:r>
              <w:rPr>
                <w:b/>
              </w:rPr>
              <w:t>Statut</w:t>
            </w:r>
          </w:p>
        </w:tc>
      </w:tr>
      <w:tr>
        <w:tc>
          <w:tcPr>
            <w:tcW w:type="dxa" w:w="5328"/>
            <w:vAlign w:val="top"/>
          </w:tcPr>
          <w:p>
            <w:r>
              <w:t>Runbook_Bevoac_V5_3_Production_Ready_Ultime.docx</w:t>
            </w:r>
          </w:p>
        </w:tc>
        <w:tc>
          <w:tcPr>
            <w:tcW w:type="dxa" w:w="5328"/>
            <w:vAlign w:val="top"/>
          </w:tcPr>
          <w:p>
            <w:r>
              <w:t>Actif</w:t>
            </w:r>
          </w:p>
        </w:tc>
      </w:tr>
      <w:tr>
        <w:tc>
          <w:tcPr>
            <w:tcW w:type="dxa" w:w="5328"/>
            <w:vAlign w:val="top"/>
          </w:tcPr>
          <w:p>
            <w:r>
              <w:t>operations/runbook-v5-3-production-ready.md</w:t>
            </w:r>
          </w:p>
        </w:tc>
        <w:tc>
          <w:tcPr>
            <w:tcW w:type="dxa" w:w="5328"/>
            <w:vAlign w:val="top"/>
          </w:tcPr>
          <w:p>
            <w:r>
              <w:t>Actif</w:t>
            </w:r>
          </w:p>
        </w:tc>
      </w:tr>
      <w:tr>
        <w:tc>
          <w:tcPr>
            <w:tcW w:type="dxa" w:w="5328"/>
            <w:vAlign w:val="top"/>
          </w:tcPr>
          <w:p>
            <w:r>
              <w:t>Runbook_Bevoac_V5_2_Production_Ready_Ultime.docx</w:t>
            </w:r>
          </w:p>
        </w:tc>
        <w:tc>
          <w:tcPr>
            <w:tcW w:type="dxa" w:w="5328"/>
            <w:vAlign w:val="top"/>
          </w:tcPr>
          <w:p>
            <w:r>
              <w:t>Historique</w:t>
            </w:r>
          </w:p>
        </w:tc>
      </w:tr>
      <w:tr>
        <w:tc>
          <w:tcPr>
            <w:tcW w:type="dxa" w:w="5328"/>
            <w:vAlign w:val="top"/>
          </w:tcPr>
          <w:p>
            <w:r>
              <w:t>Runbook_Bevoac_V5_2_Production_Ready_Complet.docx</w:t>
            </w:r>
          </w:p>
        </w:tc>
        <w:tc>
          <w:tcPr>
            <w:tcW w:type="dxa" w:w="5328"/>
            <w:vAlign w:val="top"/>
          </w:tcPr>
          <w:p>
            <w:r>
              <w:t>Historique</w:t>
            </w:r>
          </w:p>
        </w:tc>
      </w:tr>
      <w:tr>
        <w:tc>
          <w:tcPr>
            <w:tcW w:type="dxa" w:w="5328"/>
            <w:vAlign w:val="top"/>
          </w:tcPr>
          <w:p>
            <w:r>
              <w:t>operations/runbook-v5-2-production-ready-complet.md</w:t>
            </w:r>
          </w:p>
        </w:tc>
        <w:tc>
          <w:tcPr>
            <w:tcW w:type="dxa" w:w="5328"/>
            <w:vAlign w:val="top"/>
          </w:tcPr>
          <w:p>
            <w:r>
              <w:t>Historique</w:t>
            </w:r>
          </w:p>
        </w:tc>
      </w:tr>
      <w:tr>
        <w:tc>
          <w:tcPr>
            <w:tcW w:type="dxa" w:w="5328"/>
            <w:vAlign w:val="top"/>
          </w:tcPr>
          <w:p>
            <w:r>
              <w:t>sources/*.docx</w:t>
            </w:r>
          </w:p>
        </w:tc>
        <w:tc>
          <w:tcPr>
            <w:tcW w:type="dxa" w:w="5328"/>
            <w:vAlign w:val="top"/>
          </w:tcPr>
          <w:p>
            <w:r>
              <w:t>Référence source</w:t>
            </w:r>
          </w:p>
        </w:tc>
      </w:tr>
    </w:tbl>
    <w:p>
      <w:r>
        <w:br w:type="page"/>
      </w:r>
    </w:p>
    <w:p>
      <w:pPr>
        <w:pStyle w:val="Heading1"/>
      </w:pPr>
      <w:r>
        <w:t>29. Annexes Mermaid et diagrammes</w:t>
      </w:r>
    </w:p>
    <w:p>
      <w:r>
        <w:t>Le runbook livre les sources Mermaid et les PNG correspondants. Les `.dot` sont fournis pour régénération déterministe via Graphviz.</w:t>
      </w:r>
    </w:p>
    <w:p>
      <w:r>
        <w:drawing>
          <wp:inline xmlns:a="http://schemas.openxmlformats.org/drawingml/2006/main" xmlns:pic="http://schemas.openxmlformats.org/drawingml/2006/picture">
            <wp:extent cx="5669280" cy="1570544"/>
            <wp:docPr id="8" name="Picture 8"/>
            <wp:cNvGraphicFramePr>
              <a:graphicFrameLocks noChangeAspect="1"/>
            </wp:cNvGraphicFramePr>
            <a:graphic>
              <a:graphicData uri="http://schemas.openxmlformats.org/drawingml/2006/picture">
                <pic:pic>
                  <pic:nvPicPr>
                    <pic:cNvPr id="0" name="ci_validation_v5_3.png"/>
                    <pic:cNvPicPr/>
                  </pic:nvPicPr>
                  <pic:blipFill>
                    <a:blip r:embed="rId16"/>
                    <a:stretch>
                      <a:fillRect/>
                    </a:stretch>
                  </pic:blipFill>
                  <pic:spPr>
                    <a:xfrm>
                      <a:off x="0" y="0"/>
                      <a:ext cx="5669280" cy="1570544"/>
                    </a:xfrm>
                    <a:prstGeom prst="rect"/>
                  </pic:spPr>
                </pic:pic>
              </a:graphicData>
            </a:graphic>
          </wp:inline>
        </w:drawing>
      </w:r>
    </w:p>
    <w:p>
      <w:pPr>
        <w:jc w:val="center"/>
      </w:pPr>
      <w:r>
        <w:rPr>
          <w:i/>
        </w:rPr>
        <w:t>Figure 8 - CI validation V5.3</w:t>
      </w:r>
    </w:p>
    <w:p>
      <w:r>
        <w:t>Fichiers clés : architecture_v5_3.mmd, scan_lifecycle_v5_3.mmd, tenant_isolation_v5_3.mmd, outbox_publisher_v5_3.mmd, apim_modes_v5_3.mmd, terraform_private_network_v5_3.mmd, retention_alerting_v5_3.mmd, ci_validation_v5_3.mmd.</w:t>
      </w:r>
    </w:p>
    <w:p>
      <w:r>
        <w:br w:type="page"/>
      </w:r>
    </w:p>
    <w:p>
      <w:pPr>
        <w:pStyle w:val="Heading1"/>
      </w:pPr>
      <w:r>
        <w:t>30. Conclusion finale</w:t>
      </w:r>
    </w:p>
    <w:p>
      <w:r>
        <w:t>Bevoac V5.3 est un socle B2B crédible pour une production contrôlée ou un pilote client avancé. Le produit est plus crédible grâce à l’outbox publisher dédié, aux guardrails tenant, à l’APIM explicite, aux checks de charge et à la documentation d’acceptation des risques. Il ne doit pas être vendu comme enterprise-certified tant que les preuves complémentaires ne sont pas disponibles.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