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b/>
          <w:color w:val="173A5E"/>
          <w:sz w:val="68"/>
        </w:rPr>
        <w:t>BEVOAC</w:t>
      </w:r>
    </w:p>
    <w:p>
      <w:pPr>
        <w:spacing w:before="360"/>
        <w:jc w:val="center"/>
      </w:pPr>
      <w:r>
        <w:rPr>
          <w:rFonts w:ascii="Liberation Sans" w:hAnsi="Liberation Sans"/>
          <w:b/>
          <w:color w:val="173A5E"/>
          <w:sz w:val="48"/>
        </w:rPr>
        <w:t>Guide From Scratch V6.1.2-R2</w:t>
      </w:r>
    </w:p>
    <w:p>
      <w:pPr>
        <w:jc w:val="center"/>
      </w:pPr>
      <w:r>
        <w:rPr>
          <w:rFonts w:ascii="Liberation Sans" w:hAnsi="Liberation Sans"/>
          <w:color w:val="007C91"/>
          <w:sz w:val="27"/>
        </w:rPr>
        <w:t>Installation guidée pour un ingénieur découvrant Bevoac</w:t>
      </w:r>
    </w:p>
    <w:p/>
    <w:tbl>
      <w:tblPr>
        <w:tblW w:type="auto" w:w="0"/>
        <w:jc w:val="center"/>
        <w:tblLayout w:type="fixed"/>
        <w:tblLook w:firstColumn="1" w:firstRow="1" w:lastColumn="0" w:lastRow="0" w:noHBand="0" w:noVBand="1" w:val="04A0"/>
      </w:tblPr>
      <w:tblGrid>
        <w:gridCol w:w="5018"/>
        <w:gridCol w:w="5018"/>
      </w:tblGrid>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Version documentaire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V6.1.2-R2</w:t>
            </w:r>
          </w:p>
        </w:tc>
        <w:trPr>
          <w:tblHeader/>
        </w:trPr>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Statut</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DÉRIVÉ DU RUNBOOK CANONIQUE</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Baseline code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f37c066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Date</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20 juillet 2026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Classification</w:t>
            </w:r>
          </w:p>
        </w:tc>
        <w:tc>
          <w:tcPr>
            <w:tcW w:type="dxa" w:w="5726"/>
            <w:tcBorders>
              <w:top w:val="single" w:sz="4" w:color="AAB7C4"/>
              <w:left w:val="single" w:sz="4" w:color="AAB7C4"/>
              <w:bottom w:val="single" w:sz="4" w:color="AAB7C4"/>
              <w:right w:val="single" w:sz="4" w:color="AAB7C4"/>
            </w:tcBorders>
          </w:tcPr>
          <w:p>
            <w:r>
              <w:rPr>
                <w:rFonts w:ascii="Liberation Sans" w:hAnsi="Liberation Sans"/>
                <w:color w:val="102A43"/>
                <w:sz w:val="18"/>
              </w:rPr>
              <w:t>Interne / opérateur - sans secret réel</w:t>
            </w:r>
          </w:p>
        </w:tc>
      </w:tr>
    </w:tbl>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SÉCURITÉ DOCUMENTAIRE  </w:t>
            </w:r>
            <w:r>
              <w:rPr>
                <w:rFonts w:ascii="Liberation Sans" w:hAnsi="Liberation Sans"/>
                <w:color w:val="102A43"/>
                <w:sz w:val="18"/>
              </w:rPr>
              <w:t>Toute clé API, clé APIM, mot de passe PostgreSQL, token OIDC, secret Key Vault, IP opérateur ou identifiant Azure visible dans une preuve doit être masqué, révoqué ou régénéré avant diffusion.</w:t>
            </w:r>
          </w:p>
        </w:tc>
        <w:trPr>
          <w:tblHeader/>
        </w:trPr>
      </w:tr>
    </w:tbl>
    <w:p>
      <w:pPr>
        <w:spacing w:after="20"/>
      </w:pPr>
    </w:p>
    <w:p>
      <w:pPr>
        <w:spacing w:before="360"/>
        <w:jc w:val="center"/>
      </w:pPr>
      <w:r>
        <w:rPr>
          <w:rFonts w:ascii="Liberation Sans" w:hAnsi="Liberation Sans"/>
          <w:i/>
          <w:color w:val="5B6770"/>
          <w:sz w:val="18"/>
        </w:rPr>
        <w:t>Runbook canonique. Les anciennes variantes sont remplacées et ne doivent plus être utilisées comme baseline.</w:t>
      </w:r>
    </w:p>
    <w:p>
      <w:r>
        <w:br w:type="page"/>
      </w: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SOURCE DE VÉRITÉ  </w:t>
            </w:r>
            <w:r>
              <w:rPr>
                <w:rFonts w:ascii="Liberation Sans" w:hAnsi="Liberation Sans"/>
                <w:color w:val="102A43"/>
                <w:sz w:val="18"/>
              </w:rPr>
              <w:t>Ce guide est volontairement court. En cas de divergence, le Runbook Bevoac V6.1.2-R2 Production Enterprise-Ready prévaut.</w:t>
            </w:r>
          </w:p>
        </w:tc>
        <w:trPr>
          <w:tblHeader/>
        </w:trPr>
      </w:tr>
    </w:tbl>
    <w:p>
      <w:pPr>
        <w:spacing w:after="20"/>
      </w:pPr>
    </w:p>
    <w:p>
      <w:pPr>
        <w:pStyle w:val="Heading1"/>
        <w:pBdr>
          <w:bottom w:val="single" w:sz="10" w:space="4" w:color="173A5E"/>
        </w:pBdr>
        <w:keepNext/>
      </w:pPr>
      <w:r>
        <w:t>1. Résultat attendu</w:t>
      </w:r>
    </w:p>
    <w:p>
      <w:pPr>
        <w:spacing w:after="80"/>
      </w:pPr>
      <w:r>
        <w:rPr>
          <w:rFonts w:ascii="Liberation Sans" w:hAnsi="Liberation Sans"/>
          <w:i w:val="0"/>
        </w:rPr>
        <w:t>À la fin, l’environnement contient APIM, public_api, outbox, worker, retention, PostgreSQL, Service Bus, Key Vault, ACR et Monitor. Chaque workload utilise une identité Azure et un rôle PostgreSQL distinct. Un scan de recette traverse la chaîne complète et ses traces sont supprimées.</w:t>
      </w:r>
    </w:p>
    <w:p>
      <w:pPr>
        <w:jc w:val="center"/>
      </w:pPr>
      <w:r>
        <w:drawing>
          <wp:inline xmlns:a="http://schemas.openxmlformats.org/drawingml/2006/main" xmlns:pic="http://schemas.openxmlformats.org/drawingml/2006/picture">
            <wp:extent cx="5832000" cy="3358892"/>
            <wp:docPr id="1" name="Picture 1" descr="Image: image1.png"/>
            <wp:cNvGraphicFramePr>
              <a:graphicFrameLocks noChangeAspect="1"/>
            </wp:cNvGraphicFramePr>
            <a:graphic>
              <a:graphicData uri="http://schemas.openxmlformats.org/drawingml/2006/picture">
                <pic:pic>
                  <pic:nvPicPr>
                    <pic:cNvPr id="0" name="from_scratch_flow.png"/>
                    <pic:cNvPicPr/>
                  </pic:nvPicPr>
                  <pic:blipFill>
                    <a:blip r:embed="rId11"/>
                    <a:stretch>
                      <a:fillRect/>
                    </a:stretch>
                  </pic:blipFill>
                  <pic:spPr>
                    <a:xfrm>
                      <a:off x="0" y="0"/>
                      <a:ext cx="5832000" cy="3358892"/>
                    </a:xfrm>
                    <a:prstGeom prst="rect"/>
                  </pic:spPr>
                </pic:pic>
              </a:graphicData>
            </a:graphic>
          </wp:inline>
        </w:drawing>
      </w:r>
    </w:p>
    <w:p>
      <w:pPr>
        <w:pStyle w:val="CaptionCustom"/>
        <w:jc w:val="center"/>
      </w:pPr>
      <w:r>
        <w:t>Parcours rapide From Scratch.</w:t>
      </w:r>
    </w:p>
    <w:p>
      <w:pPr>
        <w:pStyle w:val="Heading1"/>
        <w:pBdr>
          <w:bottom w:val="single" w:sz="10" w:space="4" w:color="173A5E"/>
        </w:pBdr>
        <w:keepNext/>
      </w:pPr>
      <w:r>
        <w:t>2. Ne commencez pas avant ces prérequis</w:t>
      </w:r>
    </w:p>
    <w:p>
      <w:pPr>
        <w:spacing w:after="40"/>
      </w:pPr>
      <w:r>
        <w:rPr>
          <w:rFonts w:ascii="Liberation Sans" w:hAnsi="Liberation Sans"/>
          <w:b/>
          <w:color w:val="007C91"/>
          <w:sz w:val="20"/>
        </w:rPr>
        <w:t xml:space="preserve">☐ </w:t>
      </w:r>
      <w:r>
        <w:rPr>
          <w:rFonts w:ascii="Liberation Sans" w:hAnsi="Liberation Sans"/>
          <w:sz w:val="18"/>
        </w:rPr>
        <w:t>Bonne subscription et bon tenant Azure affichés par az account show.</w:t>
      </w:r>
    </w:p>
    <w:p>
      <w:pPr>
        <w:spacing w:after="40"/>
      </w:pPr>
      <w:r>
        <w:rPr>
          <w:rFonts w:ascii="Liberation Sans" w:hAnsi="Liberation Sans"/>
          <w:b/>
          <w:color w:val="007C91"/>
          <w:sz w:val="20"/>
        </w:rPr>
        <w:t xml:space="preserve">☐ </w:t>
      </w:r>
      <w:r>
        <w:rPr>
          <w:rFonts w:ascii="Liberation Sans" w:hAnsi="Liberation Sans"/>
          <w:sz w:val="18"/>
        </w:rPr>
        <w:t>Node 24 actif pour API/worker ; Node 22 pour frontend.</w:t>
      </w:r>
    </w:p>
    <w:p>
      <w:pPr>
        <w:spacing w:after="40"/>
      </w:pPr>
      <w:r>
        <w:rPr>
          <w:rFonts w:ascii="Liberation Sans" w:hAnsi="Liberation Sans"/>
          <w:b/>
          <w:color w:val="007C91"/>
          <w:sz w:val="20"/>
        </w:rPr>
        <w:t xml:space="preserve">☐ </w:t>
      </w:r>
      <w:r>
        <w:rPr>
          <w:rFonts w:ascii="Liberation Sans" w:hAnsi="Liberation Sans"/>
          <w:sz w:val="18"/>
        </w:rPr>
        <w:t>Terraform, Docker, psql, jq et curl disponibles.</w:t>
      </w:r>
    </w:p>
    <w:p>
      <w:pPr>
        <w:spacing w:after="40"/>
      </w:pPr>
      <w:r>
        <w:rPr>
          <w:rFonts w:ascii="Liberation Sans" w:hAnsi="Liberation Sans"/>
          <w:b/>
          <w:color w:val="007C91"/>
          <w:sz w:val="20"/>
        </w:rPr>
        <w:t xml:space="preserve">☐ </w:t>
      </w:r>
      <w:r>
        <w:rPr>
          <w:rFonts w:ascii="Liberation Sans" w:hAnsi="Liberation Sans"/>
          <w:sz w:val="18"/>
        </w:rPr>
        <w:t>Décision réseau : private target ou transition publique contrainte documentée.</w:t>
      </w:r>
    </w:p>
    <w:p>
      <w:pPr>
        <w:spacing w:after="40"/>
      </w:pPr>
      <w:r>
        <w:rPr>
          <w:rFonts w:ascii="Liberation Sans" w:hAnsi="Liberation Sans"/>
          <w:b/>
          <w:color w:val="007C91"/>
          <w:sz w:val="20"/>
        </w:rPr>
        <w:t xml:space="preserve">☐ </w:t>
      </w:r>
      <w:r>
        <w:rPr>
          <w:rFonts w:ascii="Liberation Sans" w:hAnsi="Liberation Sans"/>
          <w:sz w:val="18"/>
        </w:rPr>
        <w:t>Backend/state décidé et protégé.</w:t>
      </w:r>
    </w:p>
    <w:p>
      <w:pPr>
        <w:spacing w:after="40"/>
      </w:pPr>
      <w:r>
        <w:rPr>
          <w:rFonts w:ascii="Liberation Sans" w:hAnsi="Liberation Sans"/>
          <w:b/>
          <w:color w:val="007C91"/>
          <w:sz w:val="20"/>
        </w:rPr>
        <w:t xml:space="preserve">☐ </w:t>
      </w:r>
      <w:r>
        <w:rPr>
          <w:rFonts w:ascii="Liberation Sans" w:hAnsi="Liberation Sans"/>
          <w:sz w:val="18"/>
        </w:rPr>
        <w:t>App Registration Microsoft et OIDC admin préparés.</w:t>
      </w:r>
    </w:p>
    <w:p>
      <w:pPr>
        <w:spacing w:after="40"/>
      </w:pPr>
      <w:r>
        <w:rPr>
          <w:rFonts w:ascii="Liberation Sans" w:hAnsi="Liberation Sans"/>
          <w:b/>
          <w:color w:val="007C91"/>
          <w:sz w:val="20"/>
        </w:rPr>
        <w:t xml:space="preserve">☐ </w:t>
      </w:r>
      <w:r>
        <w:rPr>
          <w:rFonts w:ascii="Liberation Sans" w:hAnsi="Liberation Sans"/>
          <w:sz w:val="18"/>
        </w:rPr>
        <w:t>Fenêtre de changement et dossier d’evidence ouverts.</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STOP  </w:t>
            </w:r>
            <w:r>
              <w:rPr>
                <w:rFonts w:ascii="Liberation Sans" w:hAnsi="Liberation Sans"/>
                <w:color w:val="102A43"/>
                <w:sz w:val="18"/>
              </w:rPr>
              <w:t>S’il existe déjà une infrastructure Azure, ne suivez pas le chemin greenfield. Installez d’abord son state et exécutez un refresh-only.</w:t>
            </w:r>
          </w:p>
        </w:tc>
        <w:trPr>
          <w:tblHeader/>
        </w:trPr>
      </w:tr>
    </w:tbl>
    <w:p>
      <w:pPr>
        <w:spacing w:after="20"/>
      </w:pPr>
    </w:p>
    <w:p>
      <w:pPr>
        <w:pStyle w:val="Heading1"/>
        <w:pBdr>
          <w:bottom w:val="single" w:sz="10" w:space="4" w:color="173A5E"/>
        </w:pBdr>
        <w:keepNext/>
      </w:pPr>
      <w:r>
        <w:t>3. Phase A - Vérifier le repository</w:t>
      </w:r>
    </w:p>
    <w:p>
      <w:pPr>
        <w:spacing w:before="80" w:after="40"/>
        <w:keepNext/>
      </w:pPr>
      <w:r>
        <w:rPr>
          <w:rFonts w:ascii="Liberation Sans" w:hAnsi="Liberation Sans"/>
          <w:b/>
          <w:color w:val="2F6B8A"/>
          <w:sz w:val="18"/>
        </w:rPr>
        <w:t>Préflight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&lt;racine&gt;/bevoac-dev</w:t>
              <w:br/>
              <w:t>git branch --show-current</w:t>
              <w:br/>
              <w:t>git rev-parse HEAD</w:t>
              <w:br/>
              <w:t>git status --short</w:t>
              <w:br/>
              <w:br/>
              <w:t>NODE24_PREFIX="$(brew --prefix node@24)"</w:t>
              <w:br/>
              <w:t>export PATH="$NODE24_PREFIX/bin:$PATH"</w:t>
              <w:br/>
              <w:t>node -v</w:t>
            </w:r>
          </w:p>
        </w:tc>
        <w:trPr>
          <w:tblHeader/>
        </w:trPr>
      </w:tr>
    </w:tbl>
    <w:p>
      <w:pPr>
        <w:spacing w:after="20"/>
      </w:pPr>
    </w:p>
    <w:p>
      <w:pPr>
        <w:spacing w:after="80"/>
      </w:pPr>
      <w:r>
        <w:rPr>
          <w:rFonts w:ascii="Liberation Sans" w:hAnsi="Liberation Sans"/>
          <w:i w:val="0"/>
        </w:rPr>
        <w:t>Attendu : branche de release/hardening approuvée, commit documenté, arbre propre hors docs explicitement assumés, Node v24.x.</w:t>
      </w:r>
    </w:p>
    <w:p>
      <w:pPr>
        <w:pStyle w:val="Heading1"/>
        <w:pBdr>
          <w:bottom w:val="single" w:sz="10" w:space="4" w:color="173A5E"/>
        </w:pBdr>
        <w:keepNext/>
      </w:pPr>
      <w:r>
        <w:t>4. Phase B - Bootstrap Azure sans workloads</w:t>
      </w:r>
    </w:p>
    <w:p>
      <w:pPr>
        <w:spacing w:before="80" w:after="40"/>
        <w:keepNext/>
      </w:pPr>
      <w:r>
        <w:rPr>
          <w:rFonts w:ascii="Liberation Sans" w:hAnsi="Liberation Sans"/>
          <w:b/>
          <w:color w:val="2F6B8A"/>
          <w:sz w:val="18"/>
        </w:rPr>
        <w:t>Terraform phase 1</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cp terraform.tfvars.example terraform.tfvars</w:t>
              <w:br/>
              <w:t># deploy_container_apps=false</w:t>
              <w:br/>
              <w:t>terraform init</w:t>
              <w:br/>
              <w:t>terraform fmt -check -recursive</w:t>
              <w:br/>
              <w:t>terraform validate</w:t>
              <w:br/>
              <w:t>terraform plan -out=/tmp/bevoac-bootstrap.tfplan</w:t>
              <w:br/>
              <w:t>terraform show -no-color /tmp/bevoac-bootstrap.tfplan</w:t>
              <w:br/>
              <w:t>terraform apply /tmp/bevoac-bootstrap.tfplan</w:t>
            </w:r>
          </w:p>
        </w:tc>
        <w:trPr>
          <w:tblHeader/>
        </w:trPr>
      </w:tr>
    </w:tbl>
    <w:p>
      <w:pPr>
        <w:spacing w:after="20"/>
      </w:pPr>
    </w:p>
    <w:p>
      <w:pPr>
        <w:spacing w:after="40"/>
      </w:pPr>
      <w:r>
        <w:rPr>
          <w:rFonts w:ascii="Liberation Sans" w:hAnsi="Liberation Sans"/>
          <w:b/>
          <w:color w:val="007C91"/>
          <w:sz w:val="20"/>
        </w:rPr>
        <w:t xml:space="preserve">☐ </w:t>
      </w:r>
      <w:r>
        <w:rPr>
          <w:rFonts w:ascii="Liberation Sans" w:hAnsi="Liberation Sans"/>
          <w:sz w:val="18"/>
        </w:rPr>
        <w:t>0 destruction inattendue.</w:t>
      </w:r>
    </w:p>
    <w:p>
      <w:pPr>
        <w:spacing w:after="40"/>
      </w:pPr>
      <w:r>
        <w:rPr>
          <w:rFonts w:ascii="Liberation Sans" w:hAnsi="Liberation Sans"/>
          <w:b/>
          <w:color w:val="007C91"/>
          <w:sz w:val="20"/>
        </w:rPr>
        <w:t xml:space="preserve">☐ </w:t>
      </w:r>
      <w:r>
        <w:rPr>
          <w:rFonts w:ascii="Liberation Sans" w:hAnsi="Liberation Sans"/>
          <w:sz w:val="18"/>
        </w:rPr>
        <w:t>ACR, PostgreSQL, Service Bus, Key Vault, réseau et Log Analytics présents.</w:t>
      </w:r>
    </w:p>
    <w:p>
      <w:pPr>
        <w:spacing w:after="40"/>
      </w:pPr>
      <w:r>
        <w:rPr>
          <w:rFonts w:ascii="Liberation Sans" w:hAnsi="Liberation Sans"/>
          <w:b/>
          <w:color w:val="007C91"/>
          <w:sz w:val="20"/>
        </w:rPr>
        <w:t xml:space="preserve">☐ </w:t>
      </w:r>
      <w:r>
        <w:rPr>
          <w:rFonts w:ascii="Liberation Sans" w:hAnsi="Liberation Sans"/>
          <w:sz w:val="18"/>
        </w:rPr>
        <w:t>State/outputs sauvegardés hors Git.</w:t>
      </w:r>
    </w:p>
    <w:p>
      <w:pPr>
        <w:pStyle w:val="Heading1"/>
        <w:pBdr>
          <w:bottom w:val="single" w:sz="10" w:space="4" w:color="173A5E"/>
        </w:pBdr>
        <w:keepNext/>
      </w:pPr>
      <w:r>
        <w:t>5. Phase C - Build et images</w:t>
      </w:r>
    </w:p>
    <w:p>
      <w:pPr>
        <w:spacing w:before="80" w:after="40"/>
        <w:keepNext/>
      </w:pPr>
      <w:r>
        <w:rPr>
          <w:rFonts w:ascii="Liberation Sans" w:hAnsi="Liberation Sans"/>
          <w:b/>
          <w:color w:val="2F6B8A"/>
          <w:sz w:val="18"/>
        </w:rPr>
        <w:t>Build immuable</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export RELEASE_TAG="v6.1.2-$(git rev-parse --short=12 HEAD)"</w:t>
              <w:br/>
              <w:t>export ACR_LOGIN_SERVER="$(cd bevoac-iac-enterprise &amp;&amp; terraform output -raw acr_login_server)"</w:t>
              <w:br/>
              <w:t>az acr login --name "${ACR_LOGIN_SERVER%%.*}"</w:t>
              <w:br/>
              <w:br/>
              <w:t>cd bevoac-api-enterprise</w:t>
              <w:br/>
              <w:t>npm ci &amp;&amp; npm run check &amp;&amp; npm test</w:t>
              <w:br/>
              <w:t># Attendu : 44 tests</w:t>
              <w:br/>
              <w:br/>
              <w:t>docker build --platform linux/amd64   -t "$ACR_LOGIN_SERVER/bevoac-api-enterprise:$RELEASE_TAG" .</w:t>
              <w:br/>
              <w:t>docker push "$ACR_LOGIN_SERVER/bevoac-api-enterprise:$RELEASE_TAG"</w:t>
              <w:br/>
              <w:br/>
              <w:t>cd ../bevoac-worker-enterprise</w:t>
              <w:br/>
              <w:t>npm ci &amp;&amp; npm run check &amp;&amp; npm test</w:t>
              <w:br/>
              <w:t># Attendu : 5 tests</w:t>
              <w:br/>
              <w:br/>
              <w:t>docker build --platform linux/amd64   -t "$ACR_LOGIN_SERVER/bevoac-worker-enterprise:$RELEASE_TAG" .</w:t>
              <w:br/>
              <w:t>docker push "$ACR_LOGIN_SERVER/bevoac-worker-enterprise:$RELEASE_TAG</w:t>
            </w:r>
          </w:p>
        </w:tc>
        <w:trPr>
          <w:tblHeader/>
        </w:trPr>
      </w:tr>
    </w:tbl>
    <w:p>
      <w:pPr>
        <w:spacing w:after="20"/>
      </w:pPr>
    </w:p>
    <w:p>
      <w:pPr>
        <w:pStyle w:val="Heading1"/>
        <w:pBdr>
          <w:bottom w:val="single" w:sz="10" w:space="4" w:color="173A5E"/>
        </w:pBdr>
        <w:keepNext/>
      </w:pPr>
      <w:r>
        <w:t>6. Phase D - PostgreSQL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68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Étape</w:t>
            </w:r>
          </w:p>
        </w:tc>
        <w:tc>
          <w:tcPr>
            <w:tcW w:type="dxa" w:w="459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c>
          <w:tcPr>
            <w:tcW w:type="dxa" w:w="436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Preuve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1</w:t>
            </w:r>
          </w:p>
        </w:tc>
        <w:tc>
          <w:tcPr>
            <w:tcW w:type="dxa" w:w="459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Créer les six rôles runtime avec secrets distincts.</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NOINHERIT, NOBYPASSRLS, aucun privilège admin.</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w:t>
            </w:r>
          </w:p>
        </w:tc>
        <w:tc>
          <w:tcPr>
            <w:tcW w:type="dxa" w:w="459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11 tables ; uniquement base vide.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3</w:t>
            </w:r>
          </w:p>
        </w:tc>
        <w:tc>
          <w:tcPr>
            <w:tcW w:type="dxa" w:w="459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migrate-db</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6 migrations standard ; 16 tables.</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4</w:t>
            </w:r>
          </w:p>
        </w:tc>
        <w:tc>
          <w:tcPr>
            <w:tcW w:type="dxa" w:w="459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secure-api-key-auth</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Fonction SECURITY DEFINER bornée.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5</w:t>
            </w:r>
          </w:p>
        </w:tc>
        <w:tc>
          <w:tcPr>
            <w:tcW w:type="dxa" w:w="459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runtime-role-rls</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8 migrations, 15 RLS, 29 policies, 58 privilèges.</w:t>
            </w:r>
          </w:p>
        </w:tc>
      </w:tr>
    </w:tbl>
    <w:p>
      <w:pPr>
        <w:spacing w:after="20"/>
      </w:pPr>
    </w:p>
    <w:p>
      <w:pPr>
        <w:spacing w:before="80" w:after="40"/>
        <w:keepNext/>
      </w:pPr>
      <w:r>
        <w:rPr>
          <w:rFonts w:ascii="Liberation Sans" w:hAnsi="Liberation Sans"/>
          <w:b/>
          <w:color w:val="2F6B8A"/>
          <w:sz w:val="18"/>
        </w:rPr>
        <w:t>Ordre exact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bevoac-api-enterprise</w:t>
              <w:br/>
              <w:t>npm run init-db</w:t>
              <w:br/>
              <w:t>npm run migrate-db</w:t>
              <w:br/>
              <w:t>ALLOW_SECURE_API_KEY_AUTH_APPLY=true   npm run migrate-db:secure-api-key-auth</w:t>
              <w:br/>
              <w:t>ALLOW_ENTERPRISE_RUNTIME_RLS_APPLY=true   npm run migrate-db:runtime-role-rls</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INTERDIT  </w:t>
            </w:r>
            <w:r>
              <w:rPr>
                <w:rFonts w:ascii="Liberation Sans" w:hAnsi="Liberation Sans"/>
                <w:color w:val="102A43"/>
                <w:sz w:val="18"/>
              </w:rPr>
              <w:t>Ne pas utiliser init-db:prod-hardening, migrate-db:rls, migrate-db:enterprise-rls ou check:tenant-isolation:enterprise.</w:t>
            </w:r>
          </w:p>
        </w:tc>
        <w:trPr>
          <w:tblHeader/>
        </w:trPr>
      </w:tr>
    </w:tbl>
    <w:p>
      <w:pPr>
        <w:spacing w:after="20"/>
      </w:pPr>
    </w:p>
    <w:p>
      <w:pPr>
        <w:pStyle w:val="Heading1"/>
        <w:pBdr>
          <w:bottom w:val="single" w:sz="10" w:space="4" w:color="173A5E"/>
        </w:pBdr>
        <w:keepNext/>
      </w:pPr>
      <w:r>
        <w:t>7. Phase E - Workloads et secrets</w:t>
      </w:r>
    </w:p>
    <w:p>
      <w:pPr>
        <w:jc w:val="center"/>
      </w:pPr>
      <w:r>
        <w:drawing>
          <wp:inline xmlns:a="http://schemas.openxmlformats.org/drawingml/2006/main" xmlns:pic="http://schemas.openxmlformats.org/drawingml/2006/picture">
            <wp:extent cx="5688000" cy="1510208"/>
            <wp:docPr id="2" name="Picture 2" descr="Image: image2.png"/>
            <wp:cNvGraphicFramePr>
              <a:graphicFrameLocks noChangeAspect="1"/>
            </wp:cNvGraphicFramePr>
            <a:graphic>
              <a:graphicData uri="http://schemas.openxmlformats.org/drawingml/2006/picture">
                <pic:pic>
                  <pic:nvPicPr>
                    <pic:cNvPr id="0" name="runtime_separation.png"/>
                    <pic:cNvPicPr/>
                  </pic:nvPicPr>
                  <pic:blipFill>
                    <a:blip r:embed="rId12"/>
                    <a:stretch>
                      <a:fillRect/>
                    </a:stretch>
                  </pic:blipFill>
                  <pic:spPr>
                    <a:xfrm>
                      <a:off x="0" y="0"/>
                      <a:ext cx="5688000" cy="1510208"/>
                    </a:xfrm>
                    <a:prstGeom prst="rect"/>
                  </pic:spPr>
                </pic:pic>
              </a:graphicData>
            </a:graphic>
          </wp:inline>
        </w:drawing>
      </w:r>
    </w:p>
    <w:p>
      <w:pPr>
        <w:pStyle w:val="CaptionCustom"/>
        <w:jc w:val="center"/>
      </w:pPr>
      <w:r>
        <w:t>Runtimes et comptes dédiés.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Workload</w:t>
            </w:r>
          </w:p>
        </w:tc>
        <w:tc>
          <w:tcPr>
            <w:tcW w:type="dxa" w:w="255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PG_USER</w:t>
            </w:r>
          </w:p>
        </w:tc>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Particularité</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w:t>
            </w:r>
          </w:p>
        </w:tc>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bevoac_api</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OUTBOX_* = false ; aucun secret Service Bus.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admin_api</w:t>
            </w:r>
          </w:p>
        </w:tc>
        <w:tc>
          <w:tcPr>
            <w:tcW w:type="dxa" w:w="255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bevoac_admin_api</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OIDC admin ; runtime séparé.</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w:t>
            </w:r>
          </w:p>
        </w:tc>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bevoac_outbox</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Sender Service Bus.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c>
          <w:tcPr>
            <w:tcW w:type="dxa" w:w="255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bevoac_worker</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Receiver Service Bus.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w:t>
            </w:r>
          </w:p>
        </w:tc>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bevoac_retention</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Job sans ingress.</w:t>
            </w:r>
          </w:p>
        </w:tc>
      </w:tr>
    </w:tbl>
    <w:p>
      <w:pPr>
        <w:spacing w:after="20"/>
      </w:pPr>
    </w:p>
    <w:p>
      <w:pPr>
        <w:pStyle w:val="Heading1"/>
        <w:pBdr>
          <w:bottom w:val="single" w:sz="10" w:space="4" w:color="173A5E"/>
        </w:pBdr>
        <w:keepNext/>
      </w:pPr>
      <w:r>
        <w:t>8. Phase F - Terraform final</w:t>
      </w:r>
    </w:p>
    <w:p>
      <w:pPr>
        <w:spacing w:before="80" w:after="40"/>
        <w:keepNext/>
      </w:pPr>
      <w:r>
        <w:rPr>
          <w:rFonts w:ascii="Liberation Sans" w:hAnsi="Liberation Sans"/>
          <w:b/>
          <w:color w:val="2F6B8A"/>
          <w:sz w:val="18"/>
        </w:rPr>
        <w:t>Terraform phase 2</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 deploy_container_apps=true</w:t>
              <w:br/>
              <w:t># api_image / worker_image / outbox_image / retention_image = tags immuables</w:t>
              <w:br/>
              <w:t>terraform fmt -check -recursive</w:t>
              <w:br/>
              <w:t>terraform validate</w:t>
              <w:br/>
              <w:t>terraform plan -out=/tmp/bevoac-final.tfplan</w:t>
              <w:br/>
              <w:t>terraform show -no-color /tmp/bevoac-final.tfplan</w:t>
              <w:br/>
              <w:t>terraform apply /tmp/bevoac-final.tfplan</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TRAFIC  </w:t>
            </w:r>
            <w:r>
              <w:rPr>
                <w:rFonts w:ascii="Liberation Sans" w:hAnsi="Liberation Sans"/>
                <w:color w:val="102A43"/>
                <w:sz w:val="18"/>
              </w:rPr>
              <w:t>Si l’API est en revision_mode=Multiple, vérifier explicitement la révision qui reçoit 100 % du trafic. La dernière révision peut rester à 0 %.</w:t>
            </w:r>
          </w:p>
        </w:tc>
        <w:trPr>
          <w:tblHeader/>
        </w:trPr>
      </w:tr>
    </w:tbl>
    <w:p>
      <w:pPr>
        <w:spacing w:after="20"/>
      </w:pPr>
    </w:p>
    <w:p>
      <w:pPr>
        <w:pStyle w:val="Heading1"/>
        <w:pBdr>
          <w:bottom w:val="single" w:sz="10" w:space="4" w:color="173A5E"/>
        </w:pBdr>
        <w:keepNext/>
      </w:pPr>
      <w:r>
        <w:t>9. Phase G - APIM et recette</w:t>
      </w:r>
    </w:p>
    <w:p>
      <w:pPr>
        <w:spacing w:after="40"/>
      </w:pPr>
      <w:r>
        <w:rPr>
          <w:rFonts w:ascii="Liberation Sans" w:hAnsi="Liberation Sans"/>
          <w:b/>
          <w:color w:val="007C91"/>
          <w:sz w:val="20"/>
        </w:rPr>
        <w:t xml:space="preserve">☐ </w:t>
      </w:r>
      <w:r>
        <w:rPr>
          <w:rFonts w:ascii="Liberation Sans" w:hAnsi="Liberation Sans"/>
          <w:sz w:val="18"/>
        </w:rPr>
        <w:t>APIM subscription_required=true et policies actives.</w:t>
      </w:r>
    </w:p>
    <w:p>
      <w:pPr>
        <w:spacing w:after="40"/>
      </w:pPr>
      <w:r>
        <w:rPr>
          <w:rFonts w:ascii="Liberation Sans" w:hAnsi="Liberation Sans"/>
          <w:b/>
          <w:color w:val="007C91"/>
          <w:sz w:val="20"/>
        </w:rPr>
        <w:t xml:space="preserve">☐ </w:t>
      </w:r>
      <w:r>
        <w:rPr>
          <w:rFonts w:ascii="Liberation Sans" w:hAnsi="Liberation Sans"/>
          <w:sz w:val="18"/>
        </w:rPr>
        <w:t>Health 200 avec clé APIM ; 401 sans clé APIM.</w:t>
      </w:r>
    </w:p>
    <w:p>
      <w:pPr>
        <w:spacing w:after="40"/>
      </w:pPr>
      <w:r>
        <w:rPr>
          <w:rFonts w:ascii="Liberation Sans" w:hAnsi="Liberation Sans"/>
          <w:b/>
          <w:color w:val="007C91"/>
          <w:sz w:val="20"/>
        </w:rPr>
        <w:t xml:space="preserve">☐ </w:t>
      </w:r>
      <w:r>
        <w:rPr>
          <w:rFonts w:ascii="Liberation Sans" w:hAnsi="Liberation Sans"/>
          <w:sz w:val="18"/>
        </w:rPr>
        <w:t>Tenant, clé API et cible web créés.</w:t>
      </w:r>
    </w:p>
    <w:p>
      <w:pPr>
        <w:spacing w:after="40"/>
      </w:pPr>
      <w:r>
        <w:rPr>
          <w:rFonts w:ascii="Liberation Sans" w:hAnsi="Liberation Sans"/>
          <w:b/>
          <w:color w:val="007C91"/>
          <w:sz w:val="20"/>
        </w:rPr>
        <w:t xml:space="preserve">☐ </w:t>
      </w:r>
      <w:r>
        <w:rPr>
          <w:rFonts w:ascii="Liberation Sans" w:hAnsi="Liberation Sans"/>
          <w:sz w:val="18"/>
        </w:rPr>
        <w:t>Onboarding Azure / scope VERIFIED si scan infra.</w:t>
      </w:r>
    </w:p>
    <w:p>
      <w:pPr>
        <w:spacing w:after="40"/>
      </w:pPr>
      <w:r>
        <w:rPr>
          <w:rFonts w:ascii="Liberation Sans" w:hAnsi="Liberation Sans"/>
          <w:b/>
          <w:color w:val="007C91"/>
          <w:sz w:val="20"/>
        </w:rPr>
        <w:t xml:space="preserve">☐ </w:t>
      </w:r>
      <w:r>
        <w:rPr>
          <w:rFonts w:ascii="Liberation Sans" w:hAnsi="Liberation Sans"/>
          <w:sz w:val="18"/>
        </w:rPr>
        <w:t>Scan web créé sans tenantId dans le body.</w:t>
      </w:r>
    </w:p>
    <w:p>
      <w:pPr>
        <w:spacing w:after="40"/>
      </w:pPr>
      <w:r>
        <w:rPr>
          <w:rFonts w:ascii="Liberation Sans" w:hAnsi="Liberation Sans"/>
          <w:b/>
          <w:color w:val="007C91"/>
          <w:sz w:val="20"/>
        </w:rPr>
        <w:t xml:space="preserve">☐ </w:t>
      </w:r>
      <w:r>
        <w:rPr>
          <w:rFonts w:ascii="Liberation Sans" w:hAnsi="Liberation Sans"/>
          <w:sz w:val="18"/>
        </w:rPr>
        <w:t>Statut final DONE/CONSUMED ou FAILED/REFUNDED expliqué.</w:t>
      </w:r>
    </w:p>
    <w:p>
      <w:pPr>
        <w:spacing w:after="40"/>
      </w:pPr>
      <w:r>
        <w:rPr>
          <w:rFonts w:ascii="Liberation Sans" w:hAnsi="Liberation Sans"/>
          <w:b/>
          <w:color w:val="007C91"/>
          <w:sz w:val="20"/>
        </w:rPr>
        <w:t xml:space="preserve">☐ </w:t>
      </w:r>
      <w:r>
        <w:rPr>
          <w:rFonts w:ascii="Liberation Sans" w:hAnsi="Liberation Sans"/>
          <w:sz w:val="18"/>
        </w:rPr>
        <w:t>JSON /result et PDF validés ; hash conservé.</w:t>
      </w:r>
    </w:p>
    <w:p>
      <w:pPr>
        <w:spacing w:after="40"/>
      </w:pPr>
      <w:r>
        <w:rPr>
          <w:rFonts w:ascii="Liberation Sans" w:hAnsi="Liberation Sans"/>
          <w:b/>
          <w:color w:val="007C91"/>
          <w:sz w:val="20"/>
        </w:rPr>
        <w:t xml:space="preserve">☐ </w:t>
      </w:r>
      <w:r>
        <w:rPr>
          <w:rFonts w:ascii="Liberation Sans" w:hAnsi="Liberation Sans"/>
          <w:sz w:val="18"/>
        </w:rPr>
        <w:t>Outbox PUBLISHED ; Service Bus active=0, DLQ=0.</w:t>
      </w:r>
    </w:p>
    <w:p>
      <w:pPr>
        <w:spacing w:after="40"/>
      </w:pPr>
      <w:r>
        <w:rPr>
          <w:rFonts w:ascii="Liberation Sans" w:hAnsi="Liberation Sans"/>
          <w:b/>
          <w:color w:val="007C91"/>
          <w:sz w:val="20"/>
        </w:rPr>
        <w:t xml:space="preserve">☐ </w:t>
      </w:r>
      <w:r>
        <w:rPr>
          <w:rFonts w:ascii="Liberation Sans" w:hAnsi="Liberation Sans"/>
          <w:sz w:val="18"/>
        </w:rPr>
        <w:t>Tenant, API key et subscription APIM de recette supprimés.</w:t>
      </w:r>
    </w:p>
    <w:p>
      <w:pPr>
        <w:pStyle w:val="Heading1"/>
        <w:pBdr>
          <w:bottom w:val="single" w:sz="10" w:space="4" w:color="173A5E"/>
        </w:pBdr>
        <w:keepNext/>
      </w:pPr>
      <w:r>
        <w:t>10. Conditions d’arrêt immédiat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NO-GO</w:t>
            </w:r>
          </w:p>
        </w:tc>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Plan Terraform contient une destruction non expliquée</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Ne pas apply ; vérifier state/workspace/repo.</w:t>
            </w:r>
          </w:p>
        </w:tc>
      </w:tr>
      <w:tr>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Un workload utilise bevoacadmin</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Corriger PG_USER avant tout trafic.</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Rôle runtime BYPASSRLS / INHERIT</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Corriger le rôle et réappliquer la vérification.</w:t>
            </w:r>
          </w:p>
        </w:tc>
      </w:tr>
      <w:tr>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Policy/grant inattendu</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Stopper le rollout RLS.</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DLQ non nulle après rattrapage</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Analyser avant GO.</w:t>
            </w:r>
          </w:p>
        </w:tc>
      </w:tr>
      <w:tr>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Clé/secret affiché</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Révoquer immédiatement.</w:t>
            </w:r>
          </w:p>
        </w:tc>
      </w:tr>
      <w:tr>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Private access annoncé mais public access actif</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Corriger le document ou l’infrastructure ; ne pas masquer l’écart.</w:t>
            </w:r>
          </w:p>
        </w:tc>
      </w:tr>
    </w:tbl>
    <w:p>
      <w:pPr>
        <w:spacing w:after="20"/>
      </w:pPr>
    </w:p>
    <w:p>
      <w:pPr>
        <w:pStyle w:val="Heading1"/>
        <w:pBdr>
          <w:bottom w:val="single" w:sz="10" w:space="4" w:color="173A5E"/>
        </w:pBdr>
        <w:keepNext/>
      </w:pPr>
      <w:r>
        <w:t>11. Dossier de preuves</w:t>
      </w:r>
    </w:p>
    <w:p>
      <w:pPr>
        <w:pStyle w:val="ListBullet"/>
        <w:spacing w:after="50"/>
      </w:pPr>
      <w:r>
        <w:rPr>
          <w:rFonts w:ascii="Liberation Sans" w:hAnsi="Liberation Sans"/>
        </w:rPr>
        <w:t>Branche/commit et versions outils.</w:t>
      </w:r>
    </w:p>
    <w:p>
      <w:pPr>
        <w:pStyle w:val="ListBullet"/>
        <w:spacing w:after="50"/>
      </w:pPr>
      <w:r>
        <w:rPr>
          <w:rFonts w:ascii="Liberation Sans" w:hAnsi="Liberation Sans"/>
        </w:rPr>
        <w:t>Checks/tests API et worker.</w:t>
      </w:r>
    </w:p>
    <w:p>
      <w:pPr>
        <w:pStyle w:val="ListBullet"/>
        <w:spacing w:after="50"/>
      </w:pPr>
      <w:r>
        <w:rPr>
          <w:rFonts w:ascii="Liberation Sans" w:hAnsi="Liberation Sans"/>
        </w:rPr>
        <w:t>Plans Terraform bootstrap/final.</w:t>
      </w:r>
    </w:p>
    <w:p>
      <w:pPr>
        <w:pStyle w:val="ListBullet"/>
        <w:spacing w:after="50"/>
      </w:pPr>
      <w:r>
        <w:rPr>
          <w:rFonts w:ascii="Liberation Sans" w:hAnsi="Liberation Sans"/>
        </w:rPr>
        <w:t>Migrations, rôles, policies, grants.</w:t>
      </w:r>
    </w:p>
    <w:p>
      <w:pPr>
        <w:pStyle w:val="ListBullet"/>
        <w:spacing w:after="50"/>
      </w:pPr>
      <w:r>
        <w:rPr>
          <w:rFonts w:ascii="Liberation Sans" w:hAnsi="Liberation Sans"/>
        </w:rPr>
        <w:t>Health, scan, JSON, PDF hash, billing.</w:t>
      </w:r>
    </w:p>
    <w:p>
      <w:pPr>
        <w:pStyle w:val="ListBullet"/>
        <w:spacing w:after="50"/>
      </w:pPr>
      <w:r>
        <w:rPr>
          <w:rFonts w:ascii="Liberation Sans" w:hAnsi="Liberation Sans"/>
        </w:rPr>
        <w:t>Outbox, DLQ, révisions et trafic.</w:t>
      </w:r>
    </w:p>
    <w:p>
      <w:pPr>
        <w:pStyle w:val="ListBullet"/>
        <w:spacing w:after="50"/>
      </w:pPr>
      <w:r>
        <w:rPr>
          <w:rFonts w:ascii="Liberation Sans" w:hAnsi="Liberation Sans"/>
        </w:rPr>
        <w:t>Nettoyage et fermeture des accès temporaires.</w:t>
      </w: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RAPPEL  </w:t>
            </w:r>
            <w:r>
              <w:rPr>
                <w:rFonts w:ascii="Liberation Sans" w:hAnsi="Liberation Sans"/>
                <w:color w:val="102A43"/>
                <w:sz w:val="18"/>
              </w:rPr>
              <w:t>Ce guide ne remplace pas les sections sécurité, réseau, incident et dette technique du runbook canonique.</w:t>
            </w:r>
          </w:p>
        </w:tc>
        <w:trPr>
          <w:tblHeader/>
        </w:trPr>
      </w:tr>
    </w:tbl>
    <w:p>
      <w:pPr>
        <w:spacing w:after="20"/>
      </w:pPr>
    </w:p>
    <w:sectPr>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17"/>
      <w:gridCol w:w="5017"/>
    </w:tblGrid>
    <w:tr>
      <w:tc>
        <w:tcPr>
          <w:tcW w:type="dxa" w:w="7654"/>
        </w:tcPr>
        <w:p>
          <w:pPr>
            <w:jc w:val="left"/>
          </w:pPr>
          <w:r>
            <w:rPr>
              <w:rFonts w:ascii="Liberation Sans" w:hAnsi="Liberation Sans"/>
              <w:color w:val="5B6770"/>
              <w:sz w:val="15"/>
            </w:rPr>
            <w:t>Document contrôlé - Ne pas diffuser avec secrets, clés ou identifiants réels</w:t>
          </w:r>
        </w:p>
      </w:tc>
      <w:tc>
        <w:tcPr>
          <w:tcW w:type="dxa" w:w="2381"/>
        </w:tcPr>
        <w:p>
          <w:pPr>
            <w:jc w:val="right"/>
          </w:pPr>
          <w:r>
            <w:rPr>
              <w:sz w:val="16"/>
            </w:rPr>
            <w:t xml:space="preserve">Page </w:t>
            <w:fldChar w:fldCharType="begin"/>
            <w:instrText xml:space="preserve">PAGE</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Bevoac V6.1.2-R2 - Guide From Scratch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A5E"/>
      <w:sz w:val="35"/>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7C91"/>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6B8A"/>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Liberation Sans" w:hAnsi="Liberation Sans"/>
      <w:b/>
      <w:bCs/>
      <w:i/>
      <w:iCs/>
      <w:color w:val="66519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color w:val="1E2E3A"/>
      <w:sz w:val="15"/>
    </w:rPr>
  </w:style>
  <w:style w:type="paragraph" w:customStyle="1" w:styleId="CaptionCustom">
    <w:name w:val="Caption Custom"/>
    <w:pPr>
      <w:spacing w:before="40" w:after="140"/>
    </w:pPr>
    <w:rPr>
      <w:rFonts w:ascii="Liberation Sans" w:hAnsi="Liberation Sans"/>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From Scratch Bevoac V6.1.2-R2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