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Liberation Sans" w:hAnsi="Liberation Sans"/>
          <w:b/>
          <w:color w:val="173A5E"/>
          <w:sz w:val="68"/>
        </w:rPr>
        <w:t>BEVOAC</w:t>
      </w:r>
    </w:p>
    <w:p>
      <w:pPr>
        <w:spacing w:before="360"/>
        <w:jc w:val="center"/>
      </w:pPr>
      <w:r>
        <w:rPr>
          <w:rFonts w:ascii="Liberation Sans" w:hAnsi="Liberation Sans"/>
          <w:b/>
          <w:color w:val="173A5E"/>
          <w:sz w:val="48"/>
        </w:rPr>
        <w:t>Runbook V6.1.2-R2 Production Enterprise-Ready</w:t>
      </w:r>
    </w:p>
    <w:p>
      <w:pPr>
        <w:jc w:val="center"/>
      </w:pPr>
      <w:r>
        <w:rPr>
          <w:rFonts w:ascii="Liberation Sans" w:hAnsi="Liberation Sans"/>
          <w:color w:val="007C91"/>
          <w:sz w:val="27"/>
        </w:rPr>
        <w:t>Installation from scratch, architecture durcie, sécurité PostgreSQL par rôles, exploitation et recette B2B</w:t>
      </w:r>
    </w:p>
    <w:p/>
    <w:tbl>
      <w:tblPr>
        <w:tblW w:type="auto" w:w="0"/>
        <w:jc w:val="center"/>
        <w:tblLayout w:type="fixed"/>
        <w:tblLook w:firstColumn="1" w:firstRow="1" w:lastColumn="0" w:lastRow="0" w:noHBand="0" w:noVBand="1" w:val="04A0"/>
      </w:tblPr>
      <w:tblGrid>
        <w:gridCol w:w="5018"/>
        <w:gridCol w:w="5018"/>
      </w:tblGrid>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Version documentaire</w:t>
            </w:r>
          </w:p>
        </w:tc>
        <w:tc>
          <w:tcPr>
            <w:tcW w:type="dxa" w:w="5726"/>
            <w:tcBorders>
              <w:top w:val="single" w:sz="4" w:color="AAB7C4"/>
              <w:left w:val="single" w:sz="4" w:color="AAB7C4"/>
              <w:bottom w:val="single" w:sz="4" w:color="AAB7C4"/>
              <w:right w:val="single" w:sz="4" w:color="AAB7C4"/>
            </w:tcBorders>
          </w:tcPr>
          <w:p>
            <w:r>
              <w:rPr>
                <w:rFonts w:ascii="Liberation Sans" w:hAnsi="Liberation Sans"/>
                <w:color w:val="102A43"/>
                <w:sz w:val="18"/>
              </w:rPr>
              <w:t>V6.1.2-R2</w:t>
            </w:r>
          </w:p>
        </w:tc>
        <w:trPr>
          <w:tblHeader/>
        </w:trPr>
      </w:tr>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Statut</w:t>
            </w:r>
          </w:p>
        </w:tc>
        <w:tc>
          <w:tcPr>
            <w:tcW w:type="dxa" w:w="5726"/>
            <w:tcBorders>
              <w:top w:val="single" w:sz="4" w:color="AAB7C4"/>
              <w:left w:val="single" w:sz="4" w:color="AAB7C4"/>
              <w:bottom w:val="single" w:sz="4" w:color="AAB7C4"/>
              <w:right w:val="single" w:sz="4" w:color="AAB7C4"/>
            </w:tcBorders>
          </w:tcPr>
          <w:p>
            <w:r>
              <w:rPr>
                <w:rFonts w:ascii="Liberation Sans" w:hAnsi="Liberation Sans"/>
                <w:color w:val="102A43"/>
                <w:sz w:val="18"/>
              </w:rPr>
              <w:t>CANONIQUE - production contrôlée</w:t>
            </w:r>
          </w:p>
        </w:tc>
      </w:tr>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Baseline code</w:t>
            </w:r>
          </w:p>
        </w:tc>
        <w:tc>
          <w:tcPr>
            <w:tcW w:type="dxa" w:w="5726"/>
            <w:tcBorders>
              <w:top w:val="single" w:sz="4" w:color="AAB7C4"/>
              <w:left w:val="single" w:sz="4" w:color="AAB7C4"/>
              <w:bottom w:val="single" w:sz="4" w:color="AAB7C4"/>
              <w:right w:val="single" w:sz="4" w:color="AAB7C4"/>
            </w:tcBorders>
          </w:tcPr>
          <w:p>
            <w:r>
              <w:rPr>
                <w:rFonts w:ascii="Liberation Sans" w:hAnsi="Liberation Sans"/>
                <w:color w:val="102A43"/>
                <w:sz w:val="18"/>
              </w:rPr>
              <w:t>f37c066 / hardening/v6.1.2-runtime-role-boundary</w:t>
            </w:r>
          </w:p>
        </w:tc>
      </w:tr>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Date</w:t>
            </w:r>
          </w:p>
        </w:tc>
        <w:tc>
          <w:tcPr>
            <w:tcW w:type="dxa" w:w="5726"/>
            <w:tcBorders>
              <w:top w:val="single" w:sz="4" w:color="AAB7C4"/>
              <w:left w:val="single" w:sz="4" w:color="AAB7C4"/>
              <w:bottom w:val="single" w:sz="4" w:color="AAB7C4"/>
              <w:right w:val="single" w:sz="4" w:color="AAB7C4"/>
            </w:tcBorders>
          </w:tcPr>
          <w:p>
            <w:r>
              <w:rPr>
                <w:rFonts w:ascii="Liberation Sans" w:hAnsi="Liberation Sans"/>
                <w:color w:val="102A43"/>
                <w:sz w:val="18"/>
              </w:rPr>
              <w:t>20 juillet 2026</w:t>
            </w:r>
          </w:p>
        </w:tc>
      </w:tr>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Classification</w:t>
            </w:r>
          </w:p>
        </w:tc>
        <w:tc>
          <w:tcPr>
            <w:tcW w:type="dxa" w:w="5726"/>
            <w:tcBorders>
              <w:top w:val="single" w:sz="4" w:color="AAB7C4"/>
              <w:left w:val="single" w:sz="4" w:color="AAB7C4"/>
              <w:bottom w:val="single" w:sz="4" w:color="AAB7C4"/>
              <w:right w:val="single" w:sz="4" w:color="AAB7C4"/>
            </w:tcBorders>
          </w:tcPr>
          <w:p>
            <w:r>
              <w:rPr>
                <w:rFonts w:ascii="Liberation Sans" w:hAnsi="Liberation Sans"/>
                <w:color w:val="102A43"/>
                <w:sz w:val="18"/>
              </w:rPr>
              <w:t>Interne / opérateur - sans secret réel</w:t>
            </w:r>
          </w:p>
        </w:tc>
      </w:tr>
    </w:tbl>
    <w:p/>
    <w:tbl>
      <w:tblPr>
        <w:tblW w:type="auto" w:w="0"/>
        <w:jc w:val="center"/>
        <w:tblLayout w:type="fixed"/>
        <w:tblLook w:firstColumn="1" w:firstRow="1" w:lastColumn="0" w:lastRow="0" w:noHBand="0" w:noVBand="1" w:val="04A0"/>
      </w:tblPr>
      <w:tblGrid>
        <w:gridCol w:w="10036"/>
      </w:tblGrid>
      <w:tr>
        <w:tc>
          <w:tcPr>
            <w:tcW w:type="dxa" w:w="9751"/>
            <w:shd w:fill="FCE9E7"/>
            <w:tcBorders>
              <w:top w:val="single" w:sz="6" w:color="B3261E"/>
              <w:left w:val="single" w:sz="10" w:color="B3261E"/>
              <w:bottom w:val="single" w:sz="6" w:color="B3261E"/>
              <w:right w:val="single" w:sz="6" w:color="B3261E"/>
            </w:tcBorders>
          </w:tcPr>
          <w:p>
            <w:pPr>
              <w:spacing w:after="20"/>
            </w:pPr>
            <w:r>
              <w:rPr>
                <w:rFonts w:ascii="Liberation Sans" w:hAnsi="Liberation Sans"/>
                <w:b/>
                <w:color w:val="B3261E"/>
                <w:sz w:val="18"/>
              </w:rPr>
              <w:t xml:space="preserve">SÉCURITÉ DOCUMENTAIRE  </w:t>
            </w:r>
            <w:r>
              <w:rPr>
                <w:rFonts w:ascii="Liberation Sans" w:hAnsi="Liberation Sans"/>
                <w:color w:val="102A43"/>
                <w:sz w:val="18"/>
              </w:rPr>
              <w:t>Toute clé API, clé APIM, mot de passe PostgreSQL, token OIDC, secret Key Vault, IP opérateur ou identifiant Azure visible dans une preuve doit être masqué, révoqué ou régénéré avant diffusion.</w:t>
            </w:r>
          </w:p>
        </w:tc>
        <w:trPr>
          <w:tblHeader/>
        </w:trPr>
      </w:tr>
    </w:tbl>
    <w:p>
      <w:pPr>
        <w:spacing w:after="20"/>
      </w:pPr>
    </w:p>
    <w:p>
      <w:pPr>
        <w:spacing w:before="360"/>
        <w:jc w:val="center"/>
      </w:pPr>
      <w:r>
        <w:rPr>
          <w:rFonts w:ascii="Liberation Sans" w:hAnsi="Liberation Sans"/>
          <w:i/>
          <w:color w:val="5B6770"/>
          <w:sz w:val="18"/>
        </w:rPr>
        <w:t>Runbook canonique. Les anciennes variantes sont remplacées et ne doivent plus être utilisées comme baseline.</w:t>
      </w:r>
    </w:p>
    <w:p>
      <w:r>
        <w:br w:type="page"/>
      </w:r>
    </w:p>
    <w:p>
      <w:pPr>
        <w:pStyle w:val="Heading1"/>
        <w:pBdr>
          <w:bottom w:val="single" w:sz="10" w:space="4" w:color="173A5E"/>
        </w:pBdr>
        <w:keepNext/>
      </w:pPr>
      <w:r>
        <w:t>0. Contrôle documentaire et décision de consolidation</w:t>
      </w:r>
    </w:p>
    <w:tbl>
      <w:tblPr>
        <w:tblW w:type="auto" w:w="0"/>
        <w:jc w:val="center"/>
        <w:tblLayout w:type="fixed"/>
        <w:tblLook w:firstColumn="1" w:firstRow="1" w:lastColumn="0" w:lastRow="0" w:noHBand="0" w:noVBand="1" w:val="04A0"/>
      </w:tblPr>
      <w:tblGrid>
        <w:gridCol w:w="10036"/>
      </w:tblGrid>
      <w:tr>
        <w:tc>
          <w:tcPr>
            <w:tcW w:type="dxa" w:w="9751"/>
            <w:shd w:fill="FFF4DD"/>
            <w:tcBorders>
              <w:top w:val="single" w:sz="6" w:color="B26A00"/>
              <w:left w:val="single" w:sz="10" w:color="B26A00"/>
              <w:bottom w:val="single" w:sz="6" w:color="B26A00"/>
              <w:right w:val="single" w:sz="6" w:color="B26A00"/>
            </w:tcBorders>
          </w:tcPr>
          <w:p>
            <w:pPr>
              <w:spacing w:after="20"/>
            </w:pPr>
            <w:r>
              <w:rPr>
                <w:rFonts w:ascii="Liberation Sans" w:hAnsi="Liberation Sans"/>
                <w:b/>
                <w:color w:val="B26A00"/>
                <w:sz w:val="18"/>
              </w:rPr>
              <w:t xml:space="preserve">DÉCISION  </w:t>
            </w:r>
            <w:r>
              <w:rPr>
                <w:rFonts w:ascii="Liberation Sans" w:hAnsi="Liberation Sans"/>
                <w:color w:val="102A43"/>
                <w:sz w:val="18"/>
              </w:rPr>
              <w:t>Il n'existe plus deux runbooks actifs. Le présent document devient la seule référence opérationnelle complète. Le guide From Scratch est un dérivé simplifié. Le document Enterprise Hardened de cinq pages est déprécié car il contient l'ancien modèle app.service_context et des commandes RLS désormais bloquées.</w:t>
            </w:r>
          </w:p>
        </w:tc>
        <w:trPr>
          <w:tblHeader/>
        </w:trPr>
      </w:tr>
    </w:tbl>
    <w:p>
      <w:pPr>
        <w:spacing w:after="20"/>
      </w:pPr>
    </w:p>
    <w:tbl>
      <w:tblPr>
        <w:tblW w:type="auto" w:w="0"/>
        <w:jc w:val="center"/>
        <w:tblLayout w:type="fixed"/>
        <w:tblLook w:firstColumn="1" w:firstRow="1" w:lastColumn="0" w:lastRow="0" w:noHBand="0" w:noVBand="1" w:val="04A0"/>
      </w:tblPr>
      <w:tblGrid>
        <w:gridCol w:w="5018"/>
        <w:gridCol w:w="5018"/>
      </w:tblGrid>
      <w:tr>
        <w:trPr>
          <w:tblHeader w:val="true"/>
        </w:trPr>
        <w:tc>
          <w:tcPr>
            <w:tcW w:type="dxa" w:w="351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Élément</w:t>
            </w:r>
          </w:p>
        </w:tc>
        <w:tc>
          <w:tcPr>
            <w:tcW w:type="dxa" w:w="6123"/>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Décision</w:t>
            </w:r>
          </w:p>
        </w:tc>
      </w:tr>
      <w:tr>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Runbook principal V6.1.2 historique</w:t>
            </w:r>
          </w:p>
        </w:tc>
        <w:tc>
          <w:tcPr>
            <w:tcW w:type="dxa" w:w="612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Remplacé par cette révision canonique R2.</w:t>
            </w:r>
          </w:p>
        </w:tc>
      </w:tr>
      <w:tr>
        <w:tc>
          <w:tcPr>
            <w:tcW w:type="dxa" w:w="351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Runbook V6.1.2 Enterprise Hardened (5 pages)</w:t>
            </w:r>
          </w:p>
        </w:tc>
        <w:tc>
          <w:tcPr>
            <w:tcW w:type="dxa" w:w="612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Archivé / interdit comme baseline ; contenu utile fusionné, commandes obsolètes supprimées.</w:t>
            </w:r>
          </w:p>
        </w:tc>
      </w:tr>
      <w:tr>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Guide From Scratch</w:t>
            </w:r>
          </w:p>
        </w:tc>
        <w:tc>
          <w:tcPr>
            <w:tcW w:type="dxa" w:w="612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Actif comme guide d’exécution court ; renvoie au runbook canonique pour les détails.</w:t>
            </w:r>
          </w:p>
        </w:tc>
      </w:tr>
      <w:tr>
        <w:tc>
          <w:tcPr>
            <w:tcW w:type="dxa" w:w="351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Baseline code</w:t>
            </w:r>
          </w:p>
        </w:tc>
        <w:tc>
          <w:tcPr>
            <w:tcW w:type="dxa" w:w="612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Branche hardening/v6.1.2-runtime-role-boundary, commit f37c066.</w:t>
            </w:r>
          </w:p>
        </w:tc>
      </w:tr>
      <w:tr>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Périmètre de validation</w:t>
            </w:r>
          </w:p>
        </w:tc>
        <w:tc>
          <w:tcPr>
            <w:tcW w:type="dxa" w:w="612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API 44 tests, worker 5 tests, PostgreSQL 16.14 jetable, 6 rôles runtime, 15 tables RLS, 29 policies, 58 privilèges exacts.</w:t>
            </w:r>
          </w:p>
        </w:tc>
      </w:tr>
    </w:tbl>
    <w:p>
      <w:pPr>
        <w:spacing w:after="20"/>
      </w:pPr>
    </w:p>
    <w:p>
      <w:pPr>
        <w:pStyle w:val="Heading2"/>
        <w:keepNext/>
      </w:pPr>
      <w:r>
        <w:t>0.1 Statut des affirmations</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26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Libellé</w:t>
            </w:r>
          </w:p>
        </w:tc>
        <w:tc>
          <w:tcPr>
            <w:tcW w:type="dxa" w:w="7370"/>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Signification</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VALIDÉ</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Preuve issue des tests, plans, sorties SQL ou logs opérateur.</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ÉTAT OBSERVÉ</w:t>
            </w:r>
          </w:p>
        </w:tc>
        <w:tc>
          <w:tcPr>
            <w:tcW w:type="dxa" w:w="737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État relevé à une date donnée ; doit être recontrôlé avant opération.</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CIBLE</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Architecture souhaitée, pas nécessairement déployée partout.</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DETTE / À FAIRE</w:t>
            </w:r>
          </w:p>
        </w:tc>
        <w:tc>
          <w:tcPr>
            <w:tcW w:type="dxa" w:w="737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Écart documenté ; ne pas le présenter comme livré.</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INTERDIT</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Commande ou modèle historique à ne plus utiliser.</w:t>
            </w:r>
          </w:p>
        </w:tc>
      </w:tr>
    </w:tbl>
    <w:p>
      <w:pPr>
        <w:spacing w:after="20"/>
      </w:pPr>
    </w:p>
    <w:p>
      <w:pPr>
        <w:pStyle w:val="Heading2"/>
        <w:keepNext/>
      </w:pPr>
      <w:r>
        <w:t>0.2 Positionnement client autorisé</w:t>
      </w:r>
    </w:p>
    <w:p>
      <w:pPr>
        <w:spacing w:after="80"/>
      </w:pPr>
      <w:r>
        <w:rPr>
          <w:rFonts w:ascii="Liberation Sans" w:hAnsi="Liberation Sans"/>
          <w:i w:val="0"/>
        </w:rPr>
        <w:t>Bevoac V6.1.2-R2 est un socle Azure-first production-ready pour pilote B2B avancé et production contrôlée. L’architecture de sécurité est enterprise-ready sur les principes d’identité, de moindre privilège, de RLS et de séparation des runtimes, mais elle n’est pas enterprise-certified.</w:t>
      </w:r>
    </w:p>
    <w:p>
      <w:pPr>
        <w:pStyle w:val="ListBullet"/>
        <w:spacing w:after="50"/>
      </w:pPr>
      <w:r>
        <w:rPr>
          <w:rFonts w:ascii="Liberation Sans" w:hAnsi="Liberation Sans"/>
        </w:rPr>
        <w:t>Ne pas revendiquer : zéro risque tenant, pentest validé, multi-cloud complet, certification réglementaire ou restore garanti sans preuve.</w:t>
      </w:r>
    </w:p>
    <w:p>
      <w:pPr>
        <w:pStyle w:val="ListBullet"/>
        <w:spacing w:after="50"/>
      </w:pPr>
      <w:r>
        <w:rPr>
          <w:rFonts w:ascii="Liberation Sans" w:hAnsi="Liberation Sans"/>
        </w:rPr>
        <w:t>Exiger avant claim enterprise strict : pentest externe, charge élargie, restore drill périodique, incident response formalisé et CI PostgreSQL éphémère.</w:t>
      </w:r>
    </w:p>
    <w:p>
      <w:pPr>
        <w:pStyle w:val="Heading1"/>
        <w:pBdr>
          <w:bottom w:val="single" w:sz="10" w:space="4" w:color="173A5E"/>
        </w:pBdr>
        <w:keepNext/>
      </w:pPr>
      <w:r>
        <w:t>Comment utiliser ce runbook</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94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Votre situation</w:t>
            </w:r>
          </w:p>
        </w:tc>
        <w:tc>
          <w:tcPr>
            <w:tcW w:type="dxa" w:w="6690"/>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Parcours recommandé</w:t>
            </w:r>
          </w:p>
        </w:tc>
      </w:tr>
      <w:tr>
        <w:tc>
          <w:tcPr>
            <w:tcW w:type="dxa" w:w="294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Nouvel ingénieur / nouvelle installation</w:t>
            </w:r>
          </w:p>
        </w:tc>
        <w:tc>
          <w:tcPr>
            <w:tcW w:type="dxa" w:w="669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Commencer par le Guide From Scratch, puis Partie 1 et Partie 2 de ce runbook.</w:t>
            </w:r>
          </w:p>
        </w:tc>
      </w:tr>
      <w:tr>
        <w:tc>
          <w:tcPr>
            <w:tcW w:type="dxa" w:w="294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Reprise d’un environnement existant</w:t>
            </w:r>
          </w:p>
        </w:tc>
        <w:tc>
          <w:tcPr>
            <w:tcW w:type="dxa" w:w="669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Lire 4. Migration de state, puis 5 à 12.</w:t>
            </w:r>
          </w:p>
        </w:tc>
      </w:tr>
      <w:tr>
        <w:tc>
          <w:tcPr>
            <w:tcW w:type="dxa" w:w="294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Déploiement d’une nouvelle version</w:t>
            </w:r>
          </w:p>
        </w:tc>
        <w:tc>
          <w:tcPr>
            <w:tcW w:type="dxa" w:w="669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Lire Partie 5 : release, révisions, preuves et rollback.</w:t>
            </w:r>
          </w:p>
        </w:tc>
      </w:tr>
      <w:tr>
        <w:tc>
          <w:tcPr>
            <w:tcW w:type="dxa" w:w="294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Incident ou comportement anormal</w:t>
            </w:r>
          </w:p>
        </w:tc>
        <w:tc>
          <w:tcPr>
            <w:tcW w:type="dxa" w:w="669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Lire Partie 6 : exploitation, incidents et troubleshooting.</w:t>
            </w:r>
          </w:p>
        </w:tc>
      </w:tr>
      <w:tr>
        <w:tc>
          <w:tcPr>
            <w:tcW w:type="dxa" w:w="294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Audit sécurité / RSSI</w:t>
            </w:r>
          </w:p>
        </w:tc>
        <w:tc>
          <w:tcPr>
            <w:tcW w:type="dxa" w:w="669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Lire Parties 2 et 3, puis la matrice GO/NO-GO.</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EAF3F8"/>
            <w:tcBorders>
              <w:top w:val="single" w:sz="6" w:color="173A5E"/>
              <w:left w:val="single" w:sz="10" w:color="173A5E"/>
              <w:bottom w:val="single" w:sz="6" w:color="173A5E"/>
              <w:right w:val="single" w:sz="6" w:color="173A5E"/>
            </w:tcBorders>
          </w:tcPr>
          <w:p>
            <w:pPr>
              <w:spacing w:after="20"/>
            </w:pPr>
            <w:r>
              <w:rPr>
                <w:rFonts w:ascii="Liberation Sans" w:hAnsi="Liberation Sans"/>
                <w:b/>
                <w:color w:val="173A5E"/>
                <w:sz w:val="18"/>
              </w:rPr>
              <w:t xml:space="preserve">RÈGLE UX  </w:t>
            </w:r>
            <w:r>
              <w:rPr>
                <w:rFonts w:ascii="Liberation Sans" w:hAnsi="Liberation Sans"/>
                <w:color w:val="102A43"/>
                <w:sz w:val="18"/>
              </w:rPr>
              <w:t>Chaque phase contient : pourquoi, prérequis, commandes, résultat attendu, condition d'arrêt et preuve à conserver. Ne continuez jamais lorsque la condition d'arrêt est déclenchée.</w:t>
            </w:r>
          </w:p>
        </w:tc>
        <w:trPr>
          <w:tblHeader/>
        </w:trPr>
      </w:tr>
    </w:tbl>
    <w:p>
      <w:pPr>
        <w:spacing w:after="20"/>
      </w:pPr>
    </w:p>
    <w:p>
      <w:pPr>
        <w:pStyle w:val="Heading2"/>
        <w:keepNext/>
      </w:pPr>
      <w:r>
        <w:t>Sommaire logique</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26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Partie</w:t>
            </w:r>
          </w:p>
        </w:tc>
        <w:tc>
          <w:tcPr>
            <w:tcW w:type="dxa" w:w="7370"/>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Contenu</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1 - From Scratch</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Installation greenfield, reprise de state, build, base, migrations, déploiement et recette.</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2 - Architecture</w:t>
            </w:r>
          </w:p>
        </w:tc>
        <w:tc>
          <w:tcPr>
            <w:tcW w:type="dxa" w:w="737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Composants Azure, runtimes, flux scan/outbox, réseau et révisions.</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3 - Sécurité</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Identités, secrets, authentification API, RLS, rôles et privilèges.</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4 - Produit</w:t>
            </w:r>
          </w:p>
        </w:tc>
        <w:tc>
          <w:tcPr>
            <w:tcW w:type="dxa" w:w="737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API, onboarding, modules, billing, JSON/PDF.</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5 - Livraison</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CI, release, Terraform, trafic, preuves et rollback.</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6 - Exploitation</w:t>
            </w:r>
          </w:p>
        </w:tc>
        <w:tc>
          <w:tcPr>
            <w:tcW w:type="dxa" w:w="737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Supervision, DLQ, rétention, incidents, nettoyage et troubleshooting.</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Annexes</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Variables, commandes SQL, matrices, changements et dette technique.</w:t>
            </w:r>
          </w:p>
        </w:tc>
      </w:tr>
    </w:tbl>
    <w:p>
      <w:pPr>
        <w:pageBreakBefore/>
        <w:spacing w:before="2100"/>
        <w:jc w:val="center"/>
      </w:pPr>
      <w:r>
        <w:rPr>
          <w:rFonts w:ascii="Liberation Sans" w:hAnsi="Liberation Sans"/>
          <w:b/>
          <w:color w:val="007C91"/>
          <w:sz w:val="24"/>
        </w:rPr>
        <w:t>PARTIE 1</w:t>
      </w:r>
    </w:p>
    <w:p>
      <w:pPr>
        <w:jc w:val="center"/>
      </w:pPr>
      <w:r>
        <w:rPr>
          <w:rFonts w:ascii="Liberation Sans" w:hAnsi="Liberation Sans"/>
          <w:b/>
          <w:color w:val="173A5E"/>
          <w:sz w:val="48"/>
        </w:rPr>
        <w:t>INSTALLATION FROM SCRATCH</w:t>
      </w:r>
    </w:p>
    <w:p>
      <w:pPr>
        <w:jc w:val="center"/>
      </w:pPr>
      <w:r>
        <w:rPr>
          <w:rFonts w:ascii="Liberation Sans" w:hAnsi="Liberation Sans"/>
          <w:i/>
          <w:color w:val="5B6770"/>
          <w:sz w:val="23"/>
        </w:rPr>
        <w:t>Parcours guidé pour un ingénieur découvrant Bevoac</w:t>
      </w:r>
    </w:p>
    <w:p>
      <w:r>
        <w:br w:type="page"/>
      </w:r>
    </w:p>
    <w:p>
      <w:pPr>
        <w:pStyle w:val="Heading1"/>
        <w:pBdr>
          <w:bottom w:val="single" w:sz="10" w:space="4" w:color="173A5E"/>
        </w:pBdr>
        <w:keepNext/>
      </w:pPr>
      <w:r>
        <w:t>1. Comprendre Bevoac en 10 minutes</w:t>
      </w:r>
    </w:p>
    <w:p>
      <w:pPr>
        <w:spacing w:after="80"/>
      </w:pPr>
      <w:r>
        <w:rPr>
          <w:rFonts w:ascii="Liberation Sans" w:hAnsi="Liberation Sans"/>
          <w:i w:val="0"/>
        </w:rPr>
        <w:t>Bevoac est un control plane SaaS B2B d’audit web, Microsoft Entra ID et Azure. Le client appelle APIM, l’API publique authentifie une clé tenant-scoped, valide les cibles autorisées, crée le scan et son événement outbox dans PostgreSQL. Un publisher dédié transmet l’événement à Service Bus ; le worker exécute les modules et persiste le résultat. Le client récupère le JSON explicite ou le PDF.</w:t>
      </w:r>
    </w:p>
    <w:p>
      <w:pPr>
        <w:jc w:val="center"/>
      </w:pPr>
      <w:r>
        <w:drawing>
          <wp:inline xmlns:a="http://schemas.openxmlformats.org/drawingml/2006/main" xmlns:pic="http://schemas.openxmlformats.org/drawingml/2006/picture">
            <wp:extent cx="5148000" cy="5707491"/>
            <wp:docPr id="1" name="Picture 1" descr="Image: image1.png"/>
            <wp:cNvGraphicFramePr>
              <a:graphicFrameLocks noChangeAspect="1"/>
            </wp:cNvGraphicFramePr>
            <a:graphic>
              <a:graphicData uri="http://schemas.openxmlformats.org/drawingml/2006/picture">
                <pic:pic>
                  <pic:nvPicPr>
                    <pic:cNvPr id="0" name="architecture_v6_1_2_r2.png"/>
                    <pic:cNvPicPr/>
                  </pic:nvPicPr>
                  <pic:blipFill>
                    <a:blip r:embed="rId11"/>
                    <a:stretch>
                      <a:fillRect/>
                    </a:stretch>
                  </pic:blipFill>
                  <pic:spPr>
                    <a:xfrm>
                      <a:off x="0" y="0"/>
                      <a:ext cx="5148000" cy="5707491"/>
                    </a:xfrm>
                    <a:prstGeom prst="rect"/>
                  </pic:spPr>
                </pic:pic>
              </a:graphicData>
            </a:graphic>
          </wp:inline>
        </w:drawing>
      </w:r>
    </w:p>
    <w:p>
      <w:pPr>
        <w:pStyle w:val="CaptionCustom"/>
        <w:jc w:val="center"/>
      </w:pPr>
      <w:r>
        <w:t>Figure 1 - Architecture logique V6.1.2-R2 : séparation HTTP, données, messagerie et runtimes de fond.</w:t>
      </w:r>
    </w:p>
    <w:p>
      <w:pPr>
        <w:pStyle w:val="Heading2"/>
        <w:keepNext/>
      </w:pPr>
      <w:r>
        <w:t>1.1 Ce que chaque composant fait - et ne fait pas</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757"/>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Composant</w:t>
            </w:r>
          </w:p>
        </w:tc>
        <w:tc>
          <w:tcPr>
            <w:tcW w:type="dxa" w:w="3969"/>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Responsabilité</w:t>
            </w:r>
          </w:p>
        </w:tc>
        <w:tc>
          <w:tcPr>
            <w:tcW w:type="dxa" w:w="391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Ne doit pas faire</w:t>
            </w:r>
          </w:p>
        </w:tc>
      </w:tr>
      <w:tr>
        <w:tc>
          <w:tcPr>
            <w:tcW w:type="dxa" w:w="1757"/>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APIM</w:t>
            </w:r>
          </w:p>
        </w:tc>
        <w:tc>
          <w:tcPr>
            <w:tcW w:type="dxa" w:w="396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Gateway client, subscription key, quota, rate limit, corrélation.</w:t>
            </w:r>
          </w:p>
        </w:tc>
        <w:tc>
          <w:tcPr>
            <w:tcW w:type="dxa" w:w="391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Remplacer l’authentification Bevoac ou contenir les secrets PostgreSQL.</w:t>
            </w:r>
          </w:p>
        </w:tc>
      </w:tr>
      <w:tr>
        <w:tc>
          <w:tcPr>
            <w:tcW w:type="dxa" w:w="1757"/>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public_api</w:t>
            </w:r>
          </w:p>
        </w:tc>
        <w:tc>
          <w:tcPr>
            <w:tcW w:type="dxa" w:w="396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Auth API key, tenant, scopes, cible, billing, scan et écriture outbox.</w:t>
            </w:r>
          </w:p>
        </w:tc>
        <w:tc>
          <w:tcPr>
            <w:tcW w:type="dxa" w:w="391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Détenir un secret Service Bus lorsque le publisher dédié est actif.</w:t>
            </w:r>
          </w:p>
        </w:tc>
      </w:tr>
      <w:tr>
        <w:tc>
          <w:tcPr>
            <w:tcW w:type="dxa" w:w="1757"/>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admin_api</w:t>
            </w:r>
          </w:p>
        </w:tc>
        <w:tc>
          <w:tcPr>
            <w:tcW w:type="dxa" w:w="396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Routes OIDC admin, billing global et journal admin.</w:t>
            </w:r>
          </w:p>
        </w:tc>
        <w:tc>
          <w:tcPr>
            <w:tcW w:type="dxa" w:w="391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Partager le compte DB de l’API publique ou être exposée sans OIDC.</w:t>
            </w:r>
          </w:p>
        </w:tc>
      </w:tr>
      <w:tr>
        <w:tc>
          <w:tcPr>
            <w:tcW w:type="dxa" w:w="1757"/>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outbox</w:t>
            </w:r>
          </w:p>
        </w:tc>
        <w:tc>
          <w:tcPr>
            <w:tcW w:type="dxa" w:w="396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Publier les événements DB vers Service Bus.</w:t>
            </w:r>
          </w:p>
        </w:tc>
        <w:tc>
          <w:tcPr>
            <w:tcW w:type="dxa" w:w="391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Exposer un ingress HTTP ou créer des scans.</w:t>
            </w:r>
          </w:p>
        </w:tc>
      </w:tr>
      <w:tr>
        <w:tc>
          <w:tcPr>
            <w:tcW w:type="dxa" w:w="1757"/>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worker</w:t>
            </w:r>
          </w:p>
        </w:tc>
        <w:tc>
          <w:tcPr>
            <w:tcW w:type="dxa" w:w="396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Consommer la queue, exécuter les modules et finaliser le résultat/billing.</w:t>
            </w:r>
          </w:p>
        </w:tc>
        <w:tc>
          <w:tcPr>
            <w:tcW w:type="dxa" w:w="391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Lire les tenants ou les clés API.</w:t>
            </w:r>
          </w:p>
        </w:tc>
      </w:tr>
      <w:tr>
        <w:tc>
          <w:tcPr>
            <w:tcW w:type="dxa" w:w="1757"/>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retention</w:t>
            </w:r>
          </w:p>
        </w:tc>
        <w:tc>
          <w:tcPr>
            <w:tcW w:type="dxa" w:w="396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Supprimer les données expirées et journaliser la purge.</w:t>
            </w:r>
          </w:p>
        </w:tc>
        <w:tc>
          <w:tcPr>
            <w:tcW w:type="dxa" w:w="391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Modifier les scans métier hors purge.</w:t>
            </w:r>
          </w:p>
        </w:tc>
      </w:tr>
      <w:tr>
        <w:tc>
          <w:tcPr>
            <w:tcW w:type="dxa" w:w="1757"/>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operator</w:t>
            </w:r>
          </w:p>
        </w:tc>
        <w:tc>
          <w:tcPr>
            <w:tcW w:type="dxa" w:w="396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Créer tenants, scopes, cibles et clés via scripts contrôlés.</w:t>
            </w:r>
          </w:p>
        </w:tc>
        <w:tc>
          <w:tcPr>
            <w:tcW w:type="dxa" w:w="391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Être utilisé comme credential runtime.</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E7F4E8"/>
            <w:tcBorders>
              <w:top w:val="single" w:sz="6" w:color="2E7D32"/>
              <w:left w:val="single" w:sz="10" w:color="2E7D32"/>
              <w:bottom w:val="single" w:sz="6" w:color="2E7D32"/>
              <w:right w:val="single" w:sz="6" w:color="2E7D32"/>
            </w:tcBorders>
          </w:tcPr>
          <w:p>
            <w:pPr>
              <w:spacing w:after="20"/>
            </w:pPr>
            <w:r>
              <w:rPr>
                <w:rFonts w:ascii="Liberation Sans" w:hAnsi="Liberation Sans"/>
                <w:b/>
                <w:color w:val="2E7D32"/>
                <w:sz w:val="18"/>
              </w:rPr>
              <w:t xml:space="preserve">POURQUOI L’API PEUT FONCTIONNER SANS SERVICE BUS  </w:t>
            </w:r>
            <w:r>
              <w:rPr>
                <w:rFonts w:ascii="Liberation Sans" w:hAnsi="Liberation Sans"/>
                <w:color w:val="102A43"/>
                <w:sz w:val="18"/>
              </w:rPr>
              <w:t>Ce n’est pas une faille. L’API écrit toujours l’événement durable dans outbox_events dans la même transaction que le scan. Le runtime outbox, séparé et non exposé, possède le droit d’envoi Service Bus. Cette séparation réduit les secrets et privilèges de l’API Internet.</w:t>
            </w:r>
          </w:p>
        </w:tc>
        <w:trPr>
          <w:tblHeader/>
        </w:trPr>
      </w:tr>
    </w:tbl>
    <w:p>
      <w:pPr>
        <w:spacing w:after="20"/>
      </w:pPr>
    </w:p>
    <w:p>
      <w:pPr>
        <w:pStyle w:val="Heading1"/>
        <w:pBdr>
          <w:bottom w:val="single" w:sz="10" w:space="4" w:color="173A5E"/>
        </w:pBdr>
        <w:keepNext/>
      </w:pPr>
      <w:r>
        <w:t>2. Choisir le bon chemin avant toute commande</w:t>
      </w:r>
    </w:p>
    <w:p>
      <w:pPr>
        <w:jc w:val="center"/>
      </w:pPr>
      <w:r>
        <w:drawing>
          <wp:inline xmlns:a="http://schemas.openxmlformats.org/drawingml/2006/main" xmlns:pic="http://schemas.openxmlformats.org/drawingml/2006/picture">
            <wp:extent cx="5832000" cy="3358892"/>
            <wp:docPr id="2" name="Picture 2" descr="Image: image2.png"/>
            <wp:cNvGraphicFramePr>
              <a:graphicFrameLocks noChangeAspect="1"/>
            </wp:cNvGraphicFramePr>
            <a:graphic>
              <a:graphicData uri="http://schemas.openxmlformats.org/drawingml/2006/picture">
                <pic:pic>
                  <pic:nvPicPr>
                    <pic:cNvPr id="0" name="from_scratch_flow.png"/>
                    <pic:cNvPicPr/>
                  </pic:nvPicPr>
                  <pic:blipFill>
                    <a:blip r:embed="rId12"/>
                    <a:stretch>
                      <a:fillRect/>
                    </a:stretch>
                  </pic:blipFill>
                  <pic:spPr>
                    <a:xfrm>
                      <a:off x="0" y="0"/>
                      <a:ext cx="5832000" cy="3358892"/>
                    </a:xfrm>
                    <a:prstGeom prst="rect"/>
                  </pic:spPr>
                </pic:pic>
              </a:graphicData>
            </a:graphic>
          </wp:inline>
        </w:drawing>
      </w:r>
    </w:p>
    <w:p>
      <w:pPr>
        <w:pStyle w:val="CaptionCustom"/>
        <w:jc w:val="center"/>
      </w:pPr>
      <w:r>
        <w:t>Figure 2 - Parcours de déploiement : greenfield ou reprise d’un state existant.</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55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Situation</w:t>
            </w:r>
          </w:p>
        </w:tc>
        <w:tc>
          <w:tcPr>
            <w:tcW w:type="dxa" w:w="4706"/>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Chemin</w:t>
            </w:r>
          </w:p>
        </w:tc>
        <w:tc>
          <w:tcPr>
            <w:tcW w:type="dxa" w:w="238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Condition d’arrêt</w:t>
            </w:r>
          </w:p>
        </w:tc>
      </w:tr>
      <w:tr>
        <w:tc>
          <w:tcPr>
            <w:tcW w:type="dxa" w:w="255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Nouvel environnement</w:t>
            </w:r>
          </w:p>
        </w:tc>
        <w:tc>
          <w:tcPr>
            <w:tcW w:type="dxa" w:w="4706"/>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Greenfield : backend/state, socle Azure, images, DB, workloads, APIM, recette.</w:t>
            </w:r>
          </w:p>
        </w:tc>
        <w:tc>
          <w:tcPr>
            <w:tcW w:type="dxa" w:w="238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Tout plan contenant une destruction non expliquée.</w:t>
            </w:r>
          </w:p>
        </w:tc>
      </w:tr>
      <w:tr>
        <w:tc>
          <w:tcPr>
            <w:tcW w:type="dxa" w:w="255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Même infrastructure, nouveau repo</w:t>
            </w:r>
          </w:p>
        </w:tc>
        <w:tc>
          <w:tcPr>
            <w:tcW w:type="dxa" w:w="4706"/>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Installer le state original, refresh-only, aligner le code, puis plan normal.</w:t>
            </w:r>
          </w:p>
        </w:tc>
        <w:tc>
          <w:tcPr>
            <w:tcW w:type="dxa" w:w="238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Plan massif de créations alors que les ressources existent.</w:t>
            </w:r>
          </w:p>
        </w:tc>
      </w:tr>
      <w:tr>
        <w:tc>
          <w:tcPr>
            <w:tcW w:type="dxa" w:w="255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Environnement production déjà actif</w:t>
            </w:r>
          </w:p>
        </w:tc>
        <w:tc>
          <w:tcPr>
            <w:tcW w:type="dxa" w:w="4706"/>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Ne jamais réinitialiser la DB. Appliquer seulement les migrations manquantes et déployer une nouvelle révision.</w:t>
            </w:r>
          </w:p>
        </w:tc>
        <w:tc>
          <w:tcPr>
            <w:tcW w:type="dxa" w:w="238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Absence de sauvegarde/state ou fenêtre de changement non approuvée.</w:t>
            </w:r>
          </w:p>
        </w:tc>
      </w:tr>
    </w:tbl>
    <w:p>
      <w:pPr>
        <w:spacing w:after="20"/>
      </w:pPr>
    </w:p>
    <w:p>
      <w:pPr>
        <w:pStyle w:val="Heading1"/>
        <w:pBdr>
          <w:bottom w:val="single" w:sz="10" w:space="4" w:color="173A5E"/>
        </w:pBdr>
        <w:keepNext/>
      </w:pPr>
      <w:r>
        <w:t>3. Préflight poste opérateur</w:t>
      </w:r>
    </w:p>
    <w:p>
      <w:pPr>
        <w:spacing w:after="80"/>
      </w:pPr>
      <w:r>
        <w:rPr>
          <w:rFonts w:ascii="Liberation Sans" w:hAnsi="Liberation Sans"/>
          <w:i w:val="0"/>
        </w:rPr>
        <w:t>Pourquoi : une grande partie des erreurs rencontrées provenait d’un mauvais Node.js, d’un mauvais compte Azure, d’un state absent ou d’une commande lancée depuis le mauvais répertoire.</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87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Outil</w:t>
            </w:r>
          </w:p>
        </w:tc>
        <w:tc>
          <w:tcPr>
            <w:tcW w:type="dxa" w:w="408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Cible</w:t>
            </w:r>
          </w:p>
        </w:tc>
        <w:tc>
          <w:tcPr>
            <w:tcW w:type="dxa" w:w="368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Validation</w:t>
            </w:r>
          </w:p>
        </w:tc>
      </w:tr>
      <w:tr>
        <w:tc>
          <w:tcPr>
            <w:tcW w:type="dxa" w:w="187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Azure CLI</w:t>
            </w:r>
          </w:p>
        </w:tc>
        <w:tc>
          <w:tcPr>
            <w:tcW w:type="dxa" w:w="408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Compte/tenant/subscription corrects</w:t>
            </w:r>
          </w:p>
        </w:tc>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az account show -o table</w:t>
            </w:r>
          </w:p>
        </w:tc>
      </w:tr>
      <w:tr>
        <w:tc>
          <w:tcPr>
            <w:tcW w:type="dxa" w:w="187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Terraform</w:t>
            </w:r>
          </w:p>
        </w:tc>
        <w:tc>
          <w:tcPr>
            <w:tcW w:type="dxa" w:w="408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Version compatible avec le lockfile</w:t>
            </w:r>
          </w:p>
        </w:tc>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terraform version</w:t>
            </w:r>
          </w:p>
        </w:tc>
      </w:tr>
      <w:tr>
        <w:tc>
          <w:tcPr>
            <w:tcW w:type="dxa" w:w="187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Node.js API/worker</w:t>
            </w:r>
          </w:p>
        </w:tc>
        <w:tc>
          <w:tcPr>
            <w:tcW w:type="dxa" w:w="408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Node 24.x ; npm associé</w:t>
            </w:r>
          </w:p>
        </w:tc>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node -v ; npm -v</w:t>
            </w:r>
          </w:p>
        </w:tc>
      </w:tr>
      <w:tr>
        <w:tc>
          <w:tcPr>
            <w:tcW w:type="dxa" w:w="187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Node.js frontend</w:t>
            </w:r>
          </w:p>
        </w:tc>
        <w:tc>
          <w:tcPr>
            <w:tcW w:type="dxa" w:w="408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Node 22.x</w:t>
            </w:r>
          </w:p>
        </w:tc>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node -v dans le contexte frontend</w:t>
            </w:r>
          </w:p>
        </w:tc>
      </w:tr>
      <w:tr>
        <w:tc>
          <w:tcPr>
            <w:tcW w:type="dxa" w:w="187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Docker/buildx</w:t>
            </w:r>
          </w:p>
        </w:tc>
        <w:tc>
          <w:tcPr>
            <w:tcW w:type="dxa" w:w="408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Build linux/amd64 ou stratégie multi-arch</w:t>
            </w:r>
          </w:p>
        </w:tc>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docker version ; docker buildx version</w:t>
            </w:r>
          </w:p>
        </w:tc>
      </w:tr>
      <w:tr>
        <w:tc>
          <w:tcPr>
            <w:tcW w:type="dxa" w:w="187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psql</w:t>
            </w:r>
          </w:p>
        </w:tc>
        <w:tc>
          <w:tcPr>
            <w:tcW w:type="dxa" w:w="408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Client disponible depuis le réseau autorisé</w:t>
            </w:r>
          </w:p>
        </w:tc>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psql --version</w:t>
            </w:r>
          </w:p>
        </w:tc>
      </w:tr>
      <w:tr>
        <w:tc>
          <w:tcPr>
            <w:tcW w:type="dxa" w:w="187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jq / curl / poppler</w:t>
            </w:r>
          </w:p>
        </w:tc>
        <w:tc>
          <w:tcPr>
            <w:tcW w:type="dxa" w:w="408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Recette API et PDF</w:t>
            </w:r>
          </w:p>
        </w:tc>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jq --version ; curl --version ; pdftotext -v</w:t>
            </w:r>
          </w:p>
        </w:tc>
      </w:tr>
    </w:tbl>
    <w:p>
      <w:pPr>
        <w:spacing w:after="20"/>
      </w:pPr>
    </w:p>
    <w:p>
      <w:pPr>
        <w:spacing w:before="80" w:after="40"/>
        <w:keepNext/>
      </w:pPr>
      <w:r>
        <w:rPr>
          <w:rFonts w:ascii="Liberation Sans" w:hAnsi="Liberation Sans"/>
          <w:b/>
          <w:color w:val="2F6B8A"/>
          <w:sz w:val="18"/>
        </w:rPr>
        <w:t>Préflight minimal macOS</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cd &lt;racine-du-repo&gt;</w:t>
              <w:br/>
              <w:br/>
              <w:t>NODE24_PREFIX="$(brew --prefix node@24)"</w:t>
              <w:br/>
              <w:t>export PATH="$NODE24_PREFIX/bin:$PATH"</w:t>
              <w:br/>
              <w:br/>
              <w:t>node --version            # attendu : v24.x</w:t>
              <w:br/>
              <w:t>npm --version</w:t>
              <w:br/>
              <w:t>az account show -o json</w:t>
              <w:br/>
              <w:t>terraform version</w:t>
              <w:br/>
              <w:t>docker version</w:t>
              <w:br/>
              <w:t>psql --version</w:t>
              <w:br/>
              <w:br/>
              <w:t>git branch --show-current</w:t>
              <w:br/>
              <w:t>git rev-parse HEAD</w:t>
              <w:br/>
              <w:t>git status --short</w:t>
            </w:r>
          </w:p>
        </w:tc>
        <w:trPr>
          <w:tblHeader/>
        </w:trPr>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CE9E7"/>
            <w:tcBorders>
              <w:top w:val="single" w:sz="6" w:color="B3261E"/>
              <w:left w:val="single" w:sz="10" w:color="B3261E"/>
              <w:bottom w:val="single" w:sz="6" w:color="B3261E"/>
              <w:right w:val="single" w:sz="6" w:color="B3261E"/>
            </w:tcBorders>
          </w:tcPr>
          <w:p>
            <w:pPr>
              <w:spacing w:after="20"/>
            </w:pPr>
            <w:r>
              <w:rPr>
                <w:rFonts w:ascii="Liberation Sans" w:hAnsi="Liberation Sans"/>
                <w:b/>
                <w:color w:val="B3261E"/>
                <w:sz w:val="18"/>
              </w:rPr>
              <w:t xml:space="preserve">STOP  </w:t>
            </w:r>
            <w:r>
              <w:rPr>
                <w:rFonts w:ascii="Liberation Sans" w:hAnsi="Liberation Sans"/>
                <w:color w:val="102A43"/>
                <w:sz w:val="18"/>
              </w:rPr>
              <w:t>Ne continuez pas avec Node 25. L’environnement a déjà rencontré une erreur de bibliothèque simdjson. API et worker sont maintenant verrouillés sur Node &gt;=24 &lt;25.</w:t>
            </w:r>
          </w:p>
        </w:tc>
        <w:trPr>
          <w:tblHeader/>
        </w:trPr>
      </w:tr>
    </w:tbl>
    <w:p>
      <w:pPr>
        <w:spacing w:after="20"/>
      </w:pPr>
    </w:p>
    <w:p>
      <w:pPr>
        <w:pStyle w:val="Heading1"/>
        <w:pBdr>
          <w:bottom w:val="single" w:sz="10" w:space="4" w:color="173A5E"/>
        </w:pBdr>
        <w:keepNext/>
      </w:pPr>
      <w:r>
        <w:t>4. Reprise d’un state Terraform après changement de repository</w:t>
      </w:r>
    </w:p>
    <w:p>
      <w:pPr>
        <w:spacing w:after="80"/>
      </w:pPr>
      <w:r>
        <w:rPr>
          <w:rFonts w:ascii="Liberation Sans" w:hAnsi="Liberation Sans"/>
          <w:i w:val="0"/>
        </w:rPr>
        <w:t>Cette procédure est obligatoire lorsque l’infrastructure Azure existe déjà. Un nouveau repository sans le state produit un faux plan de création massive.</w:t>
      </w:r>
    </w:p>
    <w:p>
      <w:pPr>
        <w:spacing w:before="80" w:after="40"/>
        <w:keepNext/>
      </w:pPr>
      <w:r>
        <w:rPr>
          <w:rFonts w:ascii="Liberation Sans" w:hAnsi="Liberation Sans"/>
          <w:b/>
          <w:color w:val="2F6B8A"/>
          <w:sz w:val="18"/>
        </w:rPr>
        <w:t>Séquence reprise state</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cd &lt;nouveau-repo&gt;/bevoac-iac-enterprise</w:t>
              <w:br/>
              <w:br/>
              <w:t># Sauvegarde locale chiffrée / protégée, hors Git.</w:t>
              <w:br/>
              <w:t>BACKUP_DIR="$HOME/.bevoac-iac-backup/$(date -u +%Y%m%dT%H%M%SZ)"</w:t>
              <w:br/>
              <w:t>mkdir -p "$BACKUP_DIR"</w:t>
              <w:br/>
              <w:t>chmod 700 "$BACKUP_DIR"</w:t>
              <w:br/>
              <w:t>cp terraform.tfstate terraform.tfvars .terraform.lock.hcl "$BACKUP_DIR/" 2&gt;/dev/null || true</w:t>
              <w:br/>
              <w:br/>
              <w:t>terraform workspace show</w:t>
              <w:br/>
              <w:t>terraform state list | sort</w:t>
              <w:br/>
              <w:t>az account show --query '{subscription:id,tenant:tenantId,user:user.name}' -o json</w:t>
              <w:br/>
              <w:br/>
              <w:t>terraform plan -refresh-only -out=/tmp/bevoac-refresh.tfplan</w:t>
              <w:br/>
              <w:t>terraform show -no-color /tmp/bevoac-refresh.tfplan</w:t>
              <w:br/>
              <w:t>terraform apply /tmp/bevoac-refresh.tfplan</w:t>
            </w:r>
          </w:p>
        </w:tc>
        <w:trPr>
          <w:tblHeader/>
        </w:trPr>
      </w:tr>
    </w:tbl>
    <w:p>
      <w:pPr>
        <w:spacing w:after="20"/>
      </w:pP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89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Contrôle</w:t>
            </w:r>
          </w:p>
        </w:tc>
        <w:tc>
          <w:tcPr>
            <w:tcW w:type="dxa" w:w="6746"/>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Attendu</w:t>
            </w:r>
          </w:p>
        </w:tc>
      </w:tr>
      <w:tr>
        <w:tc>
          <w:tcPr>
            <w:tcW w:type="dxa" w:w="289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Workspace</w:t>
            </w:r>
          </w:p>
        </w:tc>
        <w:tc>
          <w:tcPr>
            <w:tcW w:type="dxa" w:w="6746"/>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Le workspace attendu, généralement default si aucun autre n’est défini.</w:t>
            </w:r>
          </w:p>
        </w:tc>
      </w:tr>
      <w:tr>
        <w:tc>
          <w:tcPr>
            <w:tcW w:type="dxa" w:w="289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State</w:t>
            </w:r>
          </w:p>
        </w:tc>
        <w:tc>
          <w:tcPr>
            <w:tcW w:type="dxa" w:w="6746"/>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Les ressources existantes apparaissent ; ne pas recréer 80+ ressources.</w:t>
            </w:r>
          </w:p>
        </w:tc>
      </w:tr>
      <w:tr>
        <w:tc>
          <w:tcPr>
            <w:tcW w:type="dxa" w:w="289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Refresh-only</w:t>
            </w:r>
          </w:p>
        </w:tc>
        <w:tc>
          <w:tcPr>
            <w:tcW w:type="dxa" w:w="6746"/>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Uniquement dérive réelle et outputs ; aucune destruction.</w:t>
            </w:r>
          </w:p>
        </w:tc>
      </w:tr>
      <w:tr>
        <w:tc>
          <w:tcPr>
            <w:tcW w:type="dxa" w:w="289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Plan normal après refresh</w:t>
            </w:r>
          </w:p>
        </w:tc>
        <w:tc>
          <w:tcPr>
            <w:tcW w:type="dxa" w:w="6746"/>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0 destruction avant ajout du hardening ; chaque création doit être justifiée.</w:t>
            </w:r>
          </w:p>
        </w:tc>
      </w:tr>
      <w:tr>
        <w:tc>
          <w:tcPr>
            <w:tcW w:type="dxa" w:w="289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zsh et adresses indexées</w:t>
            </w:r>
          </w:p>
        </w:tc>
        <w:tc>
          <w:tcPr>
            <w:tcW w:type="dxa" w:w="6746"/>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Toujours citer : terraform state show 'azurerm_container_app.api[0]'.</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FF4DD"/>
            <w:tcBorders>
              <w:top w:val="single" w:sz="6" w:color="B26A00"/>
              <w:left w:val="single" w:sz="10" w:color="B26A00"/>
              <w:bottom w:val="single" w:sz="6" w:color="B26A00"/>
              <w:right w:val="single" w:sz="6" w:color="B26A00"/>
            </w:tcBorders>
          </w:tcPr>
          <w:p>
            <w:pPr>
              <w:spacing w:after="20"/>
            </w:pPr>
            <w:r>
              <w:rPr>
                <w:rFonts w:ascii="Liberation Sans" w:hAnsi="Liberation Sans"/>
                <w:b/>
                <w:color w:val="B26A00"/>
                <w:sz w:val="18"/>
              </w:rPr>
              <w:t xml:space="preserve">ÉTAT ENTREPRISE  </w:t>
            </w:r>
            <w:r>
              <w:rPr>
                <w:rFonts w:ascii="Liberation Sans" w:hAnsi="Liberation Sans"/>
                <w:color w:val="102A43"/>
                <w:sz w:val="18"/>
              </w:rPr>
              <w:t>Le repository courant n’a pas de backend distant vérifié dans les preuves. Pour une exploitation multi-opérateur, migrer le state vers un backend Azure Storage verrouillé et audité dans une PR dédiée.</w:t>
            </w:r>
          </w:p>
        </w:tc>
        <w:trPr>
          <w:tblHeader/>
        </w:trPr>
      </w:tr>
    </w:tbl>
    <w:p>
      <w:pPr>
        <w:spacing w:after="20"/>
      </w:pPr>
    </w:p>
    <w:p>
      <w:pPr>
        <w:pStyle w:val="Heading1"/>
        <w:pBdr>
          <w:bottom w:val="single" w:sz="10" w:space="4" w:color="173A5E"/>
        </w:pBdr>
        <w:keepNext/>
      </w:pPr>
      <w:r>
        <w:t>5. Variables et modes réseau</w:t>
      </w:r>
    </w:p>
    <w:p>
      <w:pPr>
        <w:spacing w:after="80"/>
      </w:pPr>
      <w:r>
        <w:rPr>
          <w:rFonts w:ascii="Liberation Sans" w:hAnsi="Liberation Sans"/>
          <w:i w:val="0"/>
        </w:rPr>
        <w:t>La documentation historique affirmait que PostgreSQL et Key Vault étaient privés. Le dernier état observé pendant le refactoring a montré un mode transitoire public contraint. Le runbook distingue donc explicitement l’état observé et la cible.</w:t>
      </w:r>
    </w:p>
    <w:p>
      <w:pPr>
        <w:jc w:val="center"/>
      </w:pPr>
      <w:r>
        <w:drawing>
          <wp:inline xmlns:a="http://schemas.openxmlformats.org/drawingml/2006/main" xmlns:pic="http://schemas.openxmlformats.org/drawingml/2006/picture">
            <wp:extent cx="5940000" cy="3412125"/>
            <wp:docPr id="3" name="Picture 3" descr="Image: image3.png"/>
            <wp:cNvGraphicFramePr>
              <a:graphicFrameLocks noChangeAspect="1"/>
            </wp:cNvGraphicFramePr>
            <a:graphic>
              <a:graphicData uri="http://schemas.openxmlformats.org/drawingml/2006/picture">
                <pic:pic>
                  <pic:nvPicPr>
                    <pic:cNvPr id="0" name="network_current_target.png"/>
                    <pic:cNvPicPr/>
                  </pic:nvPicPr>
                  <pic:blipFill>
                    <a:blip r:embed="rId13"/>
                    <a:stretch>
                      <a:fillRect/>
                    </a:stretch>
                  </pic:blipFill>
                  <pic:spPr>
                    <a:xfrm>
                      <a:off x="0" y="0"/>
                      <a:ext cx="5940000" cy="3412125"/>
                    </a:xfrm>
                    <a:prstGeom prst="rect"/>
                  </pic:spPr>
                </pic:pic>
              </a:graphicData>
            </a:graphic>
          </wp:inline>
        </w:drawing>
      </w:r>
    </w:p>
    <w:p>
      <w:pPr>
        <w:pStyle w:val="CaptionCustom"/>
        <w:jc w:val="center"/>
      </w:pPr>
      <w:r>
        <w:t>Figure 3 - Réseau : état transitoire observé versus cible private endpoints.</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306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Variable</w:t>
            </w:r>
          </w:p>
        </w:tc>
        <w:tc>
          <w:tcPr>
            <w:tcW w:type="dxa" w:w="317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Greenfield cible</w:t>
            </w:r>
          </w:p>
        </w:tc>
        <w:tc>
          <w:tcPr>
            <w:tcW w:type="dxa" w:w="340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Transition autorisée</w:t>
            </w:r>
          </w:p>
        </w:tc>
      </w:tr>
      <w:tr>
        <w:tc>
          <w:tcPr>
            <w:tcW w:type="dxa" w:w="30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enable_private_endpoints</w:t>
            </w:r>
          </w:p>
        </w:tc>
        <w:tc>
          <w:tcPr>
            <w:tcW w:type="dxa" w:w="317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true</w:t>
            </w:r>
          </w:p>
        </w:tc>
        <w:tc>
          <w:tcPr>
            <w:tcW w:type="dxa" w:w="340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false uniquement si le runner privé/DNS n’est pas prêt.</w:t>
            </w:r>
          </w:p>
        </w:tc>
      </w:tr>
      <w:tr>
        <w:tc>
          <w:tcPr>
            <w:tcW w:type="dxa" w:w="306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enable_postgres_public_access</w:t>
            </w:r>
          </w:p>
        </w:tc>
        <w:tc>
          <w:tcPr>
            <w:tcW w:type="dxa" w:w="317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false</w:t>
            </w:r>
          </w:p>
        </w:tc>
        <w:tc>
          <w:tcPr>
            <w:tcW w:type="dxa" w:w="340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true avec règles IP strictes et durée limitée.</w:t>
            </w:r>
          </w:p>
        </w:tc>
      </w:tr>
      <w:tr>
        <w:tc>
          <w:tcPr>
            <w:tcW w:type="dxa" w:w="30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enable_db_admin_public_ip_rule</w:t>
            </w:r>
          </w:p>
        </w:tc>
        <w:tc>
          <w:tcPr>
            <w:tcW w:type="dxa" w:w="317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false</w:t>
            </w:r>
          </w:p>
        </w:tc>
        <w:tc>
          <w:tcPr>
            <w:tcW w:type="dxa" w:w="340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true pendant migration opérateur contrôlée.</w:t>
            </w:r>
          </w:p>
        </w:tc>
      </w:tr>
      <w:tr>
        <w:tc>
          <w:tcPr>
            <w:tcW w:type="dxa" w:w="306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db_admin_public_ip</w:t>
            </w:r>
          </w:p>
        </w:tc>
        <w:tc>
          <w:tcPr>
            <w:tcW w:type="dxa" w:w="317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vide</w:t>
            </w:r>
          </w:p>
        </w:tc>
        <w:tc>
          <w:tcPr>
            <w:tcW w:type="dxa" w:w="340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&lt;IP_OPERATEUR&gt;/32 ; ne jamais documenter l’IP réelle.</w:t>
            </w:r>
          </w:p>
        </w:tc>
      </w:tr>
      <w:tr>
        <w:tc>
          <w:tcPr>
            <w:tcW w:type="dxa" w:w="30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Key Vault public access</w:t>
            </w:r>
          </w:p>
        </w:tc>
        <w:tc>
          <w:tcPr>
            <w:tcW w:type="dxa" w:w="317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Disabled</w:t>
            </w:r>
          </w:p>
        </w:tc>
        <w:tc>
          <w:tcPr>
            <w:tcW w:type="dxa" w:w="340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Enabled temporaire avec RBAC et journalisation.</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CE9E7"/>
            <w:tcBorders>
              <w:top w:val="single" w:sz="6" w:color="B3261E"/>
              <w:left w:val="single" w:sz="10" w:color="B3261E"/>
              <w:bottom w:val="single" w:sz="6" w:color="B3261E"/>
              <w:right w:val="single" w:sz="6" w:color="B3261E"/>
            </w:tcBorders>
          </w:tcPr>
          <w:p>
            <w:pPr>
              <w:spacing w:after="20"/>
            </w:pPr>
            <w:r>
              <w:rPr>
                <w:rFonts w:ascii="Liberation Sans" w:hAnsi="Liberation Sans"/>
                <w:b/>
                <w:color w:val="B3261E"/>
                <w:sz w:val="18"/>
              </w:rPr>
              <w:t xml:space="preserve">STOP  </w:t>
            </w:r>
            <w:r>
              <w:rPr>
                <w:rFonts w:ascii="Liberation Sans" w:hAnsi="Liberation Sans"/>
                <w:color w:val="102A43"/>
                <w:sz w:val="18"/>
              </w:rPr>
              <w:t>Ne basculez pas private endpoints=true tant que le runner/VPN, Private DNS et la résolution depuis Container Apps ne sont pas prouvés. À l’inverse, ne présentez pas le mode public contraint comme une architecture privée.</w:t>
            </w:r>
          </w:p>
        </w:tc>
        <w:trPr>
          <w:tblHeader/>
        </w:trPr>
      </w:tr>
    </w:tbl>
    <w:p>
      <w:pPr>
        <w:spacing w:after="20"/>
      </w:pPr>
    </w:p>
    <w:p>
      <w:pPr>
        <w:pStyle w:val="Heading1"/>
        <w:pBdr>
          <w:bottom w:val="single" w:sz="10" w:space="4" w:color="173A5E"/>
        </w:pBdr>
        <w:keepNext/>
      </w:pPr>
      <w:r>
        <w:t>6. Phase 1 - Bootstrap du socle Azure</w:t>
      </w:r>
    </w:p>
    <w:p>
      <w:pPr>
        <w:spacing w:after="80"/>
      </w:pPr>
      <w:r>
        <w:rPr>
          <w:rFonts w:ascii="Liberation Sans" w:hAnsi="Liberation Sans"/>
          <w:i w:val="0"/>
        </w:rPr>
        <w:t>Pourquoi : créer les dépendances durables avant les workloads, sans référencer des images ACR inexistantes.</w:t>
      </w:r>
    </w:p>
    <w:p>
      <w:pPr>
        <w:spacing w:before="80" w:after="40"/>
        <w:keepNext/>
      </w:pPr>
      <w:r>
        <w:rPr>
          <w:rFonts w:ascii="Liberation Sans" w:hAnsi="Liberation Sans"/>
          <w:b/>
          <w:color w:val="2F6B8A"/>
          <w:sz w:val="18"/>
        </w:rPr>
        <w:t>Bootstrap Terraform</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cd bevoac-iac-enterprise</w:t>
              <w:br/>
              <w:t>cp terraform.tfvars.example terraform.tfvars</w:t>
              <w:br/>
              <w:br/>
              <w:t># Valeurs de bootstrap</w:t>
              <w:br/>
              <w:t>deploy_container_apps = false</w:t>
              <w:br/>
              <w:t># Renseigner tenant_id, prefix, environment, Entra/OIDC et réseau.</w:t>
              <w:br/>
              <w:br/>
              <w:t>terraform init</w:t>
              <w:br/>
              <w:t>terraform fmt -check -recursive</w:t>
              <w:br/>
              <w:t>terraform validate</w:t>
              <w:br/>
              <w:t>terraform plan -out=/tmp/bevoac-bootstrap.tfplan</w:t>
              <w:br/>
              <w:t>terraform show -no-color /tmp/bevoac-bootstrap.tfplan | tee /tmp/bevoac-bootstrap-plan.txt</w:t>
              <w:br/>
              <w:t>terraform apply /tmp/bevoac-bootstrap.tfplan</w:t>
            </w:r>
          </w:p>
        </w:tc>
        <w:trPr>
          <w:tblHeader/>
        </w:trPr>
      </w:tr>
    </w:tbl>
    <w:p>
      <w:pPr>
        <w:spacing w:after="20"/>
      </w:pPr>
    </w:p>
    <w:p>
      <w:r>
        <w:rPr>
          <w:rFonts w:ascii="Liberation Sans" w:hAnsi="Liberation Sans"/>
          <w:b/>
          <w:color w:val="2F6B8A"/>
          <w:sz w:val="18"/>
        </w:rPr>
        <w:t>Gate de fin de phase 1</w:t>
      </w:r>
    </w:p>
    <w:p>
      <w:pPr>
        <w:spacing w:after="40"/>
      </w:pPr>
      <w:r>
        <w:rPr>
          <w:rFonts w:ascii="Liberation Sans" w:hAnsi="Liberation Sans"/>
          <w:b/>
          <w:color w:val="007C91"/>
          <w:sz w:val="20"/>
        </w:rPr>
        <w:t xml:space="preserve">☐ </w:t>
      </w:r>
      <w:r>
        <w:rPr>
          <w:rFonts w:ascii="Liberation Sans" w:hAnsi="Liberation Sans"/>
          <w:sz w:val="18"/>
        </w:rPr>
        <w:t>Resource Group, VNet/subnets, ACR, PostgreSQL, Service Bus, Key Vault et Log Analytics existent.</w:t>
      </w:r>
    </w:p>
    <w:p>
      <w:pPr>
        <w:spacing w:after="40"/>
      </w:pPr>
      <w:r>
        <w:rPr>
          <w:rFonts w:ascii="Liberation Sans" w:hAnsi="Liberation Sans"/>
          <w:b/>
          <w:color w:val="007C91"/>
          <w:sz w:val="20"/>
        </w:rPr>
        <w:t xml:space="preserve">☐ </w:t>
      </w:r>
      <w:r>
        <w:rPr>
          <w:rFonts w:ascii="Liberation Sans" w:hAnsi="Liberation Sans"/>
          <w:sz w:val="18"/>
        </w:rPr>
        <w:t>Aucune Container App ne référence une image absente.</w:t>
      </w:r>
    </w:p>
    <w:p>
      <w:pPr>
        <w:spacing w:after="40"/>
      </w:pPr>
      <w:r>
        <w:rPr>
          <w:rFonts w:ascii="Liberation Sans" w:hAnsi="Liberation Sans"/>
          <w:b/>
          <w:color w:val="007C91"/>
          <w:sz w:val="20"/>
        </w:rPr>
        <w:t xml:space="preserve">☐ </w:t>
      </w:r>
      <w:r>
        <w:rPr>
          <w:rFonts w:ascii="Liberation Sans" w:hAnsi="Liberation Sans"/>
          <w:sz w:val="18"/>
        </w:rPr>
        <w:t>Le plan sauvegardé a été relu ; 0 destruction inattendue.</w:t>
      </w:r>
    </w:p>
    <w:p>
      <w:pPr>
        <w:spacing w:after="40"/>
      </w:pPr>
      <w:r>
        <w:rPr>
          <w:rFonts w:ascii="Liberation Sans" w:hAnsi="Liberation Sans"/>
          <w:b/>
          <w:color w:val="007C91"/>
          <w:sz w:val="20"/>
        </w:rPr>
        <w:t xml:space="preserve">☐ </w:t>
      </w:r>
      <w:r>
        <w:rPr>
          <w:rFonts w:ascii="Liberation Sans" w:hAnsi="Liberation Sans"/>
          <w:sz w:val="18"/>
        </w:rPr>
        <w:t>Le state et les outputs sont conservés dans le dossier de preuves, sans secret.</w:t>
      </w:r>
    </w:p>
    <w:p>
      <w:pPr>
        <w:pStyle w:val="Heading1"/>
        <w:pBdr>
          <w:bottom w:val="single" w:sz="10" w:space="4" w:color="173A5E"/>
        </w:pBdr>
        <w:keepNext/>
      </w:pPr>
      <w:r>
        <w:t>7. Phase 2 - Build et push des images</w:t>
      </w:r>
    </w:p>
    <w:p>
      <w:pPr>
        <w:spacing w:after="80"/>
      </w:pPr>
      <w:r>
        <w:rPr>
          <w:rFonts w:ascii="Liberation Sans" w:hAnsi="Liberation Sans"/>
          <w:i w:val="0"/>
        </w:rPr>
        <w:t>API et worker utilisent Node 24 Alpine ; le frontend utilise Node 22. Les package-lock API/worker sont versionnés. Utiliser npm ci, jamais latest, et lier chaque image à un commit Git.</w:t>
      </w:r>
    </w:p>
    <w:p>
      <w:pPr>
        <w:spacing w:before="80" w:after="40"/>
        <w:keepNext/>
      </w:pPr>
      <w:r>
        <w:rPr>
          <w:rFonts w:ascii="Liberation Sans" w:hAnsi="Liberation Sans"/>
          <w:b/>
          <w:color w:val="2F6B8A"/>
          <w:sz w:val="18"/>
        </w:rPr>
        <w:t>Build reproductible</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export RELEASE_TAG="v6.1.2-$(git rev-parse --short=12 HEAD)"</w:t>
              <w:br/>
              <w:t>export ACR_LOGIN_SERVER="$(cd bevoac-iac-enterprise &amp;&amp; terraform output -raw acr_login_server)"</w:t>
              <w:br/>
              <w:t>export ACR_NAME="${ACR_LOGIN_SERVER%%.*}"</w:t>
              <w:br/>
              <w:t>az acr login --name "$ACR_NAME"</w:t>
              <w:br/>
              <w:br/>
              <w:t>cd bevoac-api-enterprise</w:t>
              <w:br/>
              <w:t>npm ci</w:t>
              <w:br/>
              <w:t>npm run check</w:t>
              <w:br/>
              <w:t>npm test                    # baseline validée : 44 tests</w:t>
              <w:br/>
              <w:br/>
              <w:t>docker build --platform linux/amd64   -t "$ACR_LOGIN_SERVER/bevoac-api-enterprise:$RELEASE_TAG" .</w:t>
              <w:br/>
              <w:t>docker push "$ACR_LOGIN_SERVER/bevoac-api-enterprise:$RELEASE_TAG"</w:t>
              <w:br/>
              <w:br/>
              <w:t>cd ../bevoac-worker-enterprise</w:t>
              <w:br/>
              <w:t>npm ci</w:t>
              <w:br/>
              <w:t>npm run check</w:t>
              <w:br/>
              <w:t>npm test                    # baseline validée : 5 tests</w:t>
              <w:br/>
              <w:br/>
              <w:t>docker build --platform linux/amd64   -t "$ACR_LOGIN_SERVER/bevoac-worker-enterprise:$RELEASE_TAG" .</w:t>
              <w:br/>
              <w:t>docker push "$ACR_LOGIN_SERVER/bevoac-worker-enterprise:$RELEASE_TAG</w:t>
            </w:r>
          </w:p>
        </w:tc>
        <w:trPr>
          <w:tblHeader/>
        </w:trPr>
      </w:tr>
    </w:tbl>
    <w:p>
      <w:pPr>
        <w:spacing w:after="20"/>
      </w:pP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94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Variable image</w:t>
            </w:r>
          </w:p>
        </w:tc>
        <w:tc>
          <w:tcPr>
            <w:tcW w:type="dxa" w:w="6690"/>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Valeur</w:t>
            </w:r>
          </w:p>
        </w:tc>
      </w:tr>
      <w:tr>
        <w:tc>
          <w:tcPr>
            <w:tcW w:type="dxa" w:w="294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api_image</w:t>
            </w:r>
          </w:p>
        </w:tc>
        <w:tc>
          <w:tcPr>
            <w:tcW w:type="dxa" w:w="669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&lt;acr&gt;/bevoac-api-enterprise:&lt;tag-immutable&gt;</w:t>
            </w:r>
          </w:p>
        </w:tc>
      </w:tr>
      <w:tr>
        <w:tc>
          <w:tcPr>
            <w:tcW w:type="dxa" w:w="294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worker_image</w:t>
            </w:r>
          </w:p>
        </w:tc>
        <w:tc>
          <w:tcPr>
            <w:tcW w:type="dxa" w:w="669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&lt;acr&gt;/bevoac-worker-enterprise:&lt;tag-immutable&gt;</w:t>
            </w:r>
          </w:p>
        </w:tc>
      </w:tr>
      <w:tr>
        <w:tc>
          <w:tcPr>
            <w:tcW w:type="dxa" w:w="294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outbox_image</w:t>
            </w:r>
          </w:p>
        </w:tc>
        <w:tc>
          <w:tcPr>
            <w:tcW w:type="dxa" w:w="669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&lt;acr&gt;/bevoac-api-enterprise:&lt;tag-immutable&gt;</w:t>
            </w:r>
          </w:p>
        </w:tc>
      </w:tr>
      <w:tr>
        <w:tc>
          <w:tcPr>
            <w:tcW w:type="dxa" w:w="294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retention_image</w:t>
            </w:r>
          </w:p>
        </w:tc>
        <w:tc>
          <w:tcPr>
            <w:tcW w:type="dxa" w:w="669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&lt;acr&gt;/bevoac-api-enterprise:&lt;tag-immutable&gt;</w:t>
            </w:r>
          </w:p>
        </w:tc>
      </w:tr>
    </w:tbl>
    <w:p>
      <w:pPr>
        <w:spacing w:after="20"/>
      </w:pPr>
    </w:p>
    <w:p>
      <w:pPr>
        <w:pStyle w:val="Heading1"/>
        <w:pBdr>
          <w:bottom w:val="single" w:sz="10" w:space="4" w:color="173A5E"/>
        </w:pBdr>
        <w:keepNext/>
      </w:pPr>
      <w:r>
        <w:t>8. Phase 3 - Rôles PostgreSQL et secrets dédiés</w:t>
      </w:r>
    </w:p>
    <w:p>
      <w:pPr>
        <w:spacing w:after="80"/>
      </w:pPr>
      <w:r>
        <w:rPr>
          <w:rFonts w:ascii="Liberation Sans" w:hAnsi="Liberation Sans"/>
          <w:i w:val="0"/>
        </w:rPr>
        <w:t>Le compte serveur bevoacadmin est réservé aux migrations et à l’administration. Aucun runtime ne doit l’utiliser. Les mots de passe sont générés et stockés séparément dans Key Vault.</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324"/>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Rôle</w:t>
            </w:r>
          </w:p>
        </w:tc>
        <w:tc>
          <w:tcPr>
            <w:tcW w:type="dxa" w:w="385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Usage</w:t>
            </w:r>
          </w:p>
        </w:tc>
        <w:tc>
          <w:tcPr>
            <w:tcW w:type="dxa" w:w="345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Secret Key Vault</w:t>
            </w:r>
          </w:p>
        </w:tc>
      </w:tr>
      <w:tr>
        <w:tc>
          <w:tcPr>
            <w:tcW w:type="dxa" w:w="232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bevoac_api</w:t>
            </w:r>
          </w:p>
        </w:tc>
        <w:tc>
          <w:tcPr>
            <w:tcW w:type="dxa" w:w="385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API publique tenant-scoped</w:t>
            </w:r>
          </w:p>
        </w:tc>
        <w:tc>
          <w:tcPr>
            <w:tcW w:type="dxa" w:w="345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pg-api-password</w:t>
            </w:r>
          </w:p>
        </w:tc>
      </w:tr>
      <w:tr>
        <w:tc>
          <w:tcPr>
            <w:tcW w:type="dxa" w:w="232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bevoac_worker</w:t>
            </w:r>
          </w:p>
        </w:tc>
        <w:tc>
          <w:tcPr>
            <w:tcW w:type="dxa" w:w="385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Traitement des scans</w:t>
            </w:r>
          </w:p>
        </w:tc>
        <w:tc>
          <w:tcPr>
            <w:tcW w:type="dxa" w:w="345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pg-worker-password</w:t>
            </w:r>
          </w:p>
        </w:tc>
      </w:tr>
      <w:tr>
        <w:tc>
          <w:tcPr>
            <w:tcW w:type="dxa" w:w="232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bevoac_outbox</w:t>
            </w:r>
          </w:p>
        </w:tc>
        <w:tc>
          <w:tcPr>
            <w:tcW w:type="dxa" w:w="385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Publisher outbox</w:t>
            </w:r>
          </w:p>
        </w:tc>
        <w:tc>
          <w:tcPr>
            <w:tcW w:type="dxa" w:w="345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pg-outbox-password</w:t>
            </w:r>
          </w:p>
        </w:tc>
      </w:tr>
      <w:tr>
        <w:tc>
          <w:tcPr>
            <w:tcW w:type="dxa" w:w="232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bevoac_retention</w:t>
            </w:r>
          </w:p>
        </w:tc>
        <w:tc>
          <w:tcPr>
            <w:tcW w:type="dxa" w:w="385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Job de rétention</w:t>
            </w:r>
          </w:p>
        </w:tc>
        <w:tc>
          <w:tcPr>
            <w:tcW w:type="dxa" w:w="345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pg-retention-password</w:t>
            </w:r>
          </w:p>
        </w:tc>
      </w:tr>
      <w:tr>
        <w:tc>
          <w:tcPr>
            <w:tcW w:type="dxa" w:w="232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bevoac_admin_api</w:t>
            </w:r>
          </w:p>
        </w:tc>
        <w:tc>
          <w:tcPr>
            <w:tcW w:type="dxa" w:w="385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API admin limitée</w:t>
            </w:r>
          </w:p>
        </w:tc>
        <w:tc>
          <w:tcPr>
            <w:tcW w:type="dxa" w:w="345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pg-admin-api-password</w:t>
            </w:r>
          </w:p>
        </w:tc>
      </w:tr>
      <w:tr>
        <w:tc>
          <w:tcPr>
            <w:tcW w:type="dxa" w:w="232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bevoac_operator</w:t>
            </w:r>
          </w:p>
        </w:tc>
        <w:tc>
          <w:tcPr>
            <w:tcW w:type="dxa" w:w="385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Provisioning tenants/scopes/clés</w:t>
            </w:r>
          </w:p>
        </w:tc>
        <w:tc>
          <w:tcPr>
            <w:tcW w:type="dxa" w:w="345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pg-operator-password</w:t>
            </w:r>
          </w:p>
        </w:tc>
      </w:tr>
      <w:tr>
        <w:tc>
          <w:tcPr>
            <w:tcW w:type="dxa" w:w="232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bevoacadmin</w:t>
            </w:r>
          </w:p>
        </w:tc>
        <w:tc>
          <w:tcPr>
            <w:tcW w:type="dxa" w:w="385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Owner/migrations uniquement</w:t>
            </w:r>
          </w:p>
        </w:tc>
        <w:tc>
          <w:tcPr>
            <w:tcW w:type="dxa" w:w="345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pg-password / secret admin contrôlé</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E7F4E8"/>
            <w:tcBorders>
              <w:top w:val="single" w:sz="6" w:color="2E7D32"/>
              <w:left w:val="single" w:sz="10" w:color="2E7D32"/>
              <w:bottom w:val="single" w:sz="6" w:color="2E7D32"/>
              <w:right w:val="single" w:sz="6" w:color="2E7D32"/>
            </w:tcBorders>
          </w:tcPr>
          <w:p>
            <w:pPr>
              <w:spacing w:after="20"/>
            </w:pPr>
            <w:r>
              <w:rPr>
                <w:rFonts w:ascii="Liberation Sans" w:hAnsi="Liberation Sans"/>
                <w:b/>
                <w:color w:val="2E7D32"/>
                <w:sz w:val="18"/>
              </w:rPr>
              <w:t xml:space="preserve">ATTRIBUTS OBLIGATOIRES  </w:t>
            </w:r>
            <w:r>
              <w:rPr>
                <w:rFonts w:ascii="Liberation Sans" w:hAnsi="Liberation Sans"/>
                <w:color w:val="102A43"/>
                <w:sz w:val="18"/>
              </w:rPr>
              <w:t>Les six rôles runtime sont LOGIN, NOINHERIT, NOSUPERUSER, NOCREATEROLE, NOCREATEDB, NOREPLICATION et NOBYPASSRLS. Toute divergence est NO-GO.</w:t>
            </w:r>
          </w:p>
        </w:tc>
        <w:trPr>
          <w:tblHeader/>
        </w:trPr>
      </w:tr>
    </w:tbl>
    <w:p>
      <w:pPr>
        <w:spacing w:after="20"/>
      </w:pPr>
    </w:p>
    <w:p>
      <w:pPr>
        <w:spacing w:before="80" w:after="40"/>
        <w:keepNext/>
      </w:pPr>
      <w:r>
        <w:rPr>
          <w:rFonts w:ascii="Liberation Sans" w:hAnsi="Liberation Sans"/>
          <w:b/>
          <w:color w:val="2F6B8A"/>
          <w:sz w:val="18"/>
        </w:rPr>
        <w:t>Principe de bootstrap des rôles</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 Exécuter depuis un runner autorisé, en utilisant un fichier SQL et psql -v.</w:t>
              <w:br/>
              <w:t># Ne pas utiliser psql -c avec des variables :'mot_de_passe'.</w:t>
              <w:br/>
              <w:br/>
              <w:t>psql -X -v ON_ERROR_STOP=1   -h "$PG_HOST" -p 5432 -U bevoacadmin -d postgres   -v api_password="$PG_API_PASSWORD"   -v worker_password="$PG_WORKER_PASSWORD"   -f operations/bootstrap-runtime-roles.sql</w:t>
              <w:br/>
              <w:br/>
              <w:t># Vérification sans afficher les mots de passe</w:t>
              <w:br/>
              <w:t>SELECT rolname, rolcanlogin, rolinherit, rolsuper,</w:t>
              <w:br/>
              <w:t xml:space="preserve">       rolcreaterole, rolcreatedb, rolreplication, rolbypassrls</w:t>
              <w:br/>
              <w:t>FROM pg_roles</w:t>
              <w:br/>
              <w:t>WHERE rolname LIKE 'bevoac_%'</w:t>
              <w:br/>
              <w:t>ORDER BY rolname;</w:t>
            </w:r>
          </w:p>
        </w:tc>
        <w:trPr>
          <w:tblHeader/>
        </w:trPr>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FF4DD"/>
            <w:tcBorders>
              <w:top w:val="single" w:sz="6" w:color="B26A00"/>
              <w:left w:val="single" w:sz="10" w:color="B26A00"/>
              <w:bottom w:val="single" w:sz="6" w:color="B26A00"/>
              <w:right w:val="single" w:sz="6" w:color="B26A00"/>
            </w:tcBorders>
          </w:tcPr>
          <w:p>
            <w:pPr>
              <w:spacing w:after="20"/>
            </w:pPr>
            <w:r>
              <w:rPr>
                <w:rFonts w:ascii="Liberation Sans" w:hAnsi="Liberation Sans"/>
                <w:b/>
                <w:color w:val="B26A00"/>
                <w:sz w:val="18"/>
              </w:rPr>
              <w:t xml:space="preserve">NOTE  </w:t>
            </w:r>
            <w:r>
              <w:rPr>
                <w:rFonts w:ascii="Liberation Sans" w:hAnsi="Liberation Sans"/>
                <w:color w:val="102A43"/>
                <w:sz w:val="18"/>
              </w:rPr>
              <w:t>Le repository actuel ne contient pas encore un script bootstrap-runtime-roles.sql canonique prouvé dans les éléments fournis. Il doit être ajouté à la CI/ops avant une reconstruction entièrement automatisée. Le modèle SQL validé est fourni en annexe B.</w:t>
            </w:r>
          </w:p>
        </w:tc>
        <w:trPr>
          <w:tblHeader/>
        </w:trPr>
      </w:tr>
    </w:tbl>
    <w:p>
      <w:pPr>
        <w:spacing w:after="20"/>
      </w:pPr>
    </w:p>
    <w:p>
      <w:pPr>
        <w:pStyle w:val="Heading1"/>
        <w:pBdr>
          <w:bottom w:val="single" w:sz="10" w:space="4" w:color="173A5E"/>
        </w:pBdr>
        <w:keepNext/>
      </w:pPr>
      <w:r>
        <w:t>9. Phase 4 - Bootstrap et migrations de base</w:t>
      </w:r>
    </w:p>
    <w:p>
      <w:pPr>
        <w:spacing w:after="80"/>
      </w:pPr>
      <w:r>
        <w:rPr>
          <w:rFonts w:ascii="Liberation Sans" w:hAnsi="Liberation Sans"/>
          <w:i w:val="0"/>
        </w:rPr>
        <w:t>Ordre validé sur PostgreSQL 16.14. Il est bloquant : ne pas permuter les étapes.</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680"/>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Ordre</w:t>
            </w:r>
          </w:p>
        </w:tc>
        <w:tc>
          <w:tcPr>
            <w:tcW w:type="dxa" w:w="4989"/>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Commande</w:t>
            </w:r>
          </w:p>
        </w:tc>
        <w:tc>
          <w:tcPr>
            <w:tcW w:type="dxa" w:w="3969"/>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Résultat attendu</w:t>
            </w:r>
          </w:p>
        </w:tc>
      </w:tr>
      <w:tr>
        <w:tc>
          <w:tcPr>
            <w:tcW w:type="dxa" w:w="68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1</w:t>
            </w:r>
          </w:p>
        </w:tc>
        <w:tc>
          <w:tcPr>
            <w:tcW w:type="dxa" w:w="498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npm run init-db</w:t>
            </w:r>
          </w:p>
        </w:tc>
        <w:tc>
          <w:tcPr>
            <w:tcW w:type="dxa" w:w="396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Uniquement base vide : 11 tables fondatrices.</w:t>
            </w:r>
          </w:p>
        </w:tc>
      </w:tr>
      <w:tr>
        <w:tc>
          <w:tcPr>
            <w:tcW w:type="dxa" w:w="68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2</w:t>
            </w:r>
          </w:p>
        </w:tc>
        <w:tc>
          <w:tcPr>
            <w:tcW w:type="dxa" w:w="498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npm run migrate-db</w:t>
            </w:r>
          </w:p>
        </w:tc>
        <w:tc>
          <w:tcPr>
            <w:tcW w:type="dxa" w:w="396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6 migrations standard ; 16 tables publiques, schema_migrations incluse.</w:t>
            </w:r>
          </w:p>
        </w:tc>
      </w:tr>
      <w:tr>
        <w:tc>
          <w:tcPr>
            <w:tcW w:type="dxa" w:w="68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3</w:t>
            </w:r>
          </w:p>
        </w:tc>
        <w:tc>
          <w:tcPr>
            <w:tcW w:type="dxa" w:w="498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ALLOW_SECURE_API_KEY_AUTH_APPLY=true npm run migrate-db:secure-api-key-auth</w:t>
            </w:r>
          </w:p>
        </w:tc>
        <w:tc>
          <w:tcPr>
            <w:tcW w:type="dxa" w:w="396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Fonction d’authentification restreinte ; 7 migrations.</w:t>
            </w:r>
          </w:p>
        </w:tc>
      </w:tr>
      <w:tr>
        <w:tc>
          <w:tcPr>
            <w:tcW w:type="dxa" w:w="68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4</w:t>
            </w:r>
          </w:p>
        </w:tc>
        <w:tc>
          <w:tcPr>
            <w:tcW w:type="dxa" w:w="498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ALLOW_ENTERPRISE_RUNTIME_RLS_APPLY=true npm run migrate-db:runtime-role-rls</w:t>
            </w:r>
          </w:p>
        </w:tc>
        <w:tc>
          <w:tcPr>
            <w:tcW w:type="dxa" w:w="396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RLS par rôles ; 8 migrations, 15 tables RLS, 29 policies.</w:t>
            </w:r>
          </w:p>
        </w:tc>
      </w:tr>
    </w:tbl>
    <w:p>
      <w:pPr>
        <w:spacing w:after="20"/>
      </w:pPr>
    </w:p>
    <w:p>
      <w:pPr>
        <w:spacing w:before="80" w:after="40"/>
        <w:keepNext/>
      </w:pPr>
      <w:r>
        <w:rPr>
          <w:rFonts w:ascii="Liberation Sans" w:hAnsi="Liberation Sans"/>
          <w:b/>
          <w:color w:val="2F6B8A"/>
          <w:sz w:val="18"/>
        </w:rPr>
        <w:t>Ordre de migration greenfield</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cd bevoac-api-enterprise</w:t>
              <w:br/>
              <w:t>export NODE_ENV=production</w:t>
              <w:br/>
              <w:t>export PG_HOST="&lt;postgres-fqdn&gt;"</w:t>
              <w:br/>
              <w:t>export PG_PORT=5432</w:t>
              <w:br/>
              <w:t>export PG_DATABASE=postgres</w:t>
              <w:br/>
              <w:t>export PG_USER=bevoacadmin</w:t>
              <w:br/>
              <w:t>export PG_PASSWORD="&lt;secret-récupéré-sans-affichage&gt;"</w:t>
              <w:br/>
              <w:t>export PG_SSL_MODE=verify-full</w:t>
              <w:br/>
              <w:br/>
              <w:t>npm run init-db</w:t>
              <w:br/>
              <w:t>npm run migrate-db</w:t>
              <w:br/>
              <w:t>ALLOW_SECURE_API_KEY_AUTH_APPLY=true   npm run migrate-db:secure-api-key-auth</w:t>
              <w:br/>
              <w:t>ALLOW_ENTERPRISE_RUNTIME_RLS_APPLY=true   npm run migrate-db:runtime-role-rls</w:t>
            </w:r>
          </w:p>
        </w:tc>
        <w:trPr>
          <w:tblHeader/>
        </w:trPr>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CE9E7"/>
            <w:tcBorders>
              <w:top w:val="single" w:sz="6" w:color="B3261E"/>
              <w:left w:val="single" w:sz="10" w:color="B3261E"/>
              <w:bottom w:val="single" w:sz="6" w:color="B3261E"/>
              <w:right w:val="single" w:sz="6" w:color="B3261E"/>
            </w:tcBorders>
          </w:tcPr>
          <w:p>
            <w:pPr>
              <w:spacing w:after="20"/>
            </w:pPr>
            <w:r>
              <w:rPr>
                <w:rFonts w:ascii="Liberation Sans" w:hAnsi="Liberation Sans"/>
                <w:b/>
                <w:color w:val="B3261E"/>
                <w:sz w:val="18"/>
              </w:rPr>
              <w:t xml:space="preserve">INTERDIT  </w:t>
            </w:r>
            <w:r>
              <w:rPr>
                <w:rFonts w:ascii="Liberation Sans" w:hAnsi="Liberation Sans"/>
                <w:color w:val="102A43"/>
                <w:sz w:val="18"/>
              </w:rPr>
              <w:t>init-db.production-hardening.js n’est pas un bootstrap : il échoue sur une base vide car scans n’existe pas. Les commandes migrate-db:rls et migrate-db:enterprise-rls restent volontairement bloquées. La commande check:tenant-isolation:enterprise a été supprimée.</w:t>
            </w:r>
          </w:p>
        </w:tc>
        <w:trPr>
          <w:tblHeader/>
        </w:trPr>
      </w:tr>
    </w:tbl>
    <w:p>
      <w:pPr>
        <w:spacing w:after="20"/>
      </w:pP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43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Version attendue</w:t>
            </w:r>
          </w:p>
        </w:tc>
        <w:tc>
          <w:tcPr>
            <w:tcW w:type="dxa" w:w="7200"/>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Nom</w:t>
            </w:r>
          </w:p>
        </w:tc>
      </w:tr>
      <w:tr>
        <w:tc>
          <w:tcPr>
            <w:tcW w:type="dxa" w:w="243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202605150001</w:t>
            </w:r>
          </w:p>
        </w:tc>
        <w:tc>
          <w:tcPr>
            <w:tcW w:type="dxa" w:w="720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outbox_idempotency_billing</w:t>
            </w:r>
          </w:p>
        </w:tc>
      </w:tr>
      <w:tr>
        <w:tc>
          <w:tcPr>
            <w:tcW w:type="dxa" w:w="243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202605150002</w:t>
            </w:r>
          </w:p>
        </w:tc>
        <w:tc>
          <w:tcPr>
            <w:tcW w:type="dxa" w:w="720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retention_indexes</w:t>
            </w:r>
          </w:p>
        </w:tc>
      </w:tr>
      <w:tr>
        <w:tc>
          <w:tcPr>
            <w:tcW w:type="dxa" w:w="243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202605310001</w:t>
            </w:r>
          </w:p>
        </w:tc>
        <w:tc>
          <w:tcPr>
            <w:tcW w:type="dxa" w:w="720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scan_execution_storage</w:t>
            </w:r>
          </w:p>
        </w:tc>
      </w:tr>
      <w:tr>
        <w:tc>
          <w:tcPr>
            <w:tcW w:type="dxa" w:w="243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202606010001</w:t>
            </w:r>
          </w:p>
        </w:tc>
        <w:tc>
          <w:tcPr>
            <w:tcW w:type="dxa" w:w="720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tenant_isolation_guardrails</w:t>
            </w:r>
          </w:p>
        </w:tc>
      </w:tr>
      <w:tr>
        <w:tc>
          <w:tcPr>
            <w:tcW w:type="dxa" w:w="243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202607090001</w:t>
            </w:r>
          </w:p>
        </w:tc>
        <w:tc>
          <w:tcPr>
            <w:tcW w:type="dxa" w:w="720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enterprise_hardening_baseline</w:t>
            </w:r>
          </w:p>
        </w:tc>
      </w:tr>
      <w:tr>
        <w:tc>
          <w:tcPr>
            <w:tcW w:type="dxa" w:w="243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202607160001</w:t>
            </w:r>
          </w:p>
        </w:tc>
        <w:tc>
          <w:tcPr>
            <w:tcW w:type="dxa" w:w="720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retention_audit_operational_indexes</w:t>
            </w:r>
          </w:p>
        </w:tc>
      </w:tr>
      <w:tr>
        <w:tc>
          <w:tcPr>
            <w:tcW w:type="dxa" w:w="243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202607160002</w:t>
            </w:r>
          </w:p>
        </w:tc>
        <w:tc>
          <w:tcPr>
            <w:tcW w:type="dxa" w:w="720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secure_api_key_auth_boundary_optional</w:t>
            </w:r>
          </w:p>
        </w:tc>
      </w:tr>
      <w:tr>
        <w:tc>
          <w:tcPr>
            <w:tcW w:type="dxa" w:w="243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202607170001</w:t>
            </w:r>
          </w:p>
        </w:tc>
        <w:tc>
          <w:tcPr>
            <w:tcW w:type="dxa" w:w="720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runtime_role_rls_boundary_optional</w:t>
            </w:r>
          </w:p>
        </w:tc>
      </w:tr>
    </w:tbl>
    <w:p>
      <w:pPr>
        <w:spacing w:after="20"/>
      </w:pPr>
    </w:p>
    <w:p>
      <w:pPr>
        <w:pStyle w:val="Heading1"/>
        <w:pBdr>
          <w:bottom w:val="single" w:sz="10" w:space="4" w:color="173A5E"/>
        </w:pBdr>
        <w:keepNext/>
      </w:pPr>
      <w:r>
        <w:t>10. Phase 5 - Déployer les workloads séparés</w:t>
      </w:r>
    </w:p>
    <w:p>
      <w:pPr>
        <w:jc w:val="center"/>
      </w:pPr>
      <w:r>
        <w:drawing>
          <wp:inline xmlns:a="http://schemas.openxmlformats.org/drawingml/2006/main" xmlns:pic="http://schemas.openxmlformats.org/drawingml/2006/picture">
            <wp:extent cx="5760000" cy="1529324"/>
            <wp:docPr id="4" name="Picture 4" descr="Image: image4.png"/>
            <wp:cNvGraphicFramePr>
              <a:graphicFrameLocks noChangeAspect="1"/>
            </wp:cNvGraphicFramePr>
            <a:graphic>
              <a:graphicData uri="http://schemas.openxmlformats.org/drawingml/2006/picture">
                <pic:pic>
                  <pic:nvPicPr>
                    <pic:cNvPr id="0" name="runtime_separation.png"/>
                    <pic:cNvPicPr/>
                  </pic:nvPicPr>
                  <pic:blipFill>
                    <a:blip r:embed="rId14"/>
                    <a:stretch>
                      <a:fillRect/>
                    </a:stretch>
                  </pic:blipFill>
                  <pic:spPr>
                    <a:xfrm>
                      <a:off x="0" y="0"/>
                      <a:ext cx="5760000" cy="1529324"/>
                    </a:xfrm>
                    <a:prstGeom prst="rect"/>
                  </pic:spPr>
                </pic:pic>
              </a:graphicData>
            </a:graphic>
          </wp:inline>
        </w:drawing>
      </w:r>
    </w:p>
    <w:p>
      <w:pPr>
        <w:pStyle w:val="CaptionCustom"/>
        <w:jc w:val="center"/>
      </w:pPr>
      <w:r>
        <w:t>Figure 4 - Runtimes, rôles PostgreSQL et privilèges minimaux.</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1814"/>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Workload</w:t>
            </w:r>
          </w:p>
        </w:tc>
        <w:tc>
          <w:tcPr>
            <w:tcW w:type="dxa" w:w="328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APP_RUNTIME_MODE / point d’entrée</w:t>
            </w:r>
          </w:p>
        </w:tc>
        <w:tc>
          <w:tcPr>
            <w:tcW w:type="dxa" w:w="226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PG_USER</w:t>
            </w:r>
          </w:p>
        </w:tc>
        <w:tc>
          <w:tcPr>
            <w:tcW w:type="dxa" w:w="226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Service Bus</w:t>
            </w:r>
          </w:p>
        </w:tc>
      </w:tr>
      <w:tr>
        <w:tc>
          <w:tcPr>
            <w:tcW w:type="dxa" w:w="181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API publique</w:t>
            </w:r>
          </w:p>
        </w:tc>
        <w:tc>
          <w:tcPr>
            <w:tcW w:type="dxa" w:w="328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public_api</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bevoac_api</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Aucun si outbox dédié.</w:t>
            </w:r>
          </w:p>
        </w:tc>
      </w:tr>
      <w:tr>
        <w:tc>
          <w:tcPr>
            <w:tcW w:type="dxa" w:w="181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API admin</w:t>
            </w:r>
          </w:p>
        </w:tc>
        <w:tc>
          <w:tcPr>
            <w:tcW w:type="dxa" w:w="328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admin_api</w:t>
            </w:r>
          </w:p>
        </w:tc>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bevoac_admin_api</w:t>
            </w:r>
          </w:p>
        </w:tc>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Aucun.</w:t>
            </w:r>
          </w:p>
        </w:tc>
      </w:tr>
      <w:tr>
        <w:tc>
          <w:tcPr>
            <w:tcW w:type="dxa" w:w="181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Outbox</w:t>
            </w:r>
          </w:p>
        </w:tc>
        <w:tc>
          <w:tcPr>
            <w:tcW w:type="dxa" w:w="328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outbox / daemon</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bevoac_outbox</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Sender.</w:t>
            </w:r>
          </w:p>
        </w:tc>
      </w:tr>
      <w:tr>
        <w:tc>
          <w:tcPr>
            <w:tcW w:type="dxa" w:w="181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Worker</w:t>
            </w:r>
          </w:p>
        </w:tc>
        <w:tc>
          <w:tcPr>
            <w:tcW w:type="dxa" w:w="328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src/index.js</w:t>
            </w:r>
          </w:p>
        </w:tc>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bevoac_worker</w:t>
            </w:r>
          </w:p>
        </w:tc>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Receiver.</w:t>
            </w:r>
          </w:p>
        </w:tc>
      </w:tr>
      <w:tr>
        <w:tc>
          <w:tcPr>
            <w:tcW w:type="dxa" w:w="181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Rétention</w:t>
            </w:r>
          </w:p>
        </w:tc>
        <w:tc>
          <w:tcPr>
            <w:tcW w:type="dxa" w:w="328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retention / job</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bevoac_retention</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Aucun.</w:t>
            </w:r>
          </w:p>
        </w:tc>
      </w:tr>
    </w:tbl>
    <w:p>
      <w:pPr>
        <w:spacing w:after="20"/>
      </w:pPr>
    </w:p>
    <w:p>
      <w:pPr>
        <w:spacing w:before="80" w:after="40"/>
        <w:keepNext/>
      </w:pPr>
      <w:r>
        <w:rPr>
          <w:rFonts w:ascii="Liberation Sans" w:hAnsi="Liberation Sans"/>
          <w:b/>
          <w:color w:val="2F6B8A"/>
          <w:sz w:val="18"/>
        </w:rPr>
        <w:t>Variables runtime cibles</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 public_api - publisher embarqué désactivé</w:t>
              <w:br/>
              <w:t>APP_RUNTIME_MODE=public_api</w:t>
              <w:br/>
              <w:t>OUTBOX_PUBLISHER_ENABLED=false</w:t>
              <w:br/>
              <w:t>OUTBOX_IMMEDIATE_PUBLISH_AFTER_REQUEST=false</w:t>
              <w:br/>
              <w:t>PG_USER=bevoac_api</w:t>
              <w:br/>
              <w:br/>
              <w:t># outbox dédié</w:t>
              <w:br/>
              <w:t>APP_RUNTIME_MODE=outbox</w:t>
              <w:br/>
              <w:t>PG_USER=bevoac_outbox</w:t>
              <w:br/>
              <w:t>SERVICEBUS_AUTH_MODE=managed_identity</w:t>
              <w:br/>
              <w:br/>
              <w:t># admin séparé</w:t>
              <w:br/>
              <w:t>APP_RUNTIME_MODE=admin_api</w:t>
              <w:br/>
              <w:t>PG_USER=bevoac_admin_api</w:t>
              <w:br/>
              <w:t>ADMIN_AUTH_MODE=oidc</w:t>
            </w:r>
          </w:p>
        </w:tc>
        <w:trPr>
          <w:tblHeader/>
        </w:trPr>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FF4DD"/>
            <w:tcBorders>
              <w:top w:val="single" w:sz="6" w:color="B26A00"/>
              <w:left w:val="single" w:sz="10" w:color="B26A00"/>
              <w:bottom w:val="single" w:sz="6" w:color="B26A00"/>
              <w:right w:val="single" w:sz="6" w:color="B26A00"/>
            </w:tcBorders>
          </w:tcPr>
          <w:p>
            <w:pPr>
              <w:spacing w:after="20"/>
            </w:pPr>
            <w:r>
              <w:rPr>
                <w:rFonts w:ascii="Liberation Sans" w:hAnsi="Liberation Sans"/>
                <w:b/>
                <w:color w:val="B26A00"/>
                <w:sz w:val="18"/>
              </w:rPr>
              <w:t xml:space="preserve">DETTE À TRAITER  </w:t>
            </w:r>
            <w:r>
              <w:rPr>
                <w:rFonts w:ascii="Liberation Sans" w:hAnsi="Liberation Sans"/>
                <w:color w:val="102A43"/>
                <w:sz w:val="18"/>
              </w:rPr>
              <w:t>L’IaC observée possède encore des assignments Key Vault au scope du coffre pour certains workloads en plus des assignments par secret. Retirer les droits larges dans une PR dédiée après preuve que chaque secret-level assignment suffit.</w:t>
            </w:r>
          </w:p>
        </w:tc>
        <w:trPr>
          <w:tblHeader/>
        </w:trPr>
      </w:tr>
    </w:tbl>
    <w:p>
      <w:pPr>
        <w:spacing w:after="20"/>
      </w:pPr>
    </w:p>
    <w:p>
      <w:pPr>
        <w:pStyle w:val="Heading1"/>
        <w:pBdr>
          <w:bottom w:val="single" w:sz="10" w:space="4" w:color="173A5E"/>
        </w:pBdr>
        <w:keepNext/>
      </w:pPr>
      <w:r>
        <w:t>11. Phase 6 - Terraform final, révisions et trafic</w:t>
      </w:r>
    </w:p>
    <w:p>
      <w:pPr>
        <w:spacing w:after="80"/>
      </w:pPr>
      <w:r>
        <w:rPr>
          <w:rFonts w:ascii="Liberation Sans" w:hAnsi="Liberation Sans"/>
          <w:i w:val="0"/>
        </w:rPr>
        <w:t>Le code a été aligné sur un environnement API en mode Multiple. La dernière révision n’est pas nécessairement celle qui reçoit le trafic. Une mise à jour d’image sans bascule explicite peut donc ne rien changer côté client.</w:t>
      </w:r>
    </w:p>
    <w:p>
      <w:pPr>
        <w:jc w:val="center"/>
      </w:pPr>
      <w:r>
        <w:drawing>
          <wp:inline xmlns:a="http://schemas.openxmlformats.org/drawingml/2006/main" xmlns:pic="http://schemas.openxmlformats.org/drawingml/2006/picture">
            <wp:extent cx="5328000" cy="4759680"/>
            <wp:docPr id="5" name="Picture 5" descr="Image: image5.png"/>
            <wp:cNvGraphicFramePr>
              <a:graphicFrameLocks noChangeAspect="1"/>
            </wp:cNvGraphicFramePr>
            <a:graphic>
              <a:graphicData uri="http://schemas.openxmlformats.org/drawingml/2006/picture">
                <pic:pic>
                  <pic:nvPicPr>
                    <pic:cNvPr id="0" name="revision_traffic.png"/>
                    <pic:cNvPicPr/>
                  </pic:nvPicPr>
                  <pic:blipFill>
                    <a:blip r:embed="rId15"/>
                    <a:stretch>
                      <a:fillRect/>
                    </a:stretch>
                  </pic:blipFill>
                  <pic:spPr>
                    <a:xfrm>
                      <a:off x="0" y="0"/>
                      <a:ext cx="5328000" cy="4759680"/>
                    </a:xfrm>
                    <a:prstGeom prst="rect"/>
                  </pic:spPr>
                </pic:pic>
              </a:graphicData>
            </a:graphic>
          </wp:inline>
        </w:drawing>
      </w:r>
    </w:p>
    <w:p>
      <w:pPr>
        <w:pStyle w:val="CaptionCustom"/>
        <w:jc w:val="center"/>
      </w:pPr>
      <w:r>
        <w:t>Figure 5 - Mode Multiple : distinguer dernière révision et révision recevant le trafic.</w:t>
      </w:r>
    </w:p>
    <w:p>
      <w:pPr>
        <w:spacing w:before="80" w:after="40"/>
        <w:keepNext/>
      </w:pPr>
      <w:r>
        <w:rPr>
          <w:rFonts w:ascii="Liberation Sans" w:hAnsi="Liberation Sans"/>
          <w:b/>
          <w:color w:val="2F6B8A"/>
          <w:sz w:val="18"/>
        </w:rPr>
        <w:t>Déploiement et contrôle du trafic</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cd bevoac-iac-enterprise</w:t>
              <w:br/>
              <w:t># Mettre deploy_container_apps=true et les quatre images.</w:t>
              <w:br/>
              <w:t>terraform fmt -check -recursive</w:t>
              <w:br/>
              <w:t>terraform validate</w:t>
              <w:br/>
              <w:t>terraform plan -out=/tmp/bevoac-final.tfplan</w:t>
              <w:br/>
              <w:t>terraform show -no-color /tmp/bevoac-final.tfplan | tee /tmp/bevoac-final-plan.txt</w:t>
              <w:br/>
              <w:br/>
              <w:t># NO-GO si une destruction n'est pas explicitement approuvée.</w:t>
              <w:br/>
              <w:t>grep -n "will be destroyed" /tmp/bevoac-final-plan.txt || true</w:t>
              <w:br/>
              <w:t>terraform apply /tmp/bevoac-final.tfplan</w:t>
              <w:br/>
              <w:br/>
              <w:t>az containerapp revision list -g "$RESOURCE_GROUP" -n "$API_APP" -o table</w:t>
              <w:br/>
              <w:t>az containerapp ingress traffic show -g "$RESOURCE_GROUP" -n "$API_APP" -o table</w:t>
            </w:r>
          </w:p>
        </w:tc>
        <w:trPr>
          <w:tblHeader/>
        </w:trPr>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EAF3F8"/>
            <w:tcBorders>
              <w:top w:val="single" w:sz="6" w:color="173A5E"/>
              <w:left w:val="single" w:sz="10" w:color="173A5E"/>
              <w:bottom w:val="single" w:sz="6" w:color="173A5E"/>
              <w:right w:val="single" w:sz="6" w:color="173A5E"/>
            </w:tcBorders>
          </w:tcPr>
          <w:p>
            <w:pPr>
              <w:spacing w:after="20"/>
            </w:pPr>
            <w:r>
              <w:rPr>
                <w:rFonts w:ascii="Liberation Sans" w:hAnsi="Liberation Sans"/>
                <w:b/>
                <w:color w:val="173A5E"/>
                <w:sz w:val="18"/>
              </w:rPr>
              <w:t xml:space="preserve">RECOMMANDATION  </w:t>
            </w:r>
            <w:r>
              <w:rPr>
                <w:rFonts w:ascii="Liberation Sans" w:hAnsi="Liberation Sans"/>
                <w:color w:val="102A43"/>
                <w:sz w:val="18"/>
              </w:rPr>
              <w:t>Pour un greenfield sans processus canary, le mode Single est plus simple. Le basculement Multiple -&gt; Single doit néanmoins être fait dans une PR IaC dédiée et validé sur staging, pas directement dans une session opérateur.</w:t>
            </w:r>
          </w:p>
        </w:tc>
        <w:trPr>
          <w:tblHeader/>
        </w:trPr>
      </w:tr>
    </w:tbl>
    <w:p>
      <w:pPr>
        <w:spacing w:after="20"/>
      </w:pPr>
    </w:p>
    <w:p>
      <w:pPr>
        <w:pStyle w:val="Heading1"/>
        <w:pBdr>
          <w:bottom w:val="single" w:sz="10" w:space="4" w:color="173A5E"/>
        </w:pBdr>
        <w:keepNext/>
      </w:pPr>
      <w:r>
        <w:t>12. Phase 7 - APIM, tenant et recette end-to-end</w:t>
      </w:r>
    </w:p>
    <w:p>
      <w:pPr>
        <w:spacing w:after="80"/>
      </w:pPr>
      <w:r>
        <w:rPr>
          <w:rFonts w:ascii="Liberation Sans" w:hAnsi="Liberation Sans"/>
          <w:i w:val="0"/>
        </w:rPr>
        <w:t>Le chemin client est APIM + Authorization Bearer. L’ingress direct Container Apps reste un chemin opérateur/break-glass tant que la restriction réseau APIM-only n’est pas prouvée.</w:t>
      </w:r>
    </w:p>
    <w:p>
      <w:r>
        <w:rPr>
          <w:rFonts w:ascii="Liberation Sans" w:hAnsi="Liberation Sans"/>
          <w:b/>
          <w:color w:val="2F6B8A"/>
          <w:sz w:val="18"/>
        </w:rPr>
        <w:t>Checklist de recette</w:t>
      </w:r>
    </w:p>
    <w:p>
      <w:pPr>
        <w:spacing w:after="40"/>
      </w:pPr>
      <w:r>
        <w:rPr>
          <w:rFonts w:ascii="Liberation Sans" w:hAnsi="Liberation Sans"/>
          <w:b/>
          <w:color w:val="007C91"/>
          <w:sz w:val="20"/>
        </w:rPr>
        <w:t xml:space="preserve">☐ </w:t>
      </w:r>
      <w:r>
        <w:rPr>
          <w:rFonts w:ascii="Liberation Sans" w:hAnsi="Liberation Sans"/>
          <w:sz w:val="18"/>
        </w:rPr>
        <w:t>apim_subscription_required=true ; subscription product active.</w:t>
      </w:r>
    </w:p>
    <w:p>
      <w:pPr>
        <w:spacing w:after="40"/>
      </w:pPr>
      <w:r>
        <w:rPr>
          <w:rFonts w:ascii="Liberation Sans" w:hAnsi="Liberation Sans"/>
          <w:b/>
          <w:color w:val="007C91"/>
          <w:sz w:val="20"/>
        </w:rPr>
        <w:t xml:space="preserve">☐ </w:t>
      </w:r>
      <w:r>
        <w:rPr>
          <w:rFonts w:ascii="Liberation Sans" w:hAnsi="Liberation Sans"/>
          <w:sz w:val="18"/>
        </w:rPr>
        <w:t>Policy APIM : rate limit, quota, payload &lt;= 1 MiB, X-Correlation-Id.</w:t>
      </w:r>
    </w:p>
    <w:p>
      <w:pPr>
        <w:spacing w:after="40"/>
      </w:pPr>
      <w:r>
        <w:rPr>
          <w:rFonts w:ascii="Liberation Sans" w:hAnsi="Liberation Sans"/>
          <w:b/>
          <w:color w:val="007C91"/>
          <w:sz w:val="20"/>
        </w:rPr>
        <w:t xml:space="preserve">☐ </w:t>
      </w:r>
      <w:r>
        <w:rPr>
          <w:rFonts w:ascii="Liberation Sans" w:hAnsi="Liberation Sans"/>
          <w:sz w:val="18"/>
        </w:rPr>
        <w:t>API health 200 via APIM ; sans subscription key, 401 attendu.</w:t>
      </w:r>
    </w:p>
    <w:p>
      <w:pPr>
        <w:spacing w:after="40"/>
      </w:pPr>
      <w:r>
        <w:rPr>
          <w:rFonts w:ascii="Liberation Sans" w:hAnsi="Liberation Sans"/>
          <w:b/>
          <w:color w:val="007C91"/>
          <w:sz w:val="20"/>
        </w:rPr>
        <w:t xml:space="preserve">☐ </w:t>
      </w:r>
      <w:r>
        <w:rPr>
          <w:rFonts w:ascii="Liberation Sans" w:hAnsi="Liberation Sans"/>
          <w:sz w:val="18"/>
        </w:rPr>
        <w:t>Tenant et API key créés via le rôle operator ; clé brute stockée une seule fois dans un coffre.</w:t>
      </w:r>
    </w:p>
    <w:p>
      <w:pPr>
        <w:spacing w:after="40"/>
      </w:pPr>
      <w:r>
        <w:rPr>
          <w:rFonts w:ascii="Liberation Sans" w:hAnsi="Liberation Sans"/>
          <w:b/>
          <w:color w:val="007C91"/>
          <w:sz w:val="20"/>
        </w:rPr>
        <w:t xml:space="preserve">☐ </w:t>
      </w:r>
      <w:r>
        <w:rPr>
          <w:rFonts w:ascii="Liberation Sans" w:hAnsi="Liberation Sans"/>
          <w:sz w:val="18"/>
        </w:rPr>
        <w:t>Cible web enregistrée ; onboarding Azure terminé ou scope VERIFIED.</w:t>
      </w:r>
    </w:p>
    <w:p>
      <w:pPr>
        <w:spacing w:after="40"/>
      </w:pPr>
      <w:r>
        <w:rPr>
          <w:rFonts w:ascii="Liberation Sans" w:hAnsi="Liberation Sans"/>
          <w:b/>
          <w:color w:val="007C91"/>
          <w:sz w:val="20"/>
        </w:rPr>
        <w:t xml:space="preserve">☐ </w:t>
      </w:r>
      <w:r>
        <w:rPr>
          <w:rFonts w:ascii="Liberation Sans" w:hAnsi="Liberation Sans"/>
          <w:sz w:val="18"/>
        </w:rPr>
        <w:t>Scan PENDING/RESERVED -&gt; DONE/CONSUMED ou FAILED/REFUNDED contrôlé.</w:t>
      </w:r>
    </w:p>
    <w:p>
      <w:pPr>
        <w:spacing w:after="40"/>
      </w:pPr>
      <w:r>
        <w:rPr>
          <w:rFonts w:ascii="Liberation Sans" w:hAnsi="Liberation Sans"/>
          <w:b/>
          <w:color w:val="007C91"/>
          <w:sz w:val="20"/>
        </w:rPr>
        <w:t xml:space="preserve">☐ </w:t>
      </w:r>
      <w:r>
        <w:rPr>
          <w:rFonts w:ascii="Liberation Sans" w:hAnsi="Liberation Sans"/>
          <w:sz w:val="18"/>
        </w:rPr>
        <w:t>JSON explicite via /v1/scans/:scanId/result ; PDF lisible et sans secret.</w:t>
      </w:r>
    </w:p>
    <w:p>
      <w:pPr>
        <w:spacing w:after="40"/>
      </w:pPr>
      <w:r>
        <w:rPr>
          <w:rFonts w:ascii="Liberation Sans" w:hAnsi="Liberation Sans"/>
          <w:b/>
          <w:color w:val="007C91"/>
          <w:sz w:val="20"/>
        </w:rPr>
        <w:t xml:space="preserve">☐ </w:t>
      </w:r>
      <w:r>
        <w:rPr>
          <w:rFonts w:ascii="Liberation Sans" w:hAnsi="Liberation Sans"/>
          <w:sz w:val="18"/>
        </w:rPr>
        <w:t>Outbox rattrapée ; Service Bus active=0 et DLQ=0 après traitement.</w:t>
      </w:r>
    </w:p>
    <w:p>
      <w:pPr>
        <w:spacing w:after="40"/>
      </w:pPr>
      <w:r>
        <w:rPr>
          <w:rFonts w:ascii="Liberation Sans" w:hAnsi="Liberation Sans"/>
          <w:b/>
          <w:color w:val="007C91"/>
          <w:sz w:val="20"/>
        </w:rPr>
        <w:t xml:space="preserve">☐ </w:t>
      </w:r>
      <w:r>
        <w:rPr>
          <w:rFonts w:ascii="Liberation Sans" w:hAnsi="Liberation Sans"/>
          <w:sz w:val="18"/>
        </w:rPr>
        <w:t>Tenant et subscription APIM de recette supprimés après capture des preuves.</w:t>
      </w:r>
    </w:p>
    <w:p>
      <w:pPr>
        <w:spacing w:before="80" w:after="40"/>
        <w:keepNext/>
      </w:pPr>
      <w:r>
        <w:rPr>
          <w:rFonts w:ascii="Liberation Sans" w:hAnsi="Liberation Sans"/>
          <w:b/>
          <w:color w:val="2F6B8A"/>
          <w:sz w:val="18"/>
        </w:rPr>
        <w:t>Smoke test client</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export APIM_URL="$(terraform output -raw apim_gateway_url)"</w:t>
              <w:br/>
              <w:t>export BEVOAC_API_KEY="&lt;secret-du-coffre&gt;"</w:t>
              <w:br/>
              <w:t>export APIM_SUBSCRIPTION_KEY="&lt;secret-apim&gt;"</w:t>
              <w:br/>
              <w:br/>
              <w:t>curl -i "$APIM_URL/v1/health"   -H "Ocp-Apim-Subscription-Key: $APIM_SUBSCRIPTION_KEY"</w:t>
              <w:br/>
              <w:br/>
              <w:t>curl -sS -X POST "$APIM_URL/v1/scans"   -H "Ocp-Apim-Subscription-Key: $APIM_SUBSCRIPTION_KEY"   -H "Authorization: Bearer $BEVOAC_API_KEY"   -H "Content-Type: application/json"   -H "Idempotency-Key: recette-$(date -u +%Y%m%dT%H%M%SZ)"   -d '{"cloudProvider":"azure","scanProfile":"web","modules":["web"],"azure":{"targetUrl":"https://example.com"}}'</w:t>
            </w:r>
          </w:p>
        </w:tc>
        <w:trPr>
          <w:tblHeader/>
        </w:trPr>
      </w:tr>
    </w:tbl>
    <w:p>
      <w:pPr>
        <w:pageBreakBefore/>
        <w:spacing w:before="2100"/>
        <w:jc w:val="center"/>
      </w:pPr>
      <w:r>
        <w:rPr>
          <w:rFonts w:ascii="Liberation Sans" w:hAnsi="Liberation Sans"/>
          <w:b/>
          <w:color w:val="007C91"/>
          <w:sz w:val="24"/>
        </w:rPr>
        <w:t>PARTIE 2</w:t>
      </w:r>
    </w:p>
    <w:p>
      <w:pPr>
        <w:jc w:val="center"/>
      </w:pPr>
      <w:r>
        <w:rPr>
          <w:rFonts w:ascii="Liberation Sans" w:hAnsi="Liberation Sans"/>
          <w:b/>
          <w:color w:val="173A5E"/>
          <w:sz w:val="48"/>
        </w:rPr>
        <w:t>ARCHITECTURE ET RUNTIMES</w:t>
      </w:r>
    </w:p>
    <w:p>
      <w:pPr>
        <w:jc w:val="center"/>
      </w:pPr>
      <w:r>
        <w:rPr>
          <w:rFonts w:ascii="Liberation Sans" w:hAnsi="Liberation Sans"/>
          <w:i/>
          <w:color w:val="5B6770"/>
          <w:sz w:val="23"/>
        </w:rPr>
        <w:t>Comprendre les décisions qui rendent la plateforme opérable et sécurisable</w:t>
      </w:r>
    </w:p>
    <w:p>
      <w:r>
        <w:br w:type="page"/>
      </w:r>
    </w:p>
    <w:p>
      <w:pPr>
        <w:pStyle w:val="Heading1"/>
        <w:pBdr>
          <w:bottom w:val="single" w:sz="10" w:space="4" w:color="173A5E"/>
        </w:pBdr>
        <w:keepNext/>
      </w:pPr>
      <w:r>
        <w:t>13. Architecture cible et état actuel</w:t>
      </w:r>
    </w:p>
    <w:p>
      <w:pPr>
        <w:spacing w:after="80"/>
      </w:pPr>
      <w:r>
        <w:rPr>
          <w:rFonts w:ascii="Liberation Sans" w:hAnsi="Liberation Sans"/>
          <w:i w:val="0"/>
        </w:rPr>
        <w:t>La cible sépare les responsabilités, les identités Azure, les secrets Key Vault et les rôles PostgreSQL. La plateforme actuelle doit être lue avec une matrice “observé / cible” afin de ne pas confondre une intention IaC et un état réellement appliqué.</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814"/>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Domaine</w:t>
            </w:r>
          </w:p>
        </w:tc>
        <w:tc>
          <w:tcPr>
            <w:tcW w:type="dxa" w:w="4139"/>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État validé</w:t>
            </w:r>
          </w:p>
        </w:tc>
        <w:tc>
          <w:tcPr>
            <w:tcW w:type="dxa" w:w="368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Écart / cible</w:t>
            </w:r>
          </w:p>
        </w:tc>
      </w:tr>
      <w:tr>
        <w:tc>
          <w:tcPr>
            <w:tcW w:type="dxa" w:w="181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Code</w:t>
            </w:r>
          </w:p>
        </w:tc>
        <w:tc>
          <w:tcPr>
            <w:tcW w:type="dxa" w:w="413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Runtimes séparés ; app.service_context supprimé ; commit f37c066 poussé.</w:t>
            </w:r>
          </w:p>
        </w:tc>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Déployer chaque runtime avec son PG_USER dédié.</w:t>
            </w:r>
          </w:p>
        </w:tc>
      </w:tr>
      <w:tr>
        <w:tc>
          <w:tcPr>
            <w:tcW w:type="dxa" w:w="181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DB</w:t>
            </w:r>
          </w:p>
        </w:tc>
        <w:tc>
          <w:tcPr>
            <w:tcW w:type="dxa" w:w="413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Rôles, secure auth et runtime-role RLS validés sur PostgreSQL 16.14 jetable.</w:t>
            </w:r>
          </w:p>
        </w:tc>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Vérifier schema_migrations et le rôle effectif avant rollout production.</w:t>
            </w:r>
          </w:p>
        </w:tc>
      </w:tr>
      <w:tr>
        <w:tc>
          <w:tcPr>
            <w:tcW w:type="dxa" w:w="181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Réseau</w:t>
            </w:r>
          </w:p>
        </w:tc>
        <w:tc>
          <w:tcPr>
            <w:tcW w:type="dxa" w:w="413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Dernier état observé : PostgreSQL public contraint, private endpoints désactivés.</w:t>
            </w:r>
          </w:p>
        </w:tc>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Private endpoints + DNS + runner privé.</w:t>
            </w:r>
          </w:p>
        </w:tc>
      </w:tr>
      <w:tr>
        <w:tc>
          <w:tcPr>
            <w:tcW w:type="dxa" w:w="181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Key Vault</w:t>
            </w:r>
          </w:p>
        </w:tc>
        <w:tc>
          <w:tcPr>
            <w:tcW w:type="dxa" w:w="413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Secrets dédiés créés ; assignments par secret ajoutés.</w:t>
            </w:r>
          </w:p>
        </w:tc>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Retirer les anciens assignments coffre-wide.</w:t>
            </w:r>
          </w:p>
        </w:tc>
      </w:tr>
      <w:tr>
        <w:tc>
          <w:tcPr>
            <w:tcW w:type="dxa" w:w="181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APIM</w:t>
            </w:r>
          </w:p>
        </w:tc>
        <w:tc>
          <w:tcPr>
            <w:tcW w:type="dxa" w:w="413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Chemin client validé en double-auth.</w:t>
            </w:r>
          </w:p>
        </w:tc>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Restreindre l’ingress direct à APIM/break-glass.</w:t>
            </w:r>
          </w:p>
        </w:tc>
      </w:tr>
      <w:tr>
        <w:tc>
          <w:tcPr>
            <w:tcW w:type="dxa" w:w="181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CI</w:t>
            </w:r>
          </w:p>
        </w:tc>
        <w:tc>
          <w:tcPr>
            <w:tcW w:type="dxa" w:w="413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Tests unitaires 44/5 et validations manuelles RLS.</w:t>
            </w:r>
          </w:p>
        </w:tc>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Automatiser PostgreSQL 16 éphémère et tests de denial.</w:t>
            </w:r>
          </w:p>
        </w:tc>
      </w:tr>
    </w:tbl>
    <w:p>
      <w:pPr>
        <w:spacing w:after="20"/>
      </w:pPr>
    </w:p>
    <w:p>
      <w:pPr>
        <w:pStyle w:val="Heading1"/>
        <w:pBdr>
          <w:bottom w:val="single" w:sz="10" w:space="4" w:color="173A5E"/>
        </w:pBdr>
        <w:keepNext/>
      </w:pPr>
      <w:r>
        <w:t>14. Modes runtime</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170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Mode</w:t>
            </w:r>
          </w:p>
        </w:tc>
        <w:tc>
          <w:tcPr>
            <w:tcW w:type="dxa" w:w="1134"/>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HTTP</w:t>
            </w:r>
          </w:p>
        </w:tc>
        <w:tc>
          <w:tcPr>
            <w:tcW w:type="dxa" w:w="368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Routes</w:t>
            </w:r>
          </w:p>
        </w:tc>
        <w:tc>
          <w:tcPr>
            <w:tcW w:type="dxa" w:w="311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Service Bus requis</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combined</w:t>
            </w:r>
          </w:p>
        </w:tc>
        <w:tc>
          <w:tcPr>
            <w:tcW w:type="dxa" w:w="113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Oui</w:t>
            </w:r>
          </w:p>
        </w:tc>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Public + admin</w:t>
            </w:r>
          </w:p>
        </w:tc>
        <w:tc>
          <w:tcPr>
            <w:tcW w:type="dxa" w:w="311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Oui selon configuration outbox ; non cible enterprise.</w:t>
            </w:r>
          </w:p>
        </w:tc>
      </w:tr>
      <w:tr>
        <w:tc>
          <w:tcPr>
            <w:tcW w:type="dxa" w:w="170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public_api</w:t>
            </w:r>
          </w:p>
        </w:tc>
        <w:tc>
          <w:tcPr>
            <w:tcW w:type="dxa" w:w="113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Oui</w:t>
            </w:r>
          </w:p>
        </w:tc>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Health, scans, billing client, onboarding</w:t>
            </w:r>
          </w:p>
        </w:tc>
        <w:tc>
          <w:tcPr>
            <w:tcW w:type="dxa" w:w="311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Non si publisher dédié et immediate=false.</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admin_api</w:t>
            </w:r>
          </w:p>
        </w:tc>
        <w:tc>
          <w:tcPr>
            <w:tcW w:type="dxa" w:w="113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Oui</w:t>
            </w:r>
          </w:p>
        </w:tc>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Billing/admin</w:t>
            </w:r>
          </w:p>
        </w:tc>
        <w:tc>
          <w:tcPr>
            <w:tcW w:type="dxa" w:w="311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Non.</w:t>
            </w:r>
          </w:p>
        </w:tc>
      </w:tr>
      <w:tr>
        <w:tc>
          <w:tcPr>
            <w:tcW w:type="dxa" w:w="170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outbox</w:t>
            </w:r>
          </w:p>
        </w:tc>
        <w:tc>
          <w:tcPr>
            <w:tcW w:type="dxa" w:w="113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Non</w:t>
            </w:r>
          </w:p>
        </w:tc>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Aucune</w:t>
            </w:r>
          </w:p>
        </w:tc>
        <w:tc>
          <w:tcPr>
            <w:tcW w:type="dxa" w:w="311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Oui, sender.</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retention</w:t>
            </w:r>
          </w:p>
        </w:tc>
        <w:tc>
          <w:tcPr>
            <w:tcW w:type="dxa" w:w="113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Non</w:t>
            </w:r>
          </w:p>
        </w:tc>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Aucune</w:t>
            </w:r>
          </w:p>
        </w:tc>
        <w:tc>
          <w:tcPr>
            <w:tcW w:type="dxa" w:w="311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Non.</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EAF3F8"/>
            <w:tcBorders>
              <w:top w:val="single" w:sz="6" w:color="173A5E"/>
              <w:left w:val="single" w:sz="10" w:color="173A5E"/>
              <w:bottom w:val="single" w:sz="6" w:color="173A5E"/>
              <w:right w:val="single" w:sz="6" w:color="173A5E"/>
            </w:tcBorders>
          </w:tcPr>
          <w:p>
            <w:pPr>
              <w:spacing w:after="20"/>
            </w:pPr>
            <w:r>
              <w:rPr>
                <w:rFonts w:ascii="Liberation Sans" w:hAnsi="Liberation Sans"/>
                <w:b/>
                <w:color w:val="173A5E"/>
                <w:sz w:val="18"/>
              </w:rPr>
              <w:t xml:space="preserve">TESTABILITÉ  </w:t>
            </w:r>
            <w:r>
              <w:rPr>
                <w:rFonts w:ascii="Liberation Sans" w:hAnsi="Liberation Sans"/>
                <w:color w:val="102A43"/>
                <w:sz w:val="18"/>
              </w:rPr>
              <w:t>buildServer() construit Fastify et ses plugins sans appeler app.listen(). Les tests peuvent utiliser Fastify.inject() sans ouvrir de port. L’export de buildServer() n’est pas un endpoint et ne crée pas une surface réseau.</w:t>
            </w:r>
          </w:p>
        </w:tc>
        <w:trPr>
          <w:tblHeader/>
        </w:trPr>
      </w:tr>
    </w:tbl>
    <w:p>
      <w:pPr>
        <w:spacing w:after="20"/>
      </w:pPr>
    </w:p>
    <w:p>
      <w:pPr>
        <w:pStyle w:val="Heading1"/>
        <w:pBdr>
          <w:bottom w:val="single" w:sz="10" w:space="4" w:color="173A5E"/>
        </w:pBdr>
        <w:keepNext/>
      </w:pPr>
      <w:r>
        <w:t>15. Cycle de vie d’un scan et outbox transactionnelle</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26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Étape</w:t>
            </w:r>
          </w:p>
        </w:tc>
        <w:tc>
          <w:tcPr>
            <w:tcW w:type="dxa" w:w="3969"/>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État DB</w:t>
            </w:r>
          </w:p>
        </w:tc>
        <w:tc>
          <w:tcPr>
            <w:tcW w:type="dxa" w:w="340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Responsable</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Demande</w:t>
            </w:r>
          </w:p>
        </w:tc>
        <w:tc>
          <w:tcPr>
            <w:tcW w:type="dxa" w:w="396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PENDING + RESERVED + scan_reserved + idempotence + outbox PENDING</w:t>
            </w:r>
          </w:p>
        </w:tc>
        <w:tc>
          <w:tcPr>
            <w:tcW w:type="dxa" w:w="340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public_api, dans une transaction tenant.</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Publication</w:t>
            </w:r>
          </w:p>
        </w:tc>
        <w:tc>
          <w:tcPr>
            <w:tcW w:type="dxa" w:w="396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outbox PUBLISHED ou FAILED avec backoff</w:t>
            </w:r>
          </w:p>
        </w:tc>
        <w:tc>
          <w:tcPr>
            <w:tcW w:type="dxa" w:w="340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outbox.</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Acquisition</w:t>
            </w:r>
          </w:p>
        </w:tc>
        <w:tc>
          <w:tcPr>
            <w:tcW w:type="dxa" w:w="396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PENDING -&gt; IN_PROGRESS ; scan_attempts STARTED</w:t>
            </w:r>
          </w:p>
        </w:tc>
        <w:tc>
          <w:tcPr>
            <w:tcW w:type="dxa" w:w="340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worker.</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Résultat</w:t>
            </w:r>
          </w:p>
        </w:tc>
        <w:tc>
          <w:tcPr>
            <w:tcW w:type="dxa" w:w="396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scan_results + summary + hash</w:t>
            </w:r>
          </w:p>
        </w:tc>
        <w:tc>
          <w:tcPr>
            <w:tcW w:type="dxa" w:w="340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worker.</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Succès</w:t>
            </w:r>
          </w:p>
        </w:tc>
        <w:tc>
          <w:tcPr>
            <w:tcW w:type="dxa" w:w="396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DONE + CONSUMED + scan_consumed</w:t>
            </w:r>
          </w:p>
        </w:tc>
        <w:tc>
          <w:tcPr>
            <w:tcW w:type="dxa" w:w="340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worker.</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Échec contrôlé</w:t>
            </w:r>
          </w:p>
        </w:tc>
        <w:tc>
          <w:tcPr>
            <w:tcW w:type="dxa" w:w="396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FAILED + REFUNDED + scan_refunded</w:t>
            </w:r>
          </w:p>
        </w:tc>
        <w:tc>
          <w:tcPr>
            <w:tcW w:type="dxa" w:w="340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worker.</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E7F4E8"/>
            <w:tcBorders>
              <w:top w:val="single" w:sz="6" w:color="2E7D32"/>
              <w:left w:val="single" w:sz="10" w:color="2E7D32"/>
              <w:bottom w:val="single" w:sz="6" w:color="2E7D32"/>
              <w:right w:val="single" w:sz="6" w:color="2E7D32"/>
            </w:tcBorders>
          </w:tcPr>
          <w:p>
            <w:pPr>
              <w:spacing w:after="20"/>
            </w:pPr>
            <w:r>
              <w:rPr>
                <w:rFonts w:ascii="Liberation Sans" w:hAnsi="Liberation Sans"/>
                <w:b/>
                <w:color w:val="2E7D32"/>
                <w:sz w:val="18"/>
              </w:rPr>
              <w:t xml:space="preserve">GARANTIE OUTBOX  </w:t>
            </w:r>
            <w:r>
              <w:rPr>
                <w:rFonts w:ascii="Liberation Sans" w:hAnsi="Liberation Sans"/>
                <w:color w:val="102A43"/>
                <w:sz w:val="18"/>
              </w:rPr>
              <w:t>Le scan et l’événement outbox sont atomiques. Si la transaction échoue, aucun message fantôme n’est publié. Si Service Bus est indisponible, le scan reste traçable et l’outbox peut réessayer.</w:t>
            </w:r>
          </w:p>
        </w:tc>
        <w:trPr>
          <w:tblHeader/>
        </w:trPr>
      </w:tr>
    </w:tbl>
    <w:p>
      <w:pPr>
        <w:spacing w:after="20"/>
      </w:pPr>
    </w:p>
    <w:p>
      <w:pPr>
        <w:pStyle w:val="Heading1"/>
        <w:pBdr>
          <w:bottom w:val="single" w:sz="10" w:space="4" w:color="173A5E"/>
        </w:pBdr>
        <w:keepNext/>
      </w:pPr>
      <w:r>
        <w:t>16. Container Apps, identités et accès Azure</w:t>
      </w:r>
    </w:p>
    <w:tbl>
      <w:tblPr>
        <w:tblW w:type="auto" w:w="0"/>
        <w:jc w:val="center"/>
        <w:tblLayout w:type="fixed"/>
        <w:tblLook w:firstColumn="1" w:firstRow="1" w:lastColumn="0" w:lastRow="0" w:noHBand="0" w:noVBand="1" w:val="04A0"/>
      </w:tblPr>
      <w:tblGrid>
        <w:gridCol w:w="2007"/>
        <w:gridCol w:w="2007"/>
        <w:gridCol w:w="2007"/>
        <w:gridCol w:w="2007"/>
        <w:gridCol w:w="2007"/>
      </w:tblGrid>
      <w:tr>
        <w:trPr>
          <w:tblHeader w:val="true"/>
        </w:trPr>
        <w:tc>
          <w:tcPr>
            <w:tcW w:type="dxa" w:w="170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Workload</w:t>
            </w:r>
          </w:p>
        </w:tc>
        <w:tc>
          <w:tcPr>
            <w:tcW w:type="dxa" w:w="1757"/>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UAMI</w:t>
            </w:r>
          </w:p>
        </w:tc>
        <w:tc>
          <w:tcPr>
            <w:tcW w:type="dxa" w:w="136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ACR</w:t>
            </w:r>
          </w:p>
        </w:tc>
        <w:tc>
          <w:tcPr>
            <w:tcW w:type="dxa" w:w="283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Key Vault</w:t>
            </w:r>
          </w:p>
        </w:tc>
        <w:tc>
          <w:tcPr>
            <w:tcW w:type="dxa" w:w="1984"/>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Service Bus</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public_api</w:t>
            </w:r>
          </w:p>
        </w:tc>
        <w:tc>
          <w:tcPr>
            <w:tcW w:type="dxa" w:w="1757"/>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id-*-api</w:t>
            </w:r>
          </w:p>
        </w:tc>
        <w:tc>
          <w:tcPr>
            <w:tcW w:type="dxa" w:w="13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AcrPull</w:t>
            </w:r>
          </w:p>
        </w:tc>
        <w:tc>
          <w:tcPr>
            <w:tcW w:type="dxa" w:w="283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Secrets API/onboarding/PG</w:t>
            </w:r>
          </w:p>
        </w:tc>
        <w:tc>
          <w:tcPr>
            <w:tcW w:type="dxa" w:w="198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Aucun en cible dédiée.</w:t>
            </w:r>
          </w:p>
        </w:tc>
      </w:tr>
      <w:tr>
        <w:tc>
          <w:tcPr>
            <w:tcW w:type="dxa" w:w="170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worker</w:t>
            </w:r>
          </w:p>
        </w:tc>
        <w:tc>
          <w:tcPr>
            <w:tcW w:type="dxa" w:w="1757"/>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id-*-worker</w:t>
            </w:r>
          </w:p>
        </w:tc>
        <w:tc>
          <w:tcPr>
            <w:tcW w:type="dxa" w:w="136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AcrPull</w:t>
            </w:r>
          </w:p>
        </w:tc>
        <w:tc>
          <w:tcPr>
            <w:tcW w:type="dxa" w:w="283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PG + Microsoft client secret</w:t>
            </w:r>
          </w:p>
        </w:tc>
        <w:tc>
          <w:tcPr>
            <w:tcW w:type="dxa" w:w="198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Receiver.</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outbox</w:t>
            </w:r>
          </w:p>
        </w:tc>
        <w:tc>
          <w:tcPr>
            <w:tcW w:type="dxa" w:w="1757"/>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id-*-outbox</w:t>
            </w:r>
          </w:p>
        </w:tc>
        <w:tc>
          <w:tcPr>
            <w:tcW w:type="dxa" w:w="13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AcrPull</w:t>
            </w:r>
          </w:p>
        </w:tc>
        <w:tc>
          <w:tcPr>
            <w:tcW w:type="dxa" w:w="283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PG outbox</w:t>
            </w:r>
          </w:p>
        </w:tc>
        <w:tc>
          <w:tcPr>
            <w:tcW w:type="dxa" w:w="198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Sender.</w:t>
            </w:r>
          </w:p>
        </w:tc>
      </w:tr>
      <w:tr>
        <w:tc>
          <w:tcPr>
            <w:tcW w:type="dxa" w:w="170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retention</w:t>
            </w:r>
          </w:p>
        </w:tc>
        <w:tc>
          <w:tcPr>
            <w:tcW w:type="dxa" w:w="1757"/>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id-*-retention</w:t>
            </w:r>
          </w:p>
        </w:tc>
        <w:tc>
          <w:tcPr>
            <w:tcW w:type="dxa" w:w="136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AcrPull</w:t>
            </w:r>
          </w:p>
        </w:tc>
        <w:tc>
          <w:tcPr>
            <w:tcW w:type="dxa" w:w="283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PG retention</w:t>
            </w:r>
          </w:p>
        </w:tc>
        <w:tc>
          <w:tcPr>
            <w:tcW w:type="dxa" w:w="198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Aucun.</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admin_api</w:t>
            </w:r>
          </w:p>
        </w:tc>
        <w:tc>
          <w:tcPr>
            <w:tcW w:type="dxa" w:w="1757"/>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id-*-admin-api</w:t>
            </w:r>
          </w:p>
        </w:tc>
        <w:tc>
          <w:tcPr>
            <w:tcW w:type="dxa" w:w="13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AcrPull</w:t>
            </w:r>
          </w:p>
        </w:tc>
        <w:tc>
          <w:tcPr>
            <w:tcW w:type="dxa" w:w="283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PG admin API</w:t>
            </w:r>
          </w:p>
        </w:tc>
        <w:tc>
          <w:tcPr>
            <w:tcW w:type="dxa" w:w="198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Aucun.</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FF4DD"/>
            <w:tcBorders>
              <w:top w:val="single" w:sz="6" w:color="B26A00"/>
              <w:left w:val="single" w:sz="10" w:color="B26A00"/>
              <w:bottom w:val="single" w:sz="6" w:color="B26A00"/>
              <w:right w:val="single" w:sz="6" w:color="B26A00"/>
            </w:tcBorders>
          </w:tcPr>
          <w:p>
            <w:pPr>
              <w:spacing w:after="20"/>
            </w:pPr>
            <w:r>
              <w:rPr>
                <w:rFonts w:ascii="Liberation Sans" w:hAnsi="Liberation Sans"/>
                <w:b/>
                <w:color w:val="B26A00"/>
                <w:sz w:val="18"/>
              </w:rPr>
              <w:t xml:space="preserve">ÉTAT À CONFIRMER  </w:t>
            </w:r>
            <w:r>
              <w:rPr>
                <w:rFonts w:ascii="Liberation Sans" w:hAnsi="Liberation Sans"/>
                <w:color w:val="102A43"/>
                <w:sz w:val="18"/>
              </w:rPr>
              <w:t>L’identité admin-api est réservée dans l’IaC, mais le déploiement d’une Container App admin réellement séparée doit être vérifié. Ne pas présenter l’isolation admin comme active tant que le runtime n’est pas observé.</w:t>
            </w:r>
          </w:p>
        </w:tc>
        <w:trPr>
          <w:tblHeader/>
        </w:trPr>
      </w:tr>
    </w:tbl>
    <w:p>
      <w:pPr>
        <w:spacing w:after="20"/>
      </w:pPr>
    </w:p>
    <w:p>
      <w:pPr>
        <w:pStyle w:val="Heading1"/>
        <w:pBdr>
          <w:bottom w:val="single" w:sz="10" w:space="4" w:color="173A5E"/>
        </w:pBdr>
        <w:keepNext/>
      </w:pPr>
      <w:r>
        <w:t>17. Réseau, DNS et opérations privées</w:t>
      </w:r>
    </w:p>
    <w:p>
      <w:pPr>
        <w:pStyle w:val="ListBullet"/>
        <w:spacing w:after="50"/>
      </w:pPr>
      <w:r>
        <w:rPr>
          <w:rFonts w:ascii="Liberation Sans" w:hAnsi="Liberation Sans"/>
          <w:b/>
        </w:rPr>
        <w:t xml:space="preserve">Cible : </w:t>
      </w:r>
      <w:r>
        <w:rPr>
          <w:rFonts w:ascii="Liberation Sans" w:hAnsi="Liberation Sans"/>
        </w:rPr>
        <w:t>Container Apps intégrées au VNet, Private Endpoints PostgreSQL/Key Vault, Private DNS, runner privé ou VPN.</w:t>
      </w:r>
    </w:p>
    <w:p>
      <w:pPr>
        <w:pStyle w:val="ListBullet"/>
        <w:spacing w:after="50"/>
      </w:pPr>
      <w:r>
        <w:rPr>
          <w:rFonts w:ascii="Liberation Sans" w:hAnsi="Liberation Sans"/>
          <w:b/>
        </w:rPr>
        <w:t xml:space="preserve">Transition : </w:t>
      </w:r>
      <w:r>
        <w:rPr>
          <w:rFonts w:ascii="Liberation Sans" w:hAnsi="Liberation Sans"/>
        </w:rPr>
        <w:t>publicNetworkAccess activé uniquement avec règles /32, egress NAT connu, RBAC et fenêtre limitée.</w:t>
      </w:r>
    </w:p>
    <w:p>
      <w:pPr>
        <w:pStyle w:val="ListBullet"/>
        <w:spacing w:after="50"/>
      </w:pPr>
      <w:r>
        <w:rPr>
          <w:rFonts w:ascii="Liberation Sans" w:hAnsi="Liberation Sans"/>
          <w:b/>
        </w:rPr>
        <w:t xml:space="preserve">Terraform : </w:t>
      </w:r>
      <w:r>
        <w:rPr>
          <w:rFonts w:ascii="Liberation Sans" w:hAnsi="Liberation Sans"/>
        </w:rPr>
        <w:t>un refresh depuis un poste hors VNet peut produire ForbiddenByConnection ; ce n’est pas une preuve de drift.</w:t>
      </w:r>
    </w:p>
    <w:p>
      <w:pPr>
        <w:pStyle w:val="ListBullet"/>
        <w:spacing w:after="50"/>
      </w:pPr>
      <w:r>
        <w:rPr>
          <w:rFonts w:ascii="Liberation Sans" w:hAnsi="Liberation Sans"/>
          <w:b/>
        </w:rPr>
        <w:t xml:space="preserve">Preuve : </w:t>
      </w:r>
      <w:r>
        <w:rPr>
          <w:rFonts w:ascii="Liberation Sans" w:hAnsi="Liberation Sans"/>
        </w:rPr>
        <w:t>un plan -refresh=false prouve seulement la cohérence configuration/state, pas l’état distant.</w:t>
      </w:r>
    </w:p>
    <w:tbl>
      <w:tblPr>
        <w:tblW w:type="auto" w:w="0"/>
        <w:jc w:val="center"/>
        <w:tblLayout w:type="fixed"/>
        <w:tblLook w:firstColumn="1" w:firstRow="1" w:lastColumn="0" w:lastRow="0" w:noHBand="0" w:noVBand="1" w:val="04A0"/>
      </w:tblPr>
      <w:tblGrid>
        <w:gridCol w:w="10036"/>
      </w:tblGrid>
      <w:tr>
        <w:tc>
          <w:tcPr>
            <w:tcW w:type="dxa" w:w="9751"/>
            <w:shd w:fill="FCE9E7"/>
            <w:tcBorders>
              <w:top w:val="single" w:sz="6" w:color="B3261E"/>
              <w:left w:val="single" w:sz="10" w:color="B3261E"/>
              <w:bottom w:val="single" w:sz="6" w:color="B3261E"/>
              <w:right w:val="single" w:sz="6" w:color="B3261E"/>
            </w:tcBorders>
          </w:tcPr>
          <w:p>
            <w:pPr>
              <w:spacing w:after="20"/>
            </w:pPr>
            <w:r>
              <w:rPr>
                <w:rFonts w:ascii="Liberation Sans" w:hAnsi="Liberation Sans"/>
                <w:b/>
                <w:color w:val="B3261E"/>
                <w:sz w:val="18"/>
              </w:rPr>
              <w:t xml:space="preserve">RÈGLE  </w:t>
            </w:r>
            <w:r>
              <w:rPr>
                <w:rFonts w:ascii="Liberation Sans" w:hAnsi="Liberation Sans"/>
                <w:color w:val="102A43"/>
                <w:sz w:val="18"/>
              </w:rPr>
              <w:t>Toute ouverture publique doit avoir un ticket, une heure de début/fin, un propriétaire, un contrôle post-fermeture et une preuve. Ne jamais conserver une exception “temporaire” comme baseline silencieuse.</w:t>
            </w:r>
          </w:p>
        </w:tc>
        <w:trPr>
          <w:tblHeader/>
        </w:trPr>
      </w:tr>
    </w:tbl>
    <w:p>
      <w:pPr>
        <w:spacing w:after="20"/>
      </w:pPr>
    </w:p>
    <w:p>
      <w:pPr>
        <w:pStyle w:val="Heading1"/>
        <w:pBdr>
          <w:bottom w:val="single" w:sz="10" w:space="4" w:color="173A5E"/>
        </w:pBdr>
        <w:keepNext/>
      </w:pPr>
      <w:r>
        <w:t>18. APIM et exposition client</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94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Contrôle</w:t>
            </w:r>
          </w:p>
        </w:tc>
        <w:tc>
          <w:tcPr>
            <w:tcW w:type="dxa" w:w="6690"/>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Cible</w:t>
            </w:r>
          </w:p>
        </w:tc>
      </w:tr>
      <w:tr>
        <w:tc>
          <w:tcPr>
            <w:tcW w:type="dxa" w:w="294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Chemin client</w:t>
            </w:r>
          </w:p>
        </w:tc>
        <w:tc>
          <w:tcPr>
            <w:tcW w:type="dxa" w:w="669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APIM obligatoire.</w:t>
            </w:r>
          </w:p>
        </w:tc>
      </w:tr>
      <w:tr>
        <w:tc>
          <w:tcPr>
            <w:tcW w:type="dxa" w:w="294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Auth edge</w:t>
            </w:r>
          </w:p>
        </w:tc>
        <w:tc>
          <w:tcPr>
            <w:tcW w:type="dxa" w:w="669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Ocp-Apim-Subscription-Key.</w:t>
            </w:r>
          </w:p>
        </w:tc>
      </w:tr>
      <w:tr>
        <w:tc>
          <w:tcPr>
            <w:tcW w:type="dxa" w:w="294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Auth métier</w:t>
            </w:r>
          </w:p>
        </w:tc>
        <w:tc>
          <w:tcPr>
            <w:tcW w:type="dxa" w:w="669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Authorization: Bearer &lt;Bevoac API key&gt;.</w:t>
            </w:r>
          </w:p>
        </w:tc>
      </w:tr>
      <w:tr>
        <w:tc>
          <w:tcPr>
            <w:tcW w:type="dxa" w:w="294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Protection</w:t>
            </w:r>
          </w:p>
        </w:tc>
        <w:tc>
          <w:tcPr>
            <w:tcW w:type="dxa" w:w="669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Rate limit, quota, taille maximale, corrélation.</w:t>
            </w:r>
          </w:p>
        </w:tc>
      </w:tr>
      <w:tr>
        <w:tc>
          <w:tcPr>
            <w:tcW w:type="dxa" w:w="294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API directe</w:t>
            </w:r>
          </w:p>
        </w:tc>
        <w:tc>
          <w:tcPr>
            <w:tcW w:type="dxa" w:w="669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Opérateur/break-glass seulement jusqu’à restriction réseau.</w:t>
            </w:r>
          </w:p>
        </w:tc>
      </w:tr>
      <w:tr>
        <w:tc>
          <w:tcPr>
            <w:tcW w:type="dxa" w:w="294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Health</w:t>
            </w:r>
          </w:p>
        </w:tc>
        <w:tc>
          <w:tcPr>
            <w:tcW w:type="dxa" w:w="669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Peut indiquer PostgreSQL reachable et Service Bus not_checked pour public_api dédié.</w:t>
            </w:r>
          </w:p>
        </w:tc>
      </w:tr>
    </w:tbl>
    <w:p>
      <w:pPr>
        <w:pageBreakBefore/>
        <w:spacing w:before="2100"/>
        <w:jc w:val="center"/>
      </w:pPr>
      <w:r>
        <w:rPr>
          <w:rFonts w:ascii="Liberation Sans" w:hAnsi="Liberation Sans"/>
          <w:b/>
          <w:color w:val="007C91"/>
          <w:sz w:val="24"/>
        </w:rPr>
        <w:t>PARTIE 3</w:t>
      </w:r>
    </w:p>
    <w:p>
      <w:pPr>
        <w:jc w:val="center"/>
      </w:pPr>
      <w:r>
        <w:rPr>
          <w:rFonts w:ascii="Liberation Sans" w:hAnsi="Liberation Sans"/>
          <w:b/>
          <w:color w:val="173A5E"/>
          <w:sz w:val="48"/>
        </w:rPr>
        <w:t>SÉCURITÉ POSTGRESQL ET MULTI-TENANT</w:t>
      </w:r>
    </w:p>
    <w:p>
      <w:pPr>
        <w:jc w:val="center"/>
      </w:pPr>
      <w:r>
        <w:rPr>
          <w:rFonts w:ascii="Liberation Sans" w:hAnsi="Liberation Sans"/>
          <w:i/>
          <w:color w:val="5B6770"/>
          <w:sz w:val="23"/>
        </w:rPr>
        <w:t>Identité réelle, fonctions bornées, RLS forcée et privilèges exacts</w:t>
      </w:r>
    </w:p>
    <w:p>
      <w:r>
        <w:br w:type="page"/>
      </w:r>
    </w:p>
    <w:p>
      <w:pPr>
        <w:pStyle w:val="Heading1"/>
        <w:pBdr>
          <w:bottom w:val="single" w:sz="10" w:space="4" w:color="173A5E"/>
        </w:pBdr>
        <w:keepNext/>
      </w:pPr>
      <w:r>
        <w:t>19. Pourquoi l’ancien app.service_context a été supprimé</w:t>
      </w:r>
    </w:p>
    <w:p>
      <w:pPr>
        <w:spacing w:after="80"/>
      </w:pPr>
      <w:r>
        <w:rPr>
          <w:rFonts w:ascii="Liberation Sans" w:hAnsi="Liberation Sans"/>
          <w:i w:val="0"/>
        </w:rPr>
        <w:t>L’ancien modèle autorisait un contexte de service mutable dans la session PostgreSQL. Même si les services de confiance le positionnaient, ce mécanisme restait falsifiable dès qu’un composant obtenait une session DB et compliquait l’audit. Le modèle R2 lie les politiques à session_user, c’est-à-dire au véritable login PostgreSQL du workload.</w:t>
      </w:r>
    </w:p>
    <w:p>
      <w:pPr>
        <w:pStyle w:val="ListBullet"/>
        <w:spacing w:after="50"/>
      </w:pPr>
      <w:r>
        <w:rPr>
          <w:rFonts w:ascii="Liberation Sans" w:hAnsi="Liberation Sans"/>
        </w:rPr>
        <w:t>Suppression de SERVICE_CONTEXTS, assertServiceContext, setServiceContext, withServiceSession et withServiceTransaction.</w:t>
      </w:r>
    </w:p>
    <w:p>
      <w:pPr>
        <w:pStyle w:val="ListBullet"/>
        <w:spacing w:after="50"/>
      </w:pPr>
      <w:r>
        <w:rPr>
          <w:rFonts w:ascii="Liberation Sans" w:hAnsi="Liberation Sans"/>
        </w:rPr>
        <w:t>setTenantContext et clearDbContext ne manipulent plus que app.current_tenant_id.</w:t>
      </w:r>
    </w:p>
    <w:p>
      <w:pPr>
        <w:pStyle w:val="ListBullet"/>
        <w:spacing w:after="50"/>
      </w:pPr>
      <w:r>
        <w:rPr>
          <w:rFonts w:ascii="Liberation Sans" w:hAnsi="Liberation Sans"/>
        </w:rPr>
        <w:t>Suppression du script check-tenant-isolation-enterprise.js et de la commande npm associée.</w:t>
      </w:r>
    </w:p>
    <w:p>
      <w:pPr>
        <w:pStyle w:val="ListBullet"/>
        <w:spacing w:after="50"/>
      </w:pPr>
      <w:r>
        <w:rPr>
          <w:rFonts w:ascii="Liberation Sans" w:hAnsi="Liberation Sans"/>
        </w:rPr>
        <w:t>Conservation des anciens lanceurs RLS sous forme de scripts bloquants qui redirigent vers runtime-role-rls.</w:t>
      </w:r>
    </w:p>
    <w:p>
      <w:pPr>
        <w:pStyle w:val="ListBullet"/>
        <w:spacing w:after="50"/>
      </w:pPr>
      <w:r>
        <w:rPr>
          <w:rFonts w:ascii="Liberation Sans" w:hAnsi="Liberation Sans"/>
        </w:rPr>
        <w:t>Test de non-régression : no-mutable-service-context-runtime.test.js.</w:t>
      </w:r>
    </w:p>
    <w:tbl>
      <w:tblPr>
        <w:tblW w:type="auto" w:w="0"/>
        <w:jc w:val="center"/>
        <w:tblLayout w:type="fixed"/>
        <w:tblLook w:firstColumn="1" w:firstRow="1" w:lastColumn="0" w:lastRow="0" w:noHBand="0" w:noVBand="1" w:val="04A0"/>
      </w:tblPr>
      <w:tblGrid>
        <w:gridCol w:w="10036"/>
      </w:tblGrid>
      <w:tr>
        <w:tc>
          <w:tcPr>
            <w:tcW w:type="dxa" w:w="9751"/>
            <w:shd w:fill="E7F4E8"/>
            <w:tcBorders>
              <w:top w:val="single" w:sz="6" w:color="2E7D32"/>
              <w:left w:val="single" w:sz="10" w:color="2E7D32"/>
              <w:bottom w:val="single" w:sz="6" w:color="2E7D32"/>
              <w:right w:val="single" w:sz="6" w:color="2E7D32"/>
            </w:tcBorders>
          </w:tcPr>
          <w:p>
            <w:pPr>
              <w:spacing w:after="20"/>
            </w:pPr>
            <w:r>
              <w:rPr>
                <w:rFonts w:ascii="Liberation Sans" w:hAnsi="Liberation Sans"/>
                <w:b/>
                <w:color w:val="2E7D32"/>
                <w:sz w:val="18"/>
              </w:rPr>
              <w:t xml:space="preserve">PREUVE  </w:t>
            </w:r>
            <w:r>
              <w:rPr>
                <w:rFonts w:ascii="Liberation Sans" w:hAnsi="Liberation Sans"/>
                <w:color w:val="102A43"/>
                <w:sz w:val="18"/>
              </w:rPr>
              <w:t>Après suppression : API 44 tests passés, worker 5 tests passés, checks syntaxe/dépendances OK, git diff --check=0, commit f37c066 poussé.</w:t>
            </w:r>
          </w:p>
        </w:tc>
        <w:trPr>
          <w:tblHeader/>
        </w:trPr>
      </w:tr>
    </w:tbl>
    <w:p>
      <w:pPr>
        <w:spacing w:after="20"/>
      </w:pPr>
    </w:p>
    <w:p>
      <w:pPr>
        <w:pStyle w:val="Heading1"/>
        <w:pBdr>
          <w:bottom w:val="single" w:sz="10" w:space="4" w:color="173A5E"/>
        </w:pBdr>
        <w:keepNext/>
      </w:pPr>
      <w:r>
        <w:t>20. Frontière d’authentification API key</w:t>
      </w:r>
    </w:p>
    <w:p>
      <w:pPr>
        <w:jc w:val="center"/>
      </w:pPr>
      <w:r>
        <w:drawing>
          <wp:inline xmlns:a="http://schemas.openxmlformats.org/drawingml/2006/main" xmlns:pic="http://schemas.openxmlformats.org/drawingml/2006/picture">
            <wp:extent cx="5652000" cy="652913"/>
            <wp:docPr id="6" name="Picture 6" descr="Image: image6.png"/>
            <wp:cNvGraphicFramePr>
              <a:graphicFrameLocks noChangeAspect="1"/>
            </wp:cNvGraphicFramePr>
            <a:graphic>
              <a:graphicData uri="http://schemas.openxmlformats.org/drawingml/2006/picture">
                <pic:pic>
                  <pic:nvPicPr>
                    <pic:cNvPr id="0" name="rls_identity_boundary.png"/>
                    <pic:cNvPicPr/>
                  </pic:nvPicPr>
                  <pic:blipFill>
                    <a:blip r:embed="rId16"/>
                    <a:stretch>
                      <a:fillRect/>
                    </a:stretch>
                  </pic:blipFill>
                  <pic:spPr>
                    <a:xfrm>
                      <a:off x="0" y="0"/>
                      <a:ext cx="5652000" cy="652913"/>
                    </a:xfrm>
                    <a:prstGeom prst="rect"/>
                  </pic:spPr>
                </pic:pic>
              </a:graphicData>
            </a:graphic>
          </wp:inline>
        </w:drawing>
      </w:r>
    </w:p>
    <w:p>
      <w:pPr>
        <w:pStyle w:val="CaptionCustom"/>
        <w:jc w:val="center"/>
      </w:pPr>
      <w:r>
        <w:t>Figure 6 - Authentification bornée et propagation du contexte tenant.</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317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Contrôle</w:t>
            </w:r>
          </w:p>
        </w:tc>
        <w:tc>
          <w:tcPr>
            <w:tcW w:type="dxa" w:w="6463"/>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Valeur validée</w:t>
            </w:r>
          </w:p>
        </w:tc>
      </w:tr>
      <w:tr>
        <w:tc>
          <w:tcPr>
            <w:tcW w:type="dxa" w:w="317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Fonction</w:t>
            </w:r>
          </w:p>
        </w:tc>
        <w:tc>
          <w:tcPr>
            <w:tcW w:type="dxa" w:w="646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public.bevoac_authenticate_api_key(character varying)</w:t>
            </w:r>
          </w:p>
        </w:tc>
      </w:tr>
      <w:tr>
        <w:tc>
          <w:tcPr>
            <w:tcW w:type="dxa" w:w="317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Propriétaire</w:t>
            </w:r>
          </w:p>
        </w:tc>
        <w:tc>
          <w:tcPr>
            <w:tcW w:type="dxa" w:w="646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bevoacadmin</w:t>
            </w:r>
          </w:p>
        </w:tc>
      </w:tr>
      <w:tr>
        <w:tc>
          <w:tcPr>
            <w:tcW w:type="dxa" w:w="317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Mode</w:t>
            </w:r>
          </w:p>
        </w:tc>
        <w:tc>
          <w:tcPr>
            <w:tcW w:type="dxa" w:w="646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SECURITY DEFINER</w:t>
            </w:r>
          </w:p>
        </w:tc>
      </w:tr>
      <w:tr>
        <w:tc>
          <w:tcPr>
            <w:tcW w:type="dxa" w:w="317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search_path</w:t>
            </w:r>
          </w:p>
        </w:tc>
        <w:tc>
          <w:tcPr>
            <w:tcW w:type="dxa" w:w="646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pg_catalog</w:t>
            </w:r>
          </w:p>
        </w:tc>
      </w:tr>
      <w:tr>
        <w:tc>
          <w:tcPr>
            <w:tcW w:type="dxa" w:w="317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EXECUTE</w:t>
            </w:r>
          </w:p>
        </w:tc>
        <w:tc>
          <w:tcPr>
            <w:tcW w:type="dxa" w:w="646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bevoac_api et owner uniquement</w:t>
            </w:r>
          </w:p>
        </w:tc>
      </w:tr>
      <w:tr>
        <w:tc>
          <w:tcPr>
            <w:tcW w:type="dxa" w:w="317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Accès direct api_keys/tenants par l’API</w:t>
            </w:r>
          </w:p>
        </w:tc>
        <w:tc>
          <w:tcPr>
            <w:tcW w:type="dxa" w:w="646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Refusé</w:t>
            </w:r>
          </w:p>
        </w:tc>
      </w:tr>
      <w:tr>
        <w:tc>
          <w:tcPr>
            <w:tcW w:type="dxa" w:w="317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Résultat</w:t>
            </w:r>
          </w:p>
        </w:tc>
        <w:tc>
          <w:tcPr>
            <w:tcW w:type="dxa" w:w="646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api_key_id, tenant_id, scopes ; 0 ligne si hash inconnu/inactif/expiré</w:t>
            </w:r>
          </w:p>
        </w:tc>
      </w:tr>
    </w:tbl>
    <w:p>
      <w:pPr>
        <w:spacing w:after="20"/>
      </w:pPr>
    </w:p>
    <w:p>
      <w:pPr>
        <w:pStyle w:val="Heading1"/>
        <w:pBdr>
          <w:bottom w:val="single" w:sz="10" w:space="4" w:color="173A5E"/>
        </w:pBdr>
        <w:keepNext/>
      </w:pPr>
      <w:r>
        <w:t>21. RLS runtime-role</w:t>
      </w:r>
    </w:p>
    <w:p>
      <w:pPr>
        <w:spacing w:after="80"/>
      </w:pPr>
      <w:r>
        <w:rPr>
          <w:rFonts w:ascii="Liberation Sans" w:hAnsi="Liberation Sans"/>
          <w:i w:val="0"/>
        </w:rPr>
        <w:t>La migration active ENABLE ROW LEVEL SECURITY et FORCE ROW LEVEL SECURITY sur 15 tables applicatives. schema_migrations reste hors RLS. Les policies utilisent session_user et, pour l’API/worker, bevoac_current_tenant_id().</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368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Métrique</w:t>
            </w:r>
          </w:p>
        </w:tc>
        <w:tc>
          <w:tcPr>
            <w:tcW w:type="dxa" w:w="5953"/>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Résultat validé</w:t>
            </w:r>
          </w:p>
        </w:tc>
      </w:tr>
      <w:tr>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Migrations totales</w:t>
            </w:r>
          </w:p>
        </w:tc>
        <w:tc>
          <w:tcPr>
            <w:tcW w:type="dxa" w:w="595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8</w:t>
            </w:r>
          </w:p>
        </w:tc>
      </w:tr>
      <w:tr>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Tables RLS enabled</w:t>
            </w:r>
          </w:p>
        </w:tc>
        <w:tc>
          <w:tcPr>
            <w:tcW w:type="dxa" w:w="595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15</w:t>
            </w:r>
          </w:p>
        </w:tc>
      </w:tr>
      <w:tr>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Tables RLS forced</w:t>
            </w:r>
          </w:p>
        </w:tc>
        <w:tc>
          <w:tcPr>
            <w:tcW w:type="dxa" w:w="595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15</w:t>
            </w:r>
          </w:p>
        </w:tc>
      </w:tr>
      <w:tr>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Policies</w:t>
            </w:r>
          </w:p>
        </w:tc>
        <w:tc>
          <w:tcPr>
            <w:tcW w:type="dxa" w:w="595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29</w:t>
            </w:r>
          </w:p>
        </w:tc>
      </w:tr>
      <w:tr>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Rôles runtime durcis</w:t>
            </w:r>
          </w:p>
        </w:tc>
        <w:tc>
          <w:tcPr>
            <w:tcW w:type="dxa" w:w="595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6</w:t>
            </w:r>
          </w:p>
        </w:tc>
      </w:tr>
      <w:tr>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Privilèges unitaires</w:t>
            </w:r>
          </w:p>
        </w:tc>
        <w:tc>
          <w:tcPr>
            <w:tcW w:type="dxa" w:w="595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58</w:t>
            </w:r>
          </w:p>
        </w:tc>
      </w:tr>
      <w:tr>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Couples rôle/table</w:t>
            </w:r>
          </w:p>
        </w:tc>
        <w:tc>
          <w:tcPr>
            <w:tcW w:type="dxa" w:w="595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29</w:t>
            </w:r>
          </w:p>
        </w:tc>
      </w:tr>
      <w:tr>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Memberships runtime</w:t>
            </w:r>
          </w:p>
        </w:tc>
        <w:tc>
          <w:tcPr>
            <w:tcW w:type="dxa" w:w="595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0</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FF4DD"/>
            <w:tcBorders>
              <w:top w:val="single" w:sz="6" w:color="B26A00"/>
              <w:left w:val="single" w:sz="10" w:color="B26A00"/>
              <w:bottom w:val="single" w:sz="6" w:color="B26A00"/>
              <w:right w:val="single" w:sz="6" w:color="B26A00"/>
            </w:tcBorders>
          </w:tcPr>
          <w:p>
            <w:pPr>
              <w:spacing w:after="20"/>
            </w:pPr>
            <w:r>
              <w:rPr>
                <w:rFonts w:ascii="Liberation Sans" w:hAnsi="Liberation Sans"/>
                <w:b/>
                <w:color w:val="B26A00"/>
                <w:sz w:val="18"/>
              </w:rPr>
              <w:t xml:space="preserve">PRODUCTION  </w:t>
            </w:r>
            <w:r>
              <w:rPr>
                <w:rFonts w:ascii="Liberation Sans" w:hAnsi="Liberation Sans"/>
                <w:color w:val="102A43"/>
                <w:sz w:val="18"/>
              </w:rPr>
              <w:t>Ces chiffres ont été validés sur une instance PostgreSQL 16.14 jetable et par connexions réelles des six logins. Avant rollout production, contrôler schema_migrations, pg_policies, pg_roles et les PG_USER de chaque Container App.</w:t>
            </w:r>
          </w:p>
        </w:tc>
        <w:trPr>
          <w:tblHeader/>
        </w:trPr>
      </w:tr>
    </w:tbl>
    <w:p>
      <w:pPr>
        <w:spacing w:after="20"/>
      </w:pPr>
    </w:p>
    <w:p>
      <w:pPr>
        <w:pStyle w:val="Heading1"/>
        <w:pBdr>
          <w:bottom w:val="single" w:sz="10" w:space="4" w:color="173A5E"/>
        </w:pBdr>
        <w:keepNext/>
      </w:pPr>
      <w:r>
        <w:t>22. Matrice de privilèges runtime</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26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Rôle</w:t>
            </w:r>
          </w:p>
        </w:tc>
        <w:tc>
          <w:tcPr>
            <w:tcW w:type="dxa" w:w="7370"/>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Tables / opérations</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bevoac_api</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tenants S ; scans I/S ; results S ; idempotency I/S ; outbox I/S/U ; billing I/S/U selon table ; onboarding/scopes I/S/U ; web targets S.</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bevoac_worker</w:t>
            </w:r>
          </w:p>
        </w:tc>
        <w:tc>
          <w:tcPr>
            <w:tcW w:type="dxa" w:w="737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scans S/U ; scan_results I/S/U ; scan_attempts I/S/U ; billing_usage_ledger I/S.</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bevoac_outbox</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outbox_events S/U uniquement.</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bevoac_retention</w:t>
            </w:r>
          </w:p>
        </w:tc>
        <w:tc>
          <w:tcPr>
            <w:tcW w:type="dxa" w:w="737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tenants S ; scans D/S ; idempotency D/S ; onboarding sessions D/S ; retention_audit_log I.</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bevoac_admin_api</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tenants S ; billing snapshots S/U ; billing ledger S ; admin_audit_log I.</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bevoac_operator</w:t>
            </w:r>
          </w:p>
        </w:tc>
        <w:tc>
          <w:tcPr>
            <w:tcW w:type="dxa" w:w="737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tenants I/S ; tenant scopes I/S/U ; web targets I/S/U ; api_keys I sans SELECT.</w:t>
            </w:r>
          </w:p>
        </w:tc>
      </w:tr>
    </w:tbl>
    <w:p>
      <w:pPr>
        <w:spacing w:after="20"/>
      </w:pPr>
    </w:p>
    <w:p>
      <w:pPr>
        <w:spacing w:after="80"/>
      </w:pPr>
      <w:r>
        <w:rPr>
          <w:rFonts w:ascii="Liberation Sans" w:hAnsi="Liberation Sans"/>
          <w:i/>
        </w:rPr>
        <w:t>Légende : I=INSERT, S=SELECT, U=UPDATE, D=DELETE.</w:t>
      </w:r>
    </w:p>
    <w:p>
      <w:pPr>
        <w:pStyle w:val="Heading1"/>
        <w:pBdr>
          <w:bottom w:val="single" w:sz="10" w:space="4" w:color="173A5E"/>
        </w:pBdr>
        <w:keepNext/>
      </w:pPr>
      <w:r>
        <w:t>23. Résultats des tests de denial par login réel</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04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Login</w:t>
            </w:r>
          </w:p>
        </w:tc>
        <w:tc>
          <w:tcPr>
            <w:tcW w:type="dxa" w:w="408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Autorisé</w:t>
            </w:r>
          </w:p>
        </w:tc>
        <w:tc>
          <w:tcPr>
            <w:tcW w:type="dxa" w:w="351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Refusé / invisible</w:t>
            </w:r>
          </w:p>
        </w:tc>
      </w:tr>
      <w:tr>
        <w:tc>
          <w:tcPr>
            <w:tcW w:type="dxa" w:w="204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bevoac_api</w:t>
            </w:r>
          </w:p>
        </w:tc>
        <w:tc>
          <w:tcPr>
            <w:tcW w:type="dxa" w:w="408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Tenant courant, création scan, fonction auth.</w:t>
            </w:r>
          </w:p>
        </w:tc>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0 ligne sans contexte ; autre tenant ; SELECT api_keys ; SET ROLE.</w:t>
            </w:r>
          </w:p>
        </w:tc>
      </w:tr>
      <w:tr>
        <w:tc>
          <w:tcPr>
            <w:tcW w:type="dxa" w:w="204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bevoac_worker</w:t>
            </w:r>
          </w:p>
        </w:tc>
        <w:tc>
          <w:tcPr>
            <w:tcW w:type="dxa" w:w="408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Lire/mettre à jour le tenant courant ; attempts/results/billing.</w:t>
            </w:r>
          </w:p>
        </w:tc>
        <w:tc>
          <w:tcPr>
            <w:tcW w:type="dxa" w:w="351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Autre tenant ; tenants ; fonction auth ; SET ROLE.</w:t>
            </w:r>
          </w:p>
        </w:tc>
      </w:tr>
      <w:tr>
        <w:tc>
          <w:tcPr>
            <w:tcW w:type="dxa" w:w="204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bevoac_outbox</w:t>
            </w:r>
          </w:p>
        </w:tc>
        <w:tc>
          <w:tcPr>
            <w:tcW w:type="dxa" w:w="408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Vue globale outbox ; SELECT/UPDATE.</w:t>
            </w:r>
          </w:p>
        </w:tc>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INSERT outbox ; scans ; fonctions tenant/auth ; SET ROLE.</w:t>
            </w:r>
          </w:p>
        </w:tc>
      </w:tr>
      <w:tr>
        <w:tc>
          <w:tcPr>
            <w:tcW w:type="dxa" w:w="204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bevoac_retention</w:t>
            </w:r>
          </w:p>
        </w:tc>
        <w:tc>
          <w:tcPr>
            <w:tcW w:type="dxa" w:w="408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Vue globale de purge ; DELETE bornés ; audit insert.</w:t>
            </w:r>
          </w:p>
        </w:tc>
        <w:tc>
          <w:tcPr>
            <w:tcW w:type="dxa" w:w="351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outbox ; UPDATE tenants ; fonctions tenant/auth ; SET ROLE.</w:t>
            </w:r>
          </w:p>
        </w:tc>
      </w:tr>
      <w:tr>
        <w:tc>
          <w:tcPr>
            <w:tcW w:type="dxa" w:w="204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bevoac_admin_api</w:t>
            </w:r>
          </w:p>
        </w:tc>
        <w:tc>
          <w:tcPr>
            <w:tcW w:type="dxa" w:w="408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Vue globale billing ; update snapshot ; audit insert.</w:t>
            </w:r>
          </w:p>
        </w:tc>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Lecture audit ; insert ledger ; update tenant ; scans ; fonctions tenant/auth.</w:t>
            </w:r>
          </w:p>
        </w:tc>
      </w:tr>
      <w:tr>
        <w:tc>
          <w:tcPr>
            <w:tcW w:type="dxa" w:w="204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bevoac_operator</w:t>
            </w:r>
          </w:p>
        </w:tc>
        <w:tc>
          <w:tcPr>
            <w:tcW w:type="dxa" w:w="408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Créer tenant/scopes/targets/clés ; gérer scopes/targets.</w:t>
            </w:r>
          </w:p>
        </w:tc>
        <w:tc>
          <w:tcPr>
            <w:tcW w:type="dxa" w:w="351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Lire api_keys ; update tenant ; delete target ; scans ; fonctions tenant/auth.</w:t>
            </w:r>
          </w:p>
        </w:tc>
      </w:tr>
    </w:tbl>
    <w:p>
      <w:pPr>
        <w:pageBreakBefore/>
        <w:spacing w:before="2100"/>
        <w:jc w:val="center"/>
      </w:pPr>
      <w:r>
        <w:rPr>
          <w:rFonts w:ascii="Liberation Sans" w:hAnsi="Liberation Sans"/>
          <w:b/>
          <w:color w:val="007C91"/>
          <w:sz w:val="24"/>
        </w:rPr>
        <w:t>PARTIE 4</w:t>
      </w:r>
    </w:p>
    <w:p>
      <w:pPr>
        <w:jc w:val="center"/>
      </w:pPr>
      <w:r>
        <w:rPr>
          <w:rFonts w:ascii="Liberation Sans" w:hAnsi="Liberation Sans"/>
          <w:b/>
          <w:color w:val="173A5E"/>
          <w:sz w:val="48"/>
        </w:rPr>
        <w:t>API, ONBOARDING, MODULES ET REPORTING</w:t>
      </w:r>
    </w:p>
    <w:p>
      <w:pPr>
        <w:jc w:val="center"/>
      </w:pPr>
      <w:r>
        <w:rPr>
          <w:rFonts w:ascii="Liberation Sans" w:hAnsi="Liberation Sans"/>
          <w:i/>
          <w:color w:val="5B6770"/>
          <w:sz w:val="23"/>
        </w:rPr>
        <w:t>Fonctionnement métier présenté de façon exploitable</w:t>
      </w:r>
    </w:p>
    <w:p>
      <w:r>
        <w:br w:type="page"/>
      </w:r>
    </w:p>
    <w:p>
      <w:pPr>
        <w:pStyle w:val="Heading1"/>
        <w:pBdr>
          <w:bottom w:val="single" w:sz="10" w:space="4" w:color="173A5E"/>
        </w:pBdr>
        <w:keepNext/>
      </w:pPr>
      <w:r>
        <w:t>24. Endpoints et scopes API</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351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Endpoint</w:t>
            </w:r>
          </w:p>
        </w:tc>
        <w:tc>
          <w:tcPr>
            <w:tcW w:type="dxa" w:w="226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Scope / auth</w:t>
            </w:r>
          </w:p>
        </w:tc>
        <w:tc>
          <w:tcPr>
            <w:tcW w:type="dxa" w:w="385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Usage</w:t>
            </w:r>
          </w:p>
        </w:tc>
      </w:tr>
      <w:tr>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GET /v1/health</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APIM selon exposition</w:t>
            </w:r>
          </w:p>
        </w:tc>
        <w:tc>
          <w:tcPr>
            <w:tcW w:type="dxa" w:w="385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Santé API ; Service Bus peut être not_checked.</w:t>
            </w:r>
          </w:p>
        </w:tc>
      </w:tr>
      <w:tr>
        <w:tc>
          <w:tcPr>
            <w:tcW w:type="dxa" w:w="351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POST /v1/scans</w:t>
            </w:r>
          </w:p>
        </w:tc>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scan:create</w:t>
            </w:r>
          </w:p>
        </w:tc>
        <w:tc>
          <w:tcPr>
            <w:tcW w:type="dxa" w:w="385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Créer un scan ; tenantId/customerId interdits dans le body.</w:t>
            </w:r>
          </w:p>
        </w:tc>
      </w:tr>
      <w:tr>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GET /v1/scans</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scan:read</w:t>
            </w:r>
          </w:p>
        </w:tc>
        <w:tc>
          <w:tcPr>
            <w:tcW w:type="dxa" w:w="385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Lister les scans du tenant.</w:t>
            </w:r>
          </w:p>
        </w:tc>
      </w:tr>
      <w:tr>
        <w:tc>
          <w:tcPr>
            <w:tcW w:type="dxa" w:w="351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GET /v1/scans/:scanId</w:t>
            </w:r>
          </w:p>
        </w:tc>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scan:read</w:t>
            </w:r>
          </w:p>
        </w:tc>
        <w:tc>
          <w:tcPr>
            <w:tcW w:type="dxa" w:w="385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Métadonnées/statut ; pas de JSON brut par défaut.</w:t>
            </w:r>
          </w:p>
        </w:tc>
      </w:tr>
      <w:tr>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GET /v1/scans/:scanId/result</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scan:result:read</w:t>
            </w:r>
          </w:p>
        </w:tc>
        <w:tc>
          <w:tcPr>
            <w:tcW w:type="dxa" w:w="385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Résultat JSON complet explicite.</w:t>
            </w:r>
          </w:p>
        </w:tc>
      </w:tr>
      <w:tr>
        <w:tc>
          <w:tcPr>
            <w:tcW w:type="dxa" w:w="351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GET /v1/scans/:scanId/pdf</w:t>
            </w:r>
          </w:p>
        </w:tc>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scan:pdf:read</w:t>
            </w:r>
          </w:p>
        </w:tc>
        <w:tc>
          <w:tcPr>
            <w:tcW w:type="dxa" w:w="385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PDF borné.</w:t>
            </w:r>
          </w:p>
        </w:tc>
      </w:tr>
      <w:tr>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GET /v1/billing/overview</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billing:read</w:t>
            </w:r>
          </w:p>
        </w:tc>
        <w:tc>
          <w:tcPr>
            <w:tcW w:type="dxa" w:w="385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Quota et consommation.</w:t>
            </w:r>
          </w:p>
        </w:tc>
      </w:tr>
      <w:tr>
        <w:tc>
          <w:tcPr>
            <w:tcW w:type="dxa" w:w="351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GET /v1/billing/current-month/scans</w:t>
            </w:r>
          </w:p>
        </w:tc>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billing:read</w:t>
            </w:r>
          </w:p>
        </w:tc>
        <w:tc>
          <w:tcPr>
            <w:tcW w:type="dxa" w:w="385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Détail du mois.</w:t>
            </w:r>
          </w:p>
        </w:tc>
      </w:tr>
      <w:tr>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POST /v1/onboarding/azure/start</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onboarding:write</w:t>
            </w:r>
          </w:p>
        </w:tc>
        <w:tc>
          <w:tcPr>
            <w:tcW w:type="dxa" w:w="385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Démarrer le consentement.</w:t>
            </w:r>
          </w:p>
        </w:tc>
      </w:tr>
      <w:tr>
        <w:tc>
          <w:tcPr>
            <w:tcW w:type="dxa" w:w="351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GET /v1/onboarding/azure/status</w:t>
            </w:r>
          </w:p>
        </w:tc>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onboarding:read</w:t>
            </w:r>
          </w:p>
        </w:tc>
        <w:tc>
          <w:tcPr>
            <w:tcW w:type="dxa" w:w="385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Statut.</w:t>
            </w:r>
          </w:p>
        </w:tc>
      </w:tr>
      <w:tr>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POST /v1/onboarding/azure/verify</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onboarding:write</w:t>
            </w:r>
          </w:p>
        </w:tc>
        <w:tc>
          <w:tcPr>
            <w:tcW w:type="dxa" w:w="385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Revérifier RBAC.</w:t>
            </w:r>
          </w:p>
        </w:tc>
      </w:tr>
      <w:tr>
        <w:tc>
          <w:tcPr>
            <w:tcW w:type="dxa" w:w="351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GET /v1/onboarding/azure/callback</w:t>
            </w:r>
          </w:p>
        </w:tc>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state HMAC</w:t>
            </w:r>
          </w:p>
        </w:tc>
        <w:tc>
          <w:tcPr>
            <w:tcW w:type="dxa" w:w="385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Callback Microsoft.</w:t>
            </w:r>
          </w:p>
        </w:tc>
      </w:tr>
      <w:tr>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/v1/admin/billing/*</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OIDC admin</w:t>
            </w:r>
          </w:p>
        </w:tc>
        <w:tc>
          <w:tcPr>
            <w:tcW w:type="dxa" w:w="385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Vue et clôture billing admin.</w:t>
            </w:r>
          </w:p>
        </w:tc>
      </w:tr>
    </w:tbl>
    <w:p>
      <w:pPr>
        <w:spacing w:after="20"/>
      </w:pPr>
    </w:p>
    <w:p>
      <w:pPr>
        <w:pStyle w:val="Heading1"/>
        <w:pBdr>
          <w:bottom w:val="single" w:sz="10" w:space="4" w:color="173A5E"/>
        </w:pBdr>
        <w:keepNext/>
      </w:pPr>
      <w:r>
        <w:t>25. Onboarding Azure sécurisé</w:t>
      </w:r>
    </w:p>
    <w:p>
      <w:pPr>
        <w:pStyle w:val="ListBullet"/>
        <w:spacing w:after="50"/>
      </w:pPr>
      <w:r>
        <w:rPr>
          <w:rFonts w:ascii="Liberation Sans" w:hAnsi="Liberation Sans"/>
        </w:rPr>
        <w:t>L’API crée une session courte, un nonce et un state signé HMAC.</w:t>
      </w:r>
    </w:p>
    <w:p>
      <w:pPr>
        <w:pStyle w:val="ListBullet"/>
        <w:spacing w:after="50"/>
      </w:pPr>
      <w:r>
        <w:rPr>
          <w:rFonts w:ascii="Liberation Sans" w:hAnsi="Liberation Sans"/>
        </w:rPr>
        <w:t>Le callback valide le state, l’expiration et l’anti-replay.</w:t>
      </w:r>
    </w:p>
    <w:p>
      <w:pPr>
        <w:pStyle w:val="ListBullet"/>
        <w:spacing w:after="50"/>
      </w:pPr>
      <w:r>
        <w:rPr>
          <w:rFonts w:ascii="Liberation Sans" w:hAnsi="Liberation Sans"/>
        </w:rPr>
        <w:t>Le tenant signé contrôle la transaction DB ; le callback ne fait pas confiance à un tenant fourni par le navigateur.</w:t>
      </w:r>
    </w:p>
    <w:p>
      <w:pPr>
        <w:pStyle w:val="ListBullet"/>
        <w:spacing w:after="50"/>
      </w:pPr>
      <w:r>
        <w:rPr>
          <w:rFonts w:ascii="Liberation Sans" w:hAnsi="Liberation Sans"/>
        </w:rPr>
        <w:t>Les subscriptions ne deviennent scannables qu’après vérification RBAC et écriture dans tenant_azure_scopes.</w:t>
      </w:r>
    </w:p>
    <w:p>
      <w:pPr>
        <w:pStyle w:val="ListBullet"/>
        <w:spacing w:after="50"/>
      </w:pPr>
      <w:r>
        <w:rPr>
          <w:rFonts w:ascii="Liberation Sans" w:hAnsi="Liberation Sans"/>
        </w:rPr>
        <w:t>COMPLETED/ACTIVE/VERIFIED autorise ; ACTION_REQUIRED/NEEDS_RBAC demande une action client ; FAILED bloque.</w:t>
      </w:r>
    </w:p>
    <w:tbl>
      <w:tblPr>
        <w:tblW w:type="auto" w:w="0"/>
        <w:jc w:val="center"/>
        <w:tblLayout w:type="fixed"/>
        <w:tblLook w:firstColumn="1" w:firstRow="1" w:lastColumn="0" w:lastRow="0" w:noHBand="0" w:noVBand="1" w:val="04A0"/>
      </w:tblPr>
      <w:tblGrid>
        <w:gridCol w:w="10036"/>
      </w:tblGrid>
      <w:tr>
        <w:tc>
          <w:tcPr>
            <w:tcW w:type="dxa" w:w="9751"/>
            <w:shd w:fill="EAF3F8"/>
            <w:tcBorders>
              <w:top w:val="single" w:sz="6" w:color="173A5E"/>
              <w:left w:val="single" w:sz="10" w:color="173A5E"/>
              <w:bottom w:val="single" w:sz="6" w:color="173A5E"/>
              <w:right w:val="single" w:sz="6" w:color="173A5E"/>
            </w:tcBorders>
          </w:tcPr>
          <w:p>
            <w:pPr>
              <w:spacing w:after="20"/>
            </w:pPr>
            <w:r>
              <w:rPr>
                <w:rFonts w:ascii="Liberation Sans" w:hAnsi="Liberation Sans"/>
                <w:b/>
                <w:color w:val="173A5E"/>
                <w:sz w:val="18"/>
              </w:rPr>
              <w:t xml:space="preserve">OIDC ADMIN  </w:t>
            </w:r>
            <w:r>
              <w:rPr>
                <w:rFonts w:ascii="Liberation Sans" w:hAnsi="Liberation Sans"/>
                <w:color w:val="102A43"/>
                <w:sz w:val="18"/>
              </w:rPr>
              <w:t>L’App Registration admin doit émettre des tokens v2.0 avec aud, iss et rôles/scopes cohérents. Le shared secret admin est limité au staging/break-glass explicitement autorisé.</w:t>
            </w:r>
          </w:p>
        </w:tc>
        <w:trPr>
          <w:tblHeader/>
        </w:trPr>
      </w:tr>
    </w:tbl>
    <w:p>
      <w:pPr>
        <w:spacing w:after="20"/>
      </w:pPr>
    </w:p>
    <w:p>
      <w:pPr>
        <w:pStyle w:val="Heading1"/>
        <w:pBdr>
          <w:bottom w:val="single" w:sz="10" w:space="4" w:color="173A5E"/>
        </w:pBdr>
        <w:keepNext/>
      </w:pPr>
      <w:r>
        <w:t>26. Catalogue des modules</w:t>
      </w:r>
    </w:p>
    <w:p>
      <w:pPr>
        <w:jc w:val="center"/>
      </w:pPr>
      <w:r>
        <w:drawing>
          <wp:inline xmlns:a="http://schemas.openxmlformats.org/drawingml/2006/main" xmlns:pic="http://schemas.openxmlformats.org/drawingml/2006/picture">
            <wp:extent cx="5832000" cy="3686234"/>
            <wp:docPr id="7" name="Picture 7" descr="Image: image7.png"/>
            <wp:cNvGraphicFramePr>
              <a:graphicFrameLocks noChangeAspect="1"/>
            </wp:cNvGraphicFramePr>
            <a:graphic>
              <a:graphicData uri="http://schemas.openxmlformats.org/drawingml/2006/picture">
                <pic:pic>
                  <pic:nvPicPr>
                    <pic:cNvPr id="0" name="module_catalog.png"/>
                    <pic:cNvPicPr/>
                  </pic:nvPicPr>
                  <pic:blipFill>
                    <a:blip r:embed="rId17"/>
                    <a:stretch>
                      <a:fillRect/>
                    </a:stretch>
                  </pic:blipFill>
                  <pic:spPr>
                    <a:xfrm>
                      <a:off x="0" y="0"/>
                      <a:ext cx="5832000" cy="3686234"/>
                    </a:xfrm>
                    <a:prstGeom prst="rect"/>
                  </pic:spPr>
                </pic:pic>
              </a:graphicData>
            </a:graphic>
          </wp:inline>
        </w:drawing>
      </w:r>
    </w:p>
    <w:p>
      <w:pPr>
        <w:pStyle w:val="CaptionCustom"/>
        <w:jc w:val="center"/>
      </w:pPr>
      <w:r>
        <w:t>Figure 7 - Familles de modules et pipeline de normalisation/reporting.</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757"/>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Domaine</w:t>
            </w:r>
          </w:p>
        </w:tc>
        <w:tc>
          <w:tcPr>
            <w:tcW w:type="dxa" w:w="306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Modules</w:t>
            </w:r>
          </w:p>
        </w:tc>
        <w:tc>
          <w:tcPr>
            <w:tcW w:type="dxa" w:w="4819"/>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Contrôles principaux</w:t>
            </w:r>
          </w:p>
        </w:tc>
      </w:tr>
      <w:tr>
        <w:tc>
          <w:tcPr>
            <w:tcW w:type="dxa" w:w="1757"/>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Web</w:t>
            </w:r>
          </w:p>
        </w:tc>
        <w:tc>
          <w:tcPr>
            <w:tcW w:type="dxa" w:w="30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web</w:t>
            </w:r>
          </w:p>
        </w:tc>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Headers, TLS, DNS, nmap, CSP, HSTS, ports exposés.</w:t>
            </w:r>
          </w:p>
        </w:tc>
      </w:tr>
      <w:tr>
        <w:tc>
          <w:tcPr>
            <w:tcW w:type="dxa" w:w="1757"/>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Entra</w:t>
            </w:r>
          </w:p>
        </w:tc>
        <w:tc>
          <w:tcPr>
            <w:tcW w:type="dxa" w:w="306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entra, entra_b2b, identity_admin_posture</w:t>
            </w:r>
          </w:p>
        </w:tc>
        <w:tc>
          <w:tcPr>
            <w:tcW w:type="dxa" w:w="481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MFA, Conditional Access, legacy auth, admins, invités, risques, dormance.</w:t>
            </w:r>
          </w:p>
        </w:tc>
      </w:tr>
      <w:tr>
        <w:tc>
          <w:tcPr>
            <w:tcW w:type="dxa" w:w="1757"/>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Compute/réseau</w:t>
            </w:r>
          </w:p>
        </w:tc>
        <w:tc>
          <w:tcPr>
            <w:tcW w:type="dxa" w:w="30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vms, nsg, exposure_map</w:t>
            </w:r>
          </w:p>
        </w:tc>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Disques, identity, Trusted Launch, SSH/RDP, expositions publiques.</w:t>
            </w:r>
          </w:p>
        </w:tc>
      </w:tr>
      <w:tr>
        <w:tc>
          <w:tcPr>
            <w:tcW w:type="dxa" w:w="1757"/>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PaaS</w:t>
            </w:r>
          </w:p>
        </w:tc>
        <w:tc>
          <w:tcPr>
            <w:tcW w:type="dxa" w:w="306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storage, keyvault, db, appservices, private_link_coverage</w:t>
            </w:r>
          </w:p>
        </w:tc>
        <w:tc>
          <w:tcPr>
            <w:tcW w:type="dxa" w:w="481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Accès public, TLS, private endpoints, auth locale, FTP/basic auth.</w:t>
            </w:r>
          </w:p>
        </w:tc>
      </w:tr>
      <w:tr>
        <w:tc>
          <w:tcPr>
            <w:tcW w:type="dxa" w:w="1757"/>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Gouvernance</w:t>
            </w:r>
          </w:p>
        </w:tc>
        <w:tc>
          <w:tcPr>
            <w:tcW w:type="dxa" w:w="30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logs, governance, policy_compliance, diagnostic_coverage</w:t>
            </w:r>
          </w:p>
        </w:tc>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Logs, rétention, Defender, Azure Policy, diagnostics.</w:t>
            </w:r>
          </w:p>
        </w:tc>
      </w:tr>
      <w:tr>
        <w:tc>
          <w:tcPr>
            <w:tcW w:type="dxa" w:w="1757"/>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Sécurité/IAM</w:t>
            </w:r>
          </w:p>
        </w:tc>
        <w:tc>
          <w:tcPr>
            <w:tcW w:type="dxa" w:w="306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azure_rbac_exposure, encryption_coverage</w:t>
            </w:r>
          </w:p>
        </w:tc>
        <w:tc>
          <w:tcPr>
            <w:tcW w:type="dxa" w:w="481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Rôles larges, chiffrement, couverture.</w:t>
            </w:r>
          </w:p>
        </w:tc>
      </w:tr>
      <w:tr>
        <w:tc>
          <w:tcPr>
            <w:tcW w:type="dxa" w:w="1757"/>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Ops/FinOps</w:t>
            </w:r>
          </w:p>
        </w:tc>
        <w:tc>
          <w:tcPr>
            <w:tcW w:type="dxa" w:w="30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finops, tags</w:t>
            </w:r>
          </w:p>
        </w:tc>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Ressources orphelines, coûts évitables, tagging.</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FF4DD"/>
            <w:tcBorders>
              <w:top w:val="single" w:sz="6" w:color="B26A00"/>
              <w:left w:val="single" w:sz="10" w:color="B26A00"/>
              <w:bottom w:val="single" w:sz="6" w:color="B26A00"/>
              <w:right w:val="single" w:sz="6" w:color="B26A00"/>
            </w:tcBorders>
          </w:tcPr>
          <w:p>
            <w:pPr>
              <w:spacing w:after="20"/>
            </w:pPr>
            <w:r>
              <w:rPr>
                <w:rFonts w:ascii="Liberation Sans" w:hAnsi="Liberation Sans"/>
                <w:b/>
                <w:color w:val="B26A00"/>
                <w:sz w:val="18"/>
              </w:rPr>
              <w:t xml:space="preserve">PÉRIMÈTRE  </w:t>
            </w:r>
            <w:r>
              <w:rPr>
                <w:rFonts w:ascii="Liberation Sans" w:hAnsi="Liberation Sans"/>
                <w:color w:val="102A43"/>
                <w:sz w:val="18"/>
              </w:rPr>
              <w:t>Le runtime livré est Azure-first. AWS/GCP restent roadmap. Ne pas présenter les fondations multi-cloud comme des modules exécutables.</w:t>
            </w:r>
          </w:p>
        </w:tc>
        <w:trPr>
          <w:tblHeader/>
        </w:trPr>
      </w:tr>
    </w:tbl>
    <w:p>
      <w:pPr>
        <w:spacing w:after="20"/>
      </w:pPr>
    </w:p>
    <w:p>
      <w:pPr>
        <w:pStyle w:val="Heading1"/>
        <w:pBdr>
          <w:bottom w:val="single" w:sz="10" w:space="4" w:color="173A5E"/>
        </w:pBdr>
        <w:keepNext/>
      </w:pPr>
      <w:r>
        <w:t>27. Billing, quotas et backpressure</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1984"/>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Moment</w:t>
            </w:r>
          </w:p>
        </w:tc>
        <w:tc>
          <w:tcPr>
            <w:tcW w:type="dxa" w:w="238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scan.status</w:t>
            </w:r>
          </w:p>
        </w:tc>
        <w:tc>
          <w:tcPr>
            <w:tcW w:type="dxa" w:w="238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billing_state</w:t>
            </w:r>
          </w:p>
        </w:tc>
        <w:tc>
          <w:tcPr>
            <w:tcW w:type="dxa" w:w="289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Ledger</w:t>
            </w:r>
          </w:p>
        </w:tc>
      </w:tr>
      <w:tr>
        <w:tc>
          <w:tcPr>
            <w:tcW w:type="dxa" w:w="198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Création</w:t>
            </w:r>
          </w:p>
        </w:tc>
        <w:tc>
          <w:tcPr>
            <w:tcW w:type="dxa" w:w="238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PENDING</w:t>
            </w:r>
          </w:p>
        </w:tc>
        <w:tc>
          <w:tcPr>
            <w:tcW w:type="dxa" w:w="238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RESERVED</w:t>
            </w:r>
          </w:p>
        </w:tc>
        <w:tc>
          <w:tcPr>
            <w:tcW w:type="dxa" w:w="289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scan_reserved</w:t>
            </w:r>
          </w:p>
        </w:tc>
      </w:tr>
      <w:tr>
        <w:tc>
          <w:tcPr>
            <w:tcW w:type="dxa" w:w="198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Traitement</w:t>
            </w:r>
          </w:p>
        </w:tc>
        <w:tc>
          <w:tcPr>
            <w:tcW w:type="dxa" w:w="238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IN_PROGRESS</w:t>
            </w:r>
          </w:p>
        </w:tc>
        <w:tc>
          <w:tcPr>
            <w:tcW w:type="dxa" w:w="238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RESERVED</w:t>
            </w:r>
          </w:p>
        </w:tc>
        <w:tc>
          <w:tcPr>
            <w:tcW w:type="dxa" w:w="289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scan_reserved</w:t>
            </w:r>
          </w:p>
        </w:tc>
      </w:tr>
      <w:tr>
        <w:tc>
          <w:tcPr>
            <w:tcW w:type="dxa" w:w="198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Succès</w:t>
            </w:r>
          </w:p>
        </w:tc>
        <w:tc>
          <w:tcPr>
            <w:tcW w:type="dxa" w:w="238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DONE</w:t>
            </w:r>
          </w:p>
        </w:tc>
        <w:tc>
          <w:tcPr>
            <w:tcW w:type="dxa" w:w="238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CONSUMED</w:t>
            </w:r>
          </w:p>
        </w:tc>
        <w:tc>
          <w:tcPr>
            <w:tcW w:type="dxa" w:w="289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scan_reserved + scan_consumed</w:t>
            </w:r>
          </w:p>
        </w:tc>
      </w:tr>
      <w:tr>
        <w:tc>
          <w:tcPr>
            <w:tcW w:type="dxa" w:w="198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Échec contrôlé</w:t>
            </w:r>
          </w:p>
        </w:tc>
        <w:tc>
          <w:tcPr>
            <w:tcW w:type="dxa" w:w="238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FAILED</w:t>
            </w:r>
          </w:p>
        </w:tc>
        <w:tc>
          <w:tcPr>
            <w:tcW w:type="dxa" w:w="238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REFUNDED</w:t>
            </w:r>
          </w:p>
        </w:tc>
        <w:tc>
          <w:tcPr>
            <w:tcW w:type="dxa" w:w="289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scan_reserved + scan_refunded</w:t>
            </w:r>
          </w:p>
        </w:tc>
      </w:tr>
    </w:tbl>
    <w:p>
      <w:pPr>
        <w:spacing w:after="20"/>
      </w:pPr>
    </w:p>
    <w:p>
      <w:pPr>
        <w:pStyle w:val="ListBullet"/>
        <w:spacing w:after="50"/>
      </w:pPr>
      <w:r>
        <w:rPr>
          <w:rFonts w:ascii="Liberation Sans" w:hAnsi="Liberation Sans"/>
        </w:rPr>
        <w:t>Les quotas mensuels et limites de scans actifs produisent 429 lorsque la backpressure est volontaire.</w:t>
      </w:r>
    </w:p>
    <w:p>
      <w:pPr>
        <w:pStyle w:val="ListBullet"/>
        <w:spacing w:after="50"/>
      </w:pPr>
      <w:r>
        <w:rPr>
          <w:rFonts w:ascii="Liberation Sans" w:hAnsi="Liberation Sans"/>
        </w:rPr>
        <w:t>Le preflight ressources bloque un scan infra dépassant la limite du plan avant une exécution coûteuse.</w:t>
      </w:r>
    </w:p>
    <w:p>
      <w:pPr>
        <w:pStyle w:val="ListBullet"/>
        <w:spacing w:after="50"/>
      </w:pPr>
      <w:r>
        <w:rPr>
          <w:rFonts w:ascii="Liberation Sans" w:hAnsi="Liberation Sans"/>
        </w:rPr>
        <w:t>Le backfill historique reste dry-run par défaut ; --apply seulement après revue et sauvegarde.</w:t>
      </w:r>
    </w:p>
    <w:p>
      <w:pPr>
        <w:pStyle w:val="Heading1"/>
        <w:pBdr>
          <w:bottom w:val="single" w:sz="10" w:space="4" w:color="173A5E"/>
        </w:pBdr>
        <w:keepNext/>
      </w:pPr>
      <w:r>
        <w:t>28. Résultat JSON et PDF</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83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Livrable</w:t>
            </w:r>
          </w:p>
        </w:tc>
        <w:tc>
          <w:tcPr>
            <w:tcW w:type="dxa" w:w="6803"/>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Rôle</w:t>
            </w:r>
          </w:p>
        </w:tc>
      </w:tr>
      <w:tr>
        <w:tc>
          <w:tcPr>
            <w:tcW w:type="dxa" w:w="283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JSON explicite /result</w:t>
            </w:r>
          </w:p>
        </w:tc>
        <w:tc>
          <w:tcPr>
            <w:tcW w:type="dxa" w:w="680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Source exhaustive : findings, evidence, timings, summary, hash, KPI scorecard.</w:t>
            </w:r>
          </w:p>
        </w:tc>
      </w:tr>
      <w:tr>
        <w:tc>
          <w:tcPr>
            <w:tcW w:type="dxa" w:w="283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GET scan metadata</w:t>
            </w:r>
          </w:p>
        </w:tc>
        <w:tc>
          <w:tcPr>
            <w:tcW w:type="dxa" w:w="680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Statut et résumé ; pas de gros JSON par défaut.</w:t>
            </w:r>
          </w:p>
        </w:tc>
      </w:tr>
      <w:tr>
        <w:tc>
          <w:tcPr>
            <w:tcW w:type="dxa" w:w="283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PDF</w:t>
            </w:r>
          </w:p>
        </w:tc>
        <w:tc>
          <w:tcPr>
            <w:tcW w:type="dxa" w:w="680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Rendu borné exécutif/technique : synthèse, risques, remédiations, evidence et KPI.</w:t>
            </w:r>
          </w:p>
        </w:tc>
      </w:tr>
    </w:tbl>
    <w:p>
      <w:pPr>
        <w:spacing w:after="20"/>
      </w:pPr>
    </w:p>
    <w:p>
      <w:r>
        <w:rPr>
          <w:rFonts w:ascii="Liberation Sans" w:hAnsi="Liberation Sans"/>
          <w:b/>
          <w:color w:val="2F6B8A"/>
          <w:sz w:val="18"/>
        </w:rPr>
        <w:t>Validation reporting</w:t>
      </w:r>
    </w:p>
    <w:p>
      <w:pPr>
        <w:spacing w:after="40"/>
      </w:pPr>
      <w:r>
        <w:rPr>
          <w:rFonts w:ascii="Liberation Sans" w:hAnsi="Liberation Sans"/>
          <w:b/>
          <w:color w:val="007C91"/>
          <w:sz w:val="20"/>
        </w:rPr>
        <w:t xml:space="preserve">☐ </w:t>
      </w:r>
      <w:r>
        <w:rPr>
          <w:rFonts w:ascii="Liberation Sans" w:hAnsi="Liberation Sans"/>
          <w:sz w:val="18"/>
        </w:rPr>
        <w:t>HTTP 200 et Content-Type application/pdf.</w:t>
      </w:r>
    </w:p>
    <w:p>
      <w:pPr>
        <w:spacing w:after="40"/>
      </w:pPr>
      <w:r>
        <w:rPr>
          <w:rFonts w:ascii="Liberation Sans" w:hAnsi="Liberation Sans"/>
          <w:b/>
          <w:color w:val="007C91"/>
          <w:sz w:val="20"/>
        </w:rPr>
        <w:t xml:space="preserve">☐ </w:t>
      </w:r>
      <w:r>
        <w:rPr>
          <w:rFonts w:ascii="Liberation Sans" w:hAnsi="Liberation Sans"/>
          <w:sz w:val="18"/>
        </w:rPr>
        <w:t>PDF lisible, taille raisonnable, hash SHA-256 archivé.</w:t>
      </w:r>
    </w:p>
    <w:p>
      <w:pPr>
        <w:spacing w:after="40"/>
      </w:pPr>
      <w:r>
        <w:rPr>
          <w:rFonts w:ascii="Liberation Sans" w:hAnsi="Liberation Sans"/>
          <w:b/>
          <w:color w:val="007C91"/>
          <w:sz w:val="20"/>
        </w:rPr>
        <w:t xml:space="preserve">☐ </w:t>
      </w:r>
      <w:r>
        <w:rPr>
          <w:rFonts w:ascii="Liberation Sans" w:hAnsi="Liberation Sans"/>
          <w:sz w:val="18"/>
        </w:rPr>
        <w:t>Aucune API key, token, mot de passe ou valeur Key Vault.</w:t>
      </w:r>
    </w:p>
    <w:p>
      <w:pPr>
        <w:spacing w:after="40"/>
      </w:pPr>
      <w:r>
        <w:rPr>
          <w:rFonts w:ascii="Liberation Sans" w:hAnsi="Liberation Sans"/>
          <w:b/>
          <w:color w:val="007C91"/>
          <w:sz w:val="20"/>
        </w:rPr>
        <w:t xml:space="preserve">☐ </w:t>
      </w:r>
      <w:r>
        <w:rPr>
          <w:rFonts w:ascii="Liberation Sans" w:hAnsi="Liberation Sans"/>
          <w:sz w:val="18"/>
        </w:rPr>
        <w:t>JSON resultSha256 et resultSizeBytes cohérents.</w:t>
      </w:r>
    </w:p>
    <w:p>
      <w:pPr>
        <w:spacing w:after="40"/>
      </w:pPr>
      <w:r>
        <w:rPr>
          <w:rFonts w:ascii="Liberation Sans" w:hAnsi="Liberation Sans"/>
          <w:b/>
          <w:color w:val="007C91"/>
          <w:sz w:val="20"/>
        </w:rPr>
        <w:t xml:space="preserve">☐ </w:t>
      </w:r>
      <w:r>
        <w:rPr>
          <w:rFonts w:ascii="Liberation Sans" w:hAnsi="Liberation Sans"/>
          <w:sz w:val="18"/>
        </w:rPr>
        <w:t>KPI Scorecard présente lorsque des KPI existent.</w:t>
      </w:r>
    </w:p>
    <w:p>
      <w:pPr>
        <w:pageBreakBefore/>
        <w:spacing w:before="2100"/>
        <w:jc w:val="center"/>
      </w:pPr>
      <w:r>
        <w:rPr>
          <w:rFonts w:ascii="Liberation Sans" w:hAnsi="Liberation Sans"/>
          <w:b/>
          <w:color w:val="007C91"/>
          <w:sz w:val="24"/>
        </w:rPr>
        <w:t>PARTIE 5</w:t>
      </w:r>
    </w:p>
    <w:p>
      <w:pPr>
        <w:jc w:val="center"/>
      </w:pPr>
      <w:r>
        <w:rPr>
          <w:rFonts w:ascii="Liberation Sans" w:hAnsi="Liberation Sans"/>
          <w:b/>
          <w:color w:val="173A5E"/>
          <w:sz w:val="48"/>
        </w:rPr>
        <w:t>LIVRAISON, CI ET RELEASE</w:t>
      </w:r>
    </w:p>
    <w:p>
      <w:pPr>
        <w:jc w:val="center"/>
      </w:pPr>
      <w:r>
        <w:rPr>
          <w:rFonts w:ascii="Liberation Sans" w:hAnsi="Liberation Sans"/>
          <w:i/>
          <w:color w:val="5B6770"/>
          <w:sz w:val="23"/>
        </w:rPr>
        <w:t>Rendre la sécurité reproductible et déployer sans surprise</w:t>
      </w:r>
    </w:p>
    <w:p>
      <w:r>
        <w:br w:type="page"/>
      </w:r>
    </w:p>
    <w:p>
      <w:pPr>
        <w:pStyle w:val="Heading1"/>
        <w:pBdr>
          <w:bottom w:val="single" w:sz="10" w:space="4" w:color="173A5E"/>
        </w:pBdr>
        <w:keepNext/>
      </w:pPr>
      <w:r>
        <w:t>29. Gates de release</w:t>
      </w:r>
    </w:p>
    <w:p>
      <w:pPr>
        <w:jc w:val="center"/>
      </w:pPr>
      <w:r>
        <w:drawing>
          <wp:inline xmlns:a="http://schemas.openxmlformats.org/drawingml/2006/main" xmlns:pic="http://schemas.openxmlformats.org/drawingml/2006/picture">
            <wp:extent cx="5688000" cy="1723503"/>
            <wp:docPr id="8" name="Picture 8" descr="Image: image8.png"/>
            <wp:cNvGraphicFramePr>
              <a:graphicFrameLocks noChangeAspect="1"/>
            </wp:cNvGraphicFramePr>
            <a:graphic>
              <a:graphicData uri="http://schemas.openxmlformats.org/drawingml/2006/picture">
                <pic:pic>
                  <pic:nvPicPr>
                    <pic:cNvPr id="0" name="release_gates.png"/>
                    <pic:cNvPicPr/>
                  </pic:nvPicPr>
                  <pic:blipFill>
                    <a:blip r:embed="rId18"/>
                    <a:stretch>
                      <a:fillRect/>
                    </a:stretch>
                  </pic:blipFill>
                  <pic:spPr>
                    <a:xfrm>
                      <a:off x="0" y="0"/>
                      <a:ext cx="5688000" cy="1723503"/>
                    </a:xfrm>
                    <a:prstGeom prst="rect"/>
                  </pic:spPr>
                </pic:pic>
              </a:graphicData>
            </a:graphic>
          </wp:inline>
        </w:drawing>
      </w:r>
    </w:p>
    <w:p>
      <w:pPr>
        <w:pStyle w:val="CaptionCustom"/>
        <w:jc w:val="center"/>
      </w:pPr>
      <w:r>
        <w:t>Figure 8 - Chaîne de livraison recommandée et points NO-GO.</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26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Gate</w:t>
            </w:r>
          </w:p>
        </w:tc>
        <w:tc>
          <w:tcPr>
            <w:tcW w:type="dxa" w:w="7370"/>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Preuve minimale</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Code</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API check + 44 tests ; worker check + 5 tests ; no-mutable-service-context.</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Terraform</w:t>
            </w:r>
          </w:p>
        </w:tc>
        <w:tc>
          <w:tcPr>
            <w:tcW w:type="dxa" w:w="737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fmt/validate/static checks ; plan relu ; 0 destroy inattendue.</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DB</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PostgreSQL 16 éphémère : init, 8 migrations, 6 rôles, 15 RLS, 29 policies, 58 privilèges.</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Images</w:t>
            </w:r>
          </w:p>
        </w:tc>
        <w:tc>
          <w:tcPr>
            <w:tcW w:type="dxa" w:w="737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Tags immuables + digest ACR + commit SHA.</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Staging</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Recette API/worker/outbox, denial tenant, DLQ=0.</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Production</w:t>
            </w:r>
          </w:p>
        </w:tc>
        <w:tc>
          <w:tcPr>
            <w:tcW w:type="dxa" w:w="737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Nouvelle révision à 0 %, smoke, trafic progressif, rollback prêt.</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FF4DD"/>
            <w:tcBorders>
              <w:top w:val="single" w:sz="6" w:color="B26A00"/>
              <w:left w:val="single" w:sz="10" w:color="B26A00"/>
              <w:bottom w:val="single" w:sz="6" w:color="B26A00"/>
              <w:right w:val="single" w:sz="6" w:color="B26A00"/>
            </w:tcBorders>
          </w:tcPr>
          <w:p>
            <w:pPr>
              <w:spacing w:after="20"/>
            </w:pPr>
            <w:r>
              <w:rPr>
                <w:rFonts w:ascii="Liberation Sans" w:hAnsi="Liberation Sans"/>
                <w:b/>
                <w:color w:val="B26A00"/>
                <w:sz w:val="18"/>
              </w:rPr>
              <w:t xml:space="preserve">DETTE CI  </w:t>
            </w:r>
            <w:r>
              <w:rPr>
                <w:rFonts w:ascii="Liberation Sans" w:hAnsi="Liberation Sans"/>
                <w:color w:val="102A43"/>
                <w:sz w:val="18"/>
              </w:rPr>
              <w:t>Les tests PostgreSQL dynamiques ont été exécutés manuellement sur une base Docker jetable. Ils doivent être industrialisés dans GitHub Actions avant broad rollout.</w:t>
            </w:r>
          </w:p>
        </w:tc>
        <w:trPr>
          <w:tblHeader/>
        </w:trPr>
      </w:tr>
    </w:tbl>
    <w:p>
      <w:pPr>
        <w:spacing w:after="20"/>
      </w:pPr>
    </w:p>
    <w:p>
      <w:pPr>
        <w:pStyle w:val="Heading1"/>
        <w:pBdr>
          <w:bottom w:val="single" w:sz="10" w:space="4" w:color="173A5E"/>
        </w:pBdr>
        <w:keepNext/>
      </w:pPr>
      <w:r>
        <w:t>30. Déploiement de version et rollback</w:t>
      </w:r>
    </w:p>
    <w:p>
      <w:pPr>
        <w:pStyle w:val="ListBullet"/>
        <w:spacing w:after="50"/>
      </w:pPr>
      <w:r>
        <w:rPr>
          <w:rFonts w:ascii="Liberation Sans" w:hAnsi="Liberation Sans"/>
        </w:rPr>
        <w:t>Ne jamais réutiliser latest ; conserver tags et digests des révisions actives.</w:t>
      </w:r>
    </w:p>
    <w:p>
      <w:pPr>
        <w:pStyle w:val="ListBullet"/>
        <w:spacing w:after="50"/>
      </w:pPr>
      <w:r>
        <w:rPr>
          <w:rFonts w:ascii="Liberation Sans" w:hAnsi="Liberation Sans"/>
        </w:rPr>
        <w:t>Vérifier l’image de chaque Container App et Job après apply.</w:t>
      </w:r>
    </w:p>
    <w:p>
      <w:pPr>
        <w:pStyle w:val="ListBullet"/>
        <w:spacing w:after="50"/>
      </w:pPr>
      <w:r>
        <w:rPr>
          <w:rFonts w:ascii="Liberation Sans" w:hAnsi="Liberation Sans"/>
        </w:rPr>
        <w:t>En mode Multiple, une nouvelle révision peut rester à 0 %. Le plan doit documenter la bascule.</w:t>
      </w:r>
    </w:p>
    <w:p>
      <w:pPr>
        <w:pStyle w:val="ListBullet"/>
        <w:spacing w:after="50"/>
      </w:pPr>
      <w:r>
        <w:rPr>
          <w:rFonts w:ascii="Liberation Sans" w:hAnsi="Liberation Sans"/>
        </w:rPr>
        <w:t>Rollback applicatif : réassigner le trafic à la révision stable ; ne pas rollback une migration destructive sans plan DB.</w:t>
      </w:r>
    </w:p>
    <w:p>
      <w:pPr>
        <w:pStyle w:val="ListBullet"/>
        <w:spacing w:after="50"/>
      </w:pPr>
      <w:r>
        <w:rPr>
          <w:rFonts w:ascii="Liberation Sans" w:hAnsi="Liberation Sans"/>
        </w:rPr>
        <w:t>Toute migration RLS ou privilège doit être backward-compatible avec la révision encore active pendant la bascule.</w:t>
      </w:r>
    </w:p>
    <w:p>
      <w:pPr>
        <w:spacing w:before="80" w:after="40"/>
        <w:keepNext/>
      </w:pPr>
      <w:r>
        <w:rPr>
          <w:rFonts w:ascii="Liberation Sans" w:hAnsi="Liberation Sans"/>
          <w:b/>
          <w:color w:val="2F6B8A"/>
          <w:sz w:val="18"/>
        </w:rPr>
        <w:t>Contrôle post-déploiement</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az containerapp show -g "$RESOURCE_GROUP" -n "$API_APP"   --query '{image:properties.template.containers[0].image,latest:properties.latestRevisionName,mode:properties.configuration.activeRevisionsMode}' -o json</w:t>
              <w:br/>
              <w:br/>
              <w:t>az containerapp revision list -g "$RESOURCE_GROUP" -n "$API_APP" -o table</w:t>
              <w:br/>
              <w:t>az containerapp ingress traffic show -g "$RESOURCE_GROUP" -n "$API_APP" -o table</w:t>
            </w:r>
          </w:p>
        </w:tc>
        <w:trPr>
          <w:tblHeader/>
        </w:trPr>
      </w:tr>
    </w:tbl>
    <w:p>
      <w:pPr>
        <w:spacing w:after="20"/>
      </w:pPr>
    </w:p>
    <w:p>
      <w:pPr>
        <w:pStyle w:val="Heading1"/>
        <w:pBdr>
          <w:bottom w:val="single" w:sz="10" w:space="4" w:color="173A5E"/>
        </w:pBdr>
        <w:keepNext/>
      </w:pPr>
      <w:r>
        <w:t>31. Gestion des preuves</w:t>
      </w:r>
    </w:p>
    <w:p>
      <w:pPr>
        <w:spacing w:after="80"/>
      </w:pPr>
      <w:r>
        <w:rPr>
          <w:rFonts w:ascii="Liberation Sans" w:hAnsi="Liberation Sans"/>
          <w:i w:val="0"/>
        </w:rPr>
        <w:t>Chaque changement doit créer un dossier d’evidence horodaté, sans secrets, contenant au minimum :</w:t>
      </w:r>
    </w:p>
    <w:p>
      <w:pPr>
        <w:pStyle w:val="ListBullet"/>
        <w:spacing w:after="50"/>
      </w:pPr>
      <w:r>
        <w:rPr>
          <w:rFonts w:ascii="Liberation Sans" w:hAnsi="Liberation Sans"/>
        </w:rPr>
        <w:t>commit et branche ; statut Git ; versions outils ;</w:t>
      </w:r>
    </w:p>
    <w:p>
      <w:pPr>
        <w:pStyle w:val="ListBullet"/>
        <w:spacing w:after="50"/>
      </w:pPr>
      <w:r>
        <w:rPr>
          <w:rFonts w:ascii="Liberation Sans" w:hAnsi="Liberation Sans"/>
        </w:rPr>
        <w:t>sorties npm check/test ; plan Terraform et résumé add/change/destroy ;</w:t>
      </w:r>
    </w:p>
    <w:p>
      <w:pPr>
        <w:pStyle w:val="ListBullet"/>
        <w:spacing w:after="50"/>
      </w:pPr>
      <w:r>
        <w:rPr>
          <w:rFonts w:ascii="Liberation Sans" w:hAnsi="Liberation Sans"/>
        </w:rPr>
        <w:t>schema_migrations, rôles, policies et privilèges ;</w:t>
      </w:r>
    </w:p>
    <w:p>
      <w:pPr>
        <w:pStyle w:val="ListBullet"/>
        <w:spacing w:after="50"/>
      </w:pPr>
      <w:r>
        <w:rPr>
          <w:rFonts w:ascii="Liberation Sans" w:hAnsi="Liberation Sans"/>
        </w:rPr>
        <w:t>health APIM, création scan, statut final, JSON, PDF hash ;</w:t>
      </w:r>
    </w:p>
    <w:p>
      <w:pPr>
        <w:pStyle w:val="ListBullet"/>
        <w:spacing w:after="50"/>
      </w:pPr>
      <w:r>
        <w:rPr>
          <w:rFonts w:ascii="Liberation Sans" w:hAnsi="Liberation Sans"/>
        </w:rPr>
        <w:t>billing avant/après, outbox, Service Bus/DLQ ;</w:t>
      </w:r>
    </w:p>
    <w:p>
      <w:pPr>
        <w:pStyle w:val="ListBullet"/>
        <w:spacing w:after="50"/>
      </w:pPr>
      <w:r>
        <w:rPr>
          <w:rFonts w:ascii="Liberation Sans" w:hAnsi="Liberation Sans"/>
        </w:rPr>
        <w:t>révisions Container Apps, images et trafic ;</w:t>
      </w:r>
    </w:p>
    <w:p>
      <w:pPr>
        <w:pStyle w:val="ListBullet"/>
        <w:spacing w:after="50"/>
      </w:pPr>
      <w:r>
        <w:rPr>
          <w:rFonts w:ascii="Liberation Sans" w:hAnsi="Liberation Sans"/>
        </w:rPr>
        <w:t>nettoyage du tenant/API key/subscription APIM de recette.</w:t>
      </w:r>
    </w:p>
    <w:tbl>
      <w:tblPr>
        <w:tblW w:type="auto" w:w="0"/>
        <w:jc w:val="center"/>
        <w:tblLayout w:type="fixed"/>
        <w:tblLook w:firstColumn="1" w:firstRow="1" w:lastColumn="0" w:lastRow="0" w:noHBand="0" w:noVBand="1" w:val="04A0"/>
      </w:tblPr>
      <w:tblGrid>
        <w:gridCol w:w="10036"/>
      </w:tblGrid>
      <w:tr>
        <w:tc>
          <w:tcPr>
            <w:tcW w:type="dxa" w:w="9751"/>
            <w:shd w:fill="FCE9E7"/>
            <w:tcBorders>
              <w:top w:val="single" w:sz="6" w:color="B3261E"/>
              <w:left w:val="single" w:sz="10" w:color="B3261E"/>
              <w:bottom w:val="single" w:sz="6" w:color="B3261E"/>
              <w:right w:val="single" w:sz="6" w:color="B3261E"/>
            </w:tcBorders>
          </w:tcPr>
          <w:p>
            <w:pPr>
              <w:spacing w:after="20"/>
            </w:pPr>
            <w:r>
              <w:rPr>
                <w:rFonts w:ascii="Liberation Sans" w:hAnsi="Liberation Sans"/>
                <w:b/>
                <w:color w:val="B3261E"/>
                <w:sz w:val="18"/>
              </w:rPr>
              <w:t xml:space="preserve">INTERDIT  </w:t>
            </w:r>
            <w:r>
              <w:rPr>
                <w:rFonts w:ascii="Liberation Sans" w:hAnsi="Liberation Sans"/>
                <w:color w:val="102A43"/>
                <w:sz w:val="18"/>
              </w:rPr>
              <w:t>Ne jamais joindre terraform.tfstate, terraform.tfvars, .env, sortie Key Vault value, token JWT complet, API key brute ou clé APIM complète au dossier d’evidence.</w:t>
            </w:r>
          </w:p>
        </w:tc>
        <w:trPr>
          <w:tblHeader/>
        </w:trPr>
      </w:tr>
    </w:tbl>
    <w:p>
      <w:pPr>
        <w:spacing w:after="20"/>
      </w:pPr>
    </w:p>
    <w:p>
      <w:pPr>
        <w:pStyle w:val="Heading1"/>
        <w:pBdr>
          <w:bottom w:val="single" w:sz="10" w:space="4" w:color="173A5E"/>
        </w:pBdr>
        <w:keepNext/>
      </w:pPr>
      <w:r>
        <w:t>32. Stratégie de migration production du nouveau RLS</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53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Phase</w:t>
            </w:r>
          </w:p>
        </w:tc>
        <w:tc>
          <w:tcPr>
            <w:tcW w:type="dxa" w:w="4876"/>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Action</w:t>
            </w:r>
          </w:p>
        </w:tc>
        <w:tc>
          <w:tcPr>
            <w:tcW w:type="dxa" w:w="323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NO-GO</w:t>
            </w:r>
          </w:p>
        </w:tc>
      </w:tr>
      <w:tr>
        <w:tc>
          <w:tcPr>
            <w:tcW w:type="dxa" w:w="15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Préflight</w:t>
            </w:r>
          </w:p>
        </w:tc>
        <w:tc>
          <w:tcPr>
            <w:tcW w:type="dxa" w:w="4876"/>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Vérifier rôles/secrets, PG_USER réels, sauvegarde/restore et schéma.</w:t>
            </w:r>
          </w:p>
        </w:tc>
        <w:tc>
          <w:tcPr>
            <w:tcW w:type="dxa" w:w="32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Un runtime utilise encore bevoacadmin.</w:t>
            </w:r>
          </w:p>
        </w:tc>
      </w:tr>
      <w:tr>
        <w:tc>
          <w:tcPr>
            <w:tcW w:type="dxa" w:w="153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Staging</w:t>
            </w:r>
          </w:p>
        </w:tc>
        <w:tc>
          <w:tcPr>
            <w:tcW w:type="dxa" w:w="4876"/>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Appliquer secure auth puis runtime-role RLS ; tests six logins.</w:t>
            </w:r>
          </w:p>
        </w:tc>
        <w:tc>
          <w:tcPr>
            <w:tcW w:type="dxa" w:w="323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Policy/grant inattendu.</w:t>
            </w:r>
          </w:p>
        </w:tc>
      </w:tr>
      <w:tr>
        <w:tc>
          <w:tcPr>
            <w:tcW w:type="dxa" w:w="15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Révisions</w:t>
            </w:r>
          </w:p>
        </w:tc>
        <w:tc>
          <w:tcPr>
            <w:tcW w:type="dxa" w:w="4876"/>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Déployer workloads avec rôles dédiés à 0 % / sans trafic.</w:t>
            </w:r>
          </w:p>
        </w:tc>
        <w:tc>
          <w:tcPr>
            <w:tcW w:type="dxa" w:w="32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Health/DB auth KO.</w:t>
            </w:r>
          </w:p>
        </w:tc>
      </w:tr>
      <w:tr>
        <w:tc>
          <w:tcPr>
            <w:tcW w:type="dxa" w:w="153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Bascule</w:t>
            </w:r>
          </w:p>
        </w:tc>
        <w:tc>
          <w:tcPr>
            <w:tcW w:type="dxa" w:w="4876"/>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Trafic progressif ; logs permission denied surveillés.</w:t>
            </w:r>
          </w:p>
        </w:tc>
        <w:tc>
          <w:tcPr>
            <w:tcW w:type="dxa" w:w="323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5xx, backlog ou denial métier légitime.</w:t>
            </w:r>
          </w:p>
        </w:tc>
      </w:tr>
      <w:tr>
        <w:tc>
          <w:tcPr>
            <w:tcW w:type="dxa" w:w="15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Cleanup</w:t>
            </w:r>
          </w:p>
        </w:tc>
        <w:tc>
          <w:tcPr>
            <w:tcW w:type="dxa" w:w="4876"/>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Retirer droits vault-wide/legacy uniquement après stabilisation.</w:t>
            </w:r>
          </w:p>
        </w:tc>
        <w:tc>
          <w:tcPr>
            <w:tcW w:type="dxa" w:w="32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Dépendance encore observée.</w:t>
            </w:r>
          </w:p>
        </w:tc>
      </w:tr>
    </w:tbl>
    <w:p>
      <w:pPr>
        <w:pageBreakBefore/>
        <w:spacing w:before="2100"/>
        <w:jc w:val="center"/>
      </w:pPr>
      <w:r>
        <w:rPr>
          <w:rFonts w:ascii="Liberation Sans" w:hAnsi="Liberation Sans"/>
          <w:b/>
          <w:color w:val="007C91"/>
          <w:sz w:val="24"/>
        </w:rPr>
        <w:t>PARTIE 6</w:t>
      </w:r>
    </w:p>
    <w:p>
      <w:pPr>
        <w:jc w:val="center"/>
      </w:pPr>
      <w:r>
        <w:rPr>
          <w:rFonts w:ascii="Liberation Sans" w:hAnsi="Liberation Sans"/>
          <w:b/>
          <w:color w:val="173A5E"/>
          <w:sz w:val="48"/>
        </w:rPr>
        <w:t>EXPLOITATION ET INCIDENTS</w:t>
      </w:r>
    </w:p>
    <w:p>
      <w:pPr>
        <w:jc w:val="center"/>
      </w:pPr>
      <w:r>
        <w:rPr>
          <w:rFonts w:ascii="Liberation Sans" w:hAnsi="Liberation Sans"/>
          <w:i/>
          <w:color w:val="5B6770"/>
          <w:sz w:val="23"/>
        </w:rPr>
        <w:t>Superviser, diagnostiquer, nettoyer et préserver les preuves</w:t>
      </w:r>
    </w:p>
    <w:p>
      <w:r>
        <w:br w:type="page"/>
      </w:r>
    </w:p>
    <w:p>
      <w:pPr>
        <w:pStyle w:val="Heading1"/>
        <w:pBdr>
          <w:bottom w:val="single" w:sz="10" w:space="4" w:color="173A5E"/>
        </w:pBdr>
        <w:keepNext/>
      </w:pPr>
      <w:r>
        <w:t>33. Observabilité et alertes</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38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Signal</w:t>
            </w:r>
          </w:p>
        </w:tc>
        <w:tc>
          <w:tcPr>
            <w:tcW w:type="dxa" w:w="306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Source</w:t>
            </w:r>
          </w:p>
        </w:tc>
        <w:tc>
          <w:tcPr>
            <w:tcW w:type="dxa" w:w="419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Action</w:t>
            </w:r>
          </w:p>
        </w:tc>
      </w:tr>
      <w:tr>
        <w:tc>
          <w:tcPr>
            <w:tcW w:type="dxa" w:w="238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API 5xx / latence</w:t>
            </w:r>
          </w:p>
        </w:tc>
        <w:tc>
          <w:tcPr>
            <w:tcW w:type="dxa" w:w="30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Container Apps + Log Analytics</w:t>
            </w:r>
          </w:p>
        </w:tc>
        <w:tc>
          <w:tcPr>
            <w:tcW w:type="dxa" w:w="419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Comparer révision, image, DB et APIM.</w:t>
            </w:r>
          </w:p>
        </w:tc>
      </w:tr>
      <w:tr>
        <w:tc>
          <w:tcPr>
            <w:tcW w:type="dxa" w:w="238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Outbox PENDING/FAILED ancien</w:t>
            </w:r>
          </w:p>
        </w:tc>
        <w:tc>
          <w:tcPr>
            <w:tcW w:type="dxa" w:w="306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PostgreSQL</w:t>
            </w:r>
          </w:p>
        </w:tc>
        <w:tc>
          <w:tcPr>
            <w:tcW w:type="dxa" w:w="419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Vérifier publisher, droit SB Sender, backoff.</w:t>
            </w:r>
          </w:p>
        </w:tc>
      </w:tr>
      <w:tr>
        <w:tc>
          <w:tcPr>
            <w:tcW w:type="dxa" w:w="238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Service Bus active croissant</w:t>
            </w:r>
          </w:p>
        </w:tc>
        <w:tc>
          <w:tcPr>
            <w:tcW w:type="dxa" w:w="30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Azure Monitor</w:t>
            </w:r>
          </w:p>
        </w:tc>
        <w:tc>
          <w:tcPr>
            <w:tcW w:type="dxa" w:w="419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Vérifier worker, sessions, scaling.</w:t>
            </w:r>
          </w:p>
        </w:tc>
      </w:tr>
      <w:tr>
        <w:tc>
          <w:tcPr>
            <w:tcW w:type="dxa" w:w="238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DLQ &gt; 0</w:t>
            </w:r>
          </w:p>
        </w:tc>
        <w:tc>
          <w:tcPr>
            <w:tcW w:type="dxa" w:w="306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Azure Monitor + dlq stats</w:t>
            </w:r>
          </w:p>
        </w:tc>
        <w:tc>
          <w:tcPr>
            <w:tcW w:type="dxa" w:w="419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Analyser reason avant replay/purge.</w:t>
            </w:r>
          </w:p>
        </w:tc>
      </w:tr>
      <w:tr>
        <w:tc>
          <w:tcPr>
            <w:tcW w:type="dxa" w:w="238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PostgreSQL CPU/mémoire/storage</w:t>
            </w:r>
          </w:p>
        </w:tc>
        <w:tc>
          <w:tcPr>
            <w:tcW w:type="dxa" w:w="30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Azure Monitor</w:t>
            </w:r>
          </w:p>
        </w:tc>
        <w:tc>
          <w:tcPr>
            <w:tcW w:type="dxa" w:w="419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Capacité, requêtes et index.</w:t>
            </w:r>
          </w:p>
        </w:tc>
      </w:tr>
      <w:tr>
        <w:tc>
          <w:tcPr>
            <w:tcW w:type="dxa" w:w="238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RLS permission denied</w:t>
            </w:r>
          </w:p>
        </w:tc>
        <w:tc>
          <w:tcPr>
            <w:tcW w:type="dxa" w:w="306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Logs API/worker</w:t>
            </w:r>
          </w:p>
        </w:tc>
        <w:tc>
          <w:tcPr>
            <w:tcW w:type="dxa" w:w="419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Identifier rôle, table, opération ; ne pas élargir aveuglément.</w:t>
            </w:r>
          </w:p>
        </w:tc>
      </w:tr>
      <w:tr>
        <w:tc>
          <w:tcPr>
            <w:tcW w:type="dxa" w:w="238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Rétention échouée</w:t>
            </w:r>
          </w:p>
        </w:tc>
        <w:tc>
          <w:tcPr>
            <w:tcW w:type="dxa" w:w="30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Container Apps Job + audit log</w:t>
            </w:r>
          </w:p>
        </w:tc>
        <w:tc>
          <w:tcPr>
            <w:tcW w:type="dxa" w:w="419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Vérifier rôle retention et politique.</w:t>
            </w:r>
          </w:p>
        </w:tc>
      </w:tr>
    </w:tbl>
    <w:p>
      <w:pPr>
        <w:spacing w:after="20"/>
      </w:pPr>
    </w:p>
    <w:p>
      <w:pPr>
        <w:pStyle w:val="Heading1"/>
        <w:pBdr>
          <w:bottom w:val="single" w:sz="10" w:space="4" w:color="173A5E"/>
        </w:pBdr>
        <w:keepNext/>
      </w:pPr>
      <w:r>
        <w:t>34. Réponse aux incidents</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494"/>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Incident</w:t>
            </w:r>
          </w:p>
        </w:tc>
        <w:tc>
          <w:tcPr>
            <w:tcW w:type="dxa" w:w="7143"/>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Premières actions</w:t>
            </w:r>
          </w:p>
        </w:tc>
      </w:tr>
      <w:tr>
        <w:tc>
          <w:tcPr>
            <w:tcW w:type="dxa" w:w="249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Clé API compromise</w:t>
            </w:r>
          </w:p>
        </w:tc>
        <w:tc>
          <w:tcPr>
            <w:tcW w:type="dxa" w:w="714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Désactiver la clé, créer une nouvelle clé, rechercher last_used_at/correlation, informer selon procédure.</w:t>
            </w:r>
          </w:p>
        </w:tc>
      </w:tr>
      <w:tr>
        <w:tc>
          <w:tcPr>
            <w:tcW w:type="dxa" w:w="249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Suspicion cross-tenant</w:t>
            </w:r>
          </w:p>
        </w:tc>
        <w:tc>
          <w:tcPr>
            <w:tcW w:type="dxa" w:w="714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Geler les preuves, désactiver les clés concernées, conserver logs/APIM/DB, ne pas nettoyer avant analyse.</w:t>
            </w:r>
          </w:p>
        </w:tc>
      </w:tr>
      <w:tr>
        <w:tc>
          <w:tcPr>
            <w:tcW w:type="dxa" w:w="249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Outbox bloquée</w:t>
            </w:r>
          </w:p>
        </w:tc>
        <w:tc>
          <w:tcPr>
            <w:tcW w:type="dxa" w:w="714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Inspecter PENDING/FAILED, last_error, identity SB Sender, backlog ; ne pas republier en double.</w:t>
            </w:r>
          </w:p>
        </w:tc>
      </w:tr>
      <w:tr>
        <w:tc>
          <w:tcPr>
            <w:tcW w:type="dxa" w:w="249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Worker failed</w:t>
            </w:r>
          </w:p>
        </w:tc>
        <w:tc>
          <w:tcPr>
            <w:tcW w:type="dxa" w:w="714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Lire scan_attempts, error_message, result_summary ; vérifier attemptId et état billing.</w:t>
            </w:r>
          </w:p>
        </w:tc>
      </w:tr>
      <w:tr>
        <w:tc>
          <w:tcPr>
            <w:tcW w:type="dxa" w:w="249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Migration DB échouée</w:t>
            </w:r>
          </w:p>
        </w:tc>
        <w:tc>
          <w:tcPr>
            <w:tcW w:type="dxa" w:w="714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Stopper rollout, conserver logs, vérifier transaction/rollback, restaurer uniquement selon plan testé.</w:t>
            </w:r>
          </w:p>
        </w:tc>
      </w:tr>
      <w:tr>
        <w:tc>
          <w:tcPr>
            <w:tcW w:type="dxa" w:w="249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Secret exposé</w:t>
            </w:r>
          </w:p>
        </w:tc>
        <w:tc>
          <w:tcPr>
            <w:tcW w:type="dxa" w:w="714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Révoquer/rotater, redeployer, invalider preuves contenant la valeur.</w:t>
            </w:r>
          </w:p>
        </w:tc>
      </w:tr>
    </w:tbl>
    <w:p>
      <w:pPr>
        <w:spacing w:after="20"/>
      </w:pPr>
    </w:p>
    <w:p>
      <w:pPr>
        <w:pStyle w:val="Heading1"/>
        <w:pBdr>
          <w:bottom w:val="single" w:sz="10" w:space="4" w:color="173A5E"/>
        </w:pBdr>
        <w:keepNext/>
      </w:pPr>
      <w:r>
        <w:t>35. Nettoyage des données de recette</w:t>
      </w:r>
    </w:p>
    <w:p>
      <w:pPr>
        <w:spacing w:after="80"/>
      </w:pPr>
      <w:r>
        <w:rPr>
          <w:rFonts w:ascii="Liberation Sans" w:hAnsi="Liberation Sans"/>
          <w:i w:val="0"/>
        </w:rPr>
        <w:t>La méthode sûre est : inventaire, simulation transactionnelle avec ROLLBACK, revue des compteurs, suppression réelle avec COMMIT, contrôle zéro, suppression de la subscription APIM de test et fermeture des accès temporaires.</w:t>
      </w:r>
    </w:p>
    <w:p>
      <w:pPr>
        <w:spacing w:after="40"/>
      </w:pPr>
      <w:r>
        <w:rPr>
          <w:rFonts w:ascii="Liberation Sans" w:hAnsi="Liberation Sans"/>
          <w:b/>
          <w:color w:val="007C91"/>
          <w:sz w:val="20"/>
        </w:rPr>
        <w:t xml:space="preserve">☐ </w:t>
      </w:r>
      <w:r>
        <w:rPr>
          <w:rFonts w:ascii="Liberation Sans" w:hAnsi="Liberation Sans"/>
          <w:sz w:val="18"/>
        </w:rPr>
        <w:t>Exporter uniquement les identifiants non secrets et compteurs.</w:t>
      </w:r>
    </w:p>
    <w:p>
      <w:pPr>
        <w:spacing w:after="40"/>
      </w:pPr>
      <w:r>
        <w:rPr>
          <w:rFonts w:ascii="Liberation Sans" w:hAnsi="Liberation Sans"/>
          <w:b/>
          <w:color w:val="007C91"/>
          <w:sz w:val="20"/>
        </w:rPr>
        <w:t xml:space="preserve">☐ </w:t>
      </w:r>
      <w:r>
        <w:rPr>
          <w:rFonts w:ascii="Liberation Sans" w:hAnsi="Liberation Sans"/>
          <w:sz w:val="18"/>
        </w:rPr>
        <w:t>BEGIN ; DELETE ... RETURNING ; ROLLBACK ; comparer les totaux.</w:t>
      </w:r>
    </w:p>
    <w:p>
      <w:pPr>
        <w:spacing w:after="40"/>
      </w:pPr>
      <w:r>
        <w:rPr>
          <w:rFonts w:ascii="Liberation Sans" w:hAnsi="Liberation Sans"/>
          <w:b/>
          <w:color w:val="007C91"/>
          <w:sz w:val="20"/>
        </w:rPr>
        <w:t xml:space="preserve">☐ </w:t>
      </w:r>
      <w:r>
        <w:rPr>
          <w:rFonts w:ascii="Liberation Sans" w:hAnsi="Liberation Sans"/>
          <w:sz w:val="18"/>
        </w:rPr>
        <w:t>Répéter avec COMMIT après validation écrite.</w:t>
      </w:r>
    </w:p>
    <w:p>
      <w:pPr>
        <w:spacing w:after="40"/>
      </w:pPr>
      <w:r>
        <w:rPr>
          <w:rFonts w:ascii="Liberation Sans" w:hAnsi="Liberation Sans"/>
          <w:b/>
          <w:color w:val="007C91"/>
          <w:sz w:val="20"/>
        </w:rPr>
        <w:t xml:space="preserve">☐ </w:t>
      </w:r>
      <w:r>
        <w:rPr>
          <w:rFonts w:ascii="Liberation Sans" w:hAnsi="Liberation Sans"/>
          <w:sz w:val="18"/>
        </w:rPr>
        <w:t>Contrôler les FK/cascades : results, attempts, idempotency, ledger, outbox, scans, targets/scopes, keys, tenant.</w:t>
      </w:r>
    </w:p>
    <w:p>
      <w:pPr>
        <w:spacing w:after="40"/>
      </w:pPr>
      <w:r>
        <w:rPr>
          <w:rFonts w:ascii="Liberation Sans" w:hAnsi="Liberation Sans"/>
          <w:b/>
          <w:color w:val="007C91"/>
          <w:sz w:val="20"/>
        </w:rPr>
        <w:t xml:space="preserve">☐ </w:t>
      </w:r>
      <w:r>
        <w:rPr>
          <w:rFonts w:ascii="Liberation Sans" w:hAnsi="Liberation Sans"/>
          <w:sz w:val="18"/>
        </w:rPr>
        <w:t>Supprimer la subscription APIM de recette.</w:t>
      </w:r>
    </w:p>
    <w:p>
      <w:pPr>
        <w:spacing w:after="40"/>
      </w:pPr>
      <w:r>
        <w:rPr>
          <w:rFonts w:ascii="Liberation Sans" w:hAnsi="Liberation Sans"/>
          <w:b/>
          <w:color w:val="007C91"/>
          <w:sz w:val="20"/>
        </w:rPr>
        <w:t xml:space="preserve">☐ </w:t>
      </w:r>
      <w:r>
        <w:rPr>
          <w:rFonts w:ascii="Liberation Sans" w:hAnsi="Liberation Sans"/>
          <w:sz w:val="18"/>
        </w:rPr>
        <w:t>Refermer PostgreSQL/Key Vault public access et règles IP.</w:t>
      </w:r>
    </w:p>
    <w:p>
      <w:pPr>
        <w:pStyle w:val="Heading1"/>
        <w:pBdr>
          <w:bottom w:val="single" w:sz="10" w:space="4" w:color="173A5E"/>
        </w:pBdr>
        <w:keepNext/>
      </w:pPr>
      <w:r>
        <w:t>36. Troubleshooting consolidé</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66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Symptôme</w:t>
            </w:r>
          </w:p>
        </w:tc>
        <w:tc>
          <w:tcPr>
            <w:tcW w:type="dxa" w:w="323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Cause</w:t>
            </w:r>
          </w:p>
        </w:tc>
        <w:tc>
          <w:tcPr>
            <w:tcW w:type="dxa" w:w="374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Correction</w:t>
            </w:r>
          </w:p>
        </w:tc>
      </w:tr>
      <w:tr>
        <w:tc>
          <w:tcPr>
            <w:tcW w:type="dxa" w:w="26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Plan 89 add alors que prod existe</w:t>
            </w:r>
          </w:p>
        </w:tc>
        <w:tc>
          <w:tcPr>
            <w:tcW w:type="dxa" w:w="32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State absent/nouveau repo</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Installer le state original, refresh-only, puis plan.</w:t>
            </w:r>
          </w:p>
        </w:tc>
      </w:tr>
      <w:tr>
        <w:tc>
          <w:tcPr>
            <w:tcW w:type="dxa" w:w="26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Terraform plan retourne code 2</w:t>
            </w:r>
          </w:p>
        </w:tc>
        <w:tc>
          <w:tcPr>
            <w:tcW w:type="dxa" w:w="323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Changements présents, pas une erreur</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Lire le plan ; code 0=no change, 2=diff.</w:t>
            </w:r>
          </w:p>
        </w:tc>
      </w:tr>
      <w:tr>
        <w:tc>
          <w:tcPr>
            <w:tcW w:type="dxa" w:w="26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zsh: no matches found ...[0]</w:t>
            </w:r>
          </w:p>
        </w:tc>
        <w:tc>
          <w:tcPr>
            <w:tcW w:type="dxa" w:w="32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Globbing zsh</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Citer l’adresse entre quotes simples.</w:t>
            </w:r>
          </w:p>
        </w:tc>
      </w:tr>
      <w:tr>
        <w:tc>
          <w:tcPr>
            <w:tcW w:type="dxa" w:w="26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ForbiddenByConnection Key Vault</w:t>
            </w:r>
          </w:p>
        </w:tc>
        <w:tc>
          <w:tcPr>
            <w:tcW w:type="dxa" w:w="323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Poste hors VNet</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Runner privé/VPN ; éviter ouverture durable.</w:t>
            </w:r>
          </w:p>
        </w:tc>
      </w:tr>
      <w:tr>
        <w:tc>
          <w:tcPr>
            <w:tcW w:type="dxa" w:w="26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PostgreSQL inaccessible</w:t>
            </w:r>
          </w:p>
        </w:tc>
        <w:tc>
          <w:tcPr>
            <w:tcW w:type="dxa" w:w="32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Public access fermé / DNS privé</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Exécuter depuis le réseau autorisé ou fenêtre temporaire contrôlée.</w:t>
            </w:r>
          </w:p>
        </w:tc>
      </w:tr>
      <w:tr>
        <w:tc>
          <w:tcPr>
            <w:tcW w:type="dxa" w:w="26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Node simdjson / Node 25</w:t>
            </w:r>
          </w:p>
        </w:tc>
        <w:tc>
          <w:tcPr>
            <w:tcW w:type="dxa" w:w="323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Mauvais Node/npm dans PATH</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Préfixer node@24/bin ; npm ci.</w:t>
            </w:r>
          </w:p>
        </w:tc>
      </w:tr>
      <w:tr>
        <w:tc>
          <w:tcPr>
            <w:tcW w:type="dxa" w:w="26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Worker dépendances manquantes</w:t>
            </w:r>
          </w:p>
        </w:tc>
        <w:tc>
          <w:tcPr>
            <w:tcW w:type="dxa" w:w="32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node_modules absent</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npm ci sous Node 24.</w:t>
            </w:r>
          </w:p>
        </w:tc>
      </w:tr>
      <w:tr>
        <w:tc>
          <w:tcPr>
            <w:tcW w:type="dxa" w:w="26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forcerowsecurity absent de pg_tables</w:t>
            </w:r>
          </w:p>
        </w:tc>
        <w:tc>
          <w:tcPr>
            <w:tcW w:type="dxa" w:w="323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Mauvaise vue catalogue</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Utiliser pg_class.relforcerowsecurity.</w:t>
            </w:r>
          </w:p>
        </w:tc>
      </w:tr>
      <w:tr>
        <w:tc>
          <w:tcPr>
            <w:tcW w:type="dxa" w:w="26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Adresse SQL 172.17.x.x:5432 en Docker</w:t>
            </w:r>
          </w:p>
        </w:tc>
        <w:tc>
          <w:tcPr>
            <w:tcW w:type="dxa" w:w="32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Adresse serveur interne</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Valider la publication host séparément.</w:t>
            </w:r>
          </w:p>
        </w:tc>
      </w:tr>
      <w:tr>
        <w:tc>
          <w:tcPr>
            <w:tcW w:type="dxa" w:w="26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init-db:prod-hardening échoue scans absent</w:t>
            </w:r>
          </w:p>
        </w:tc>
        <w:tc>
          <w:tcPr>
            <w:tcW w:type="dxa" w:w="323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Script non bootstrap</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Utiliser init-db puis migrate-db.</w:t>
            </w:r>
          </w:p>
        </w:tc>
      </w:tr>
      <w:tr>
        <w:tc>
          <w:tcPr>
            <w:tcW w:type="dxa" w:w="26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Storage blob warning AzureRM</w:t>
            </w:r>
          </w:p>
        </w:tc>
        <w:tc>
          <w:tcPr>
            <w:tcW w:type="dxa" w:w="32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Arguments dépréciés</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Migrer vers storage_container_id avant provider v5.</w:t>
            </w:r>
          </w:p>
        </w:tc>
      </w:tr>
      <w:tr>
        <w:tc>
          <w:tcPr>
            <w:tcW w:type="dxa" w:w="26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Dernière révision sans effet client</w:t>
            </w:r>
          </w:p>
        </w:tc>
        <w:tc>
          <w:tcPr>
            <w:tcW w:type="dxa" w:w="323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Trafic encore sur ancienne révision</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Inspecter et basculer traffic_weight explicitement.</w:t>
            </w:r>
          </w:p>
        </w:tc>
      </w:tr>
    </w:tbl>
    <w:p>
      <w:pPr>
        <w:spacing w:after="20"/>
      </w:pPr>
    </w:p>
    <w:p>
      <w:pPr>
        <w:pStyle w:val="Heading1"/>
        <w:pBdr>
          <w:bottom w:val="single" w:sz="10" w:space="4" w:color="173A5E"/>
        </w:pBdr>
        <w:keepNext/>
      </w:pPr>
      <w:r>
        <w:t>37. GO / NO-GO final</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09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Gate</w:t>
            </w:r>
          </w:p>
        </w:tc>
        <w:tc>
          <w:tcPr>
            <w:tcW w:type="dxa" w:w="379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GO</w:t>
            </w:r>
          </w:p>
        </w:tc>
        <w:tc>
          <w:tcPr>
            <w:tcW w:type="dxa" w:w="374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NO-GO</w:t>
            </w:r>
          </w:p>
        </w:tc>
      </w:tr>
      <w:tr>
        <w:tc>
          <w:tcPr>
            <w:tcW w:type="dxa" w:w="209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Code</w:t>
            </w:r>
          </w:p>
        </w:tc>
        <w:tc>
          <w:tcPr>
            <w:tcW w:type="dxa" w:w="379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API 44/44, worker 5/5, checks OK.</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Échec test/check ou app.service_context réintroduit.</w:t>
            </w:r>
          </w:p>
        </w:tc>
      </w:tr>
      <w:tr>
        <w:tc>
          <w:tcPr>
            <w:tcW w:type="dxa" w:w="209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State/IaC</w:t>
            </w:r>
          </w:p>
        </w:tc>
        <w:tc>
          <w:tcPr>
            <w:tcW w:type="dxa" w:w="379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Bon state, plan relu, 0 destroy inattendue.</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Plan de recréation massive ou state incertain.</w:t>
            </w:r>
          </w:p>
        </w:tc>
      </w:tr>
      <w:tr>
        <w:tc>
          <w:tcPr>
            <w:tcW w:type="dxa" w:w="209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DB</w:t>
            </w:r>
          </w:p>
        </w:tc>
        <w:tc>
          <w:tcPr>
            <w:tcW w:type="dxa" w:w="379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8 migrations, 6 rôles, 15 RLS, 29 policies, 58 privilèges exacts.</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Runtime admin, BYPASSRLS ou grant inattendu.</w:t>
            </w:r>
          </w:p>
        </w:tc>
      </w:tr>
      <w:tr>
        <w:tc>
          <w:tcPr>
            <w:tcW w:type="dxa" w:w="209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Secrets</w:t>
            </w:r>
          </w:p>
        </w:tc>
        <w:tc>
          <w:tcPr>
            <w:tcW w:type="dxa" w:w="379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Secrets dédiés, valeurs masquées.</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Secret partagé/exposé ou vault-wide non assumé.</w:t>
            </w:r>
          </w:p>
        </w:tc>
      </w:tr>
      <w:tr>
        <w:tc>
          <w:tcPr>
            <w:tcW w:type="dxa" w:w="209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Runtimes</w:t>
            </w:r>
          </w:p>
        </w:tc>
        <w:tc>
          <w:tcPr>
            <w:tcW w:type="dxa" w:w="379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public/admin/outbox/worker/retention séparés.</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combined en prod sans justification.</w:t>
            </w:r>
          </w:p>
        </w:tc>
      </w:tr>
      <w:tr>
        <w:tc>
          <w:tcPr>
            <w:tcW w:type="dxa" w:w="209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APIM</w:t>
            </w:r>
          </w:p>
        </w:tc>
        <w:tc>
          <w:tcPr>
            <w:tcW w:type="dxa" w:w="379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Double-auth et policies.</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Client contourne APIM.</w:t>
            </w:r>
          </w:p>
        </w:tc>
      </w:tr>
      <w:tr>
        <w:tc>
          <w:tcPr>
            <w:tcW w:type="dxa" w:w="209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Recette</w:t>
            </w:r>
          </w:p>
        </w:tc>
        <w:tc>
          <w:tcPr>
            <w:tcW w:type="dxa" w:w="379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Scan, JSON, PDF, billing, DLQ=0, cleanup.</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Données test persistantes ou DLQ non expliquée.</w:t>
            </w:r>
          </w:p>
        </w:tc>
      </w:tr>
      <w:tr>
        <w:tc>
          <w:tcPr>
            <w:tcW w:type="dxa" w:w="209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Enterprise strict</w:t>
            </w:r>
          </w:p>
        </w:tc>
        <w:tc>
          <w:tcPr>
            <w:tcW w:type="dxa" w:w="379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Pentest + charge + restore + incident + CI DB.</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Une preuve manque.</w:t>
            </w:r>
          </w:p>
        </w:tc>
      </w:tr>
    </w:tbl>
    <w:p>
      <w:pPr>
        <w:pageBreakBefore/>
        <w:spacing w:before="2100"/>
        <w:jc w:val="center"/>
      </w:pPr>
      <w:r>
        <w:rPr>
          <w:rFonts w:ascii="Liberation Sans" w:hAnsi="Liberation Sans"/>
          <w:b/>
          <w:color w:val="007C91"/>
          <w:sz w:val="24"/>
        </w:rPr>
        <w:t>PARTIE A</w:t>
      </w:r>
    </w:p>
    <w:p>
      <w:pPr>
        <w:jc w:val="center"/>
      </w:pPr>
      <w:r>
        <w:rPr>
          <w:rFonts w:ascii="Liberation Sans" w:hAnsi="Liberation Sans"/>
          <w:b/>
          <w:color w:val="173A5E"/>
          <w:sz w:val="48"/>
        </w:rPr>
        <w:t>ANNEXES OPÉRATEUR</w:t>
      </w:r>
    </w:p>
    <w:p>
      <w:pPr>
        <w:jc w:val="center"/>
      </w:pPr>
      <w:r>
        <w:rPr>
          <w:rFonts w:ascii="Liberation Sans" w:hAnsi="Liberation Sans"/>
          <w:i/>
          <w:color w:val="5B6770"/>
          <w:sz w:val="23"/>
        </w:rPr>
        <w:t>Références compactes pour exécution, audit et maintenance</w:t>
      </w:r>
    </w:p>
    <w:p>
      <w:r>
        <w:br w:type="page"/>
      </w:r>
    </w:p>
    <w:p>
      <w:pPr>
        <w:pStyle w:val="Heading1"/>
        <w:pBdr>
          <w:bottom w:val="single" w:sz="10" w:space="4" w:color="173A5E"/>
        </w:pBdr>
        <w:keepNext/>
      </w:pPr>
      <w:r>
        <w:t>Annexe A - Variables essentielles</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70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Catégorie</w:t>
            </w:r>
          </w:p>
        </w:tc>
        <w:tc>
          <w:tcPr>
            <w:tcW w:type="dxa" w:w="357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Variable</w:t>
            </w:r>
          </w:p>
        </w:tc>
        <w:tc>
          <w:tcPr>
            <w:tcW w:type="dxa" w:w="436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Cible</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Runtime</w:t>
            </w:r>
          </w:p>
        </w:tc>
        <w:tc>
          <w:tcPr>
            <w:tcW w:type="dxa" w:w="357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NODE_ENV</w:t>
            </w:r>
          </w:p>
        </w:tc>
        <w:tc>
          <w:tcPr>
            <w:tcW w:type="dxa" w:w="43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production</w:t>
            </w:r>
          </w:p>
        </w:tc>
      </w:tr>
      <w:tr>
        <w:tc>
          <w:tcPr>
            <w:tcW w:type="dxa" w:w="170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Runtime</w:t>
            </w:r>
          </w:p>
        </w:tc>
        <w:tc>
          <w:tcPr>
            <w:tcW w:type="dxa" w:w="357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APP_RUNTIME_MODE</w:t>
            </w:r>
          </w:p>
        </w:tc>
        <w:tc>
          <w:tcPr>
            <w:tcW w:type="dxa" w:w="43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public_api / admin_api / outbox / retention</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DB</w:t>
            </w:r>
          </w:p>
        </w:tc>
        <w:tc>
          <w:tcPr>
            <w:tcW w:type="dxa" w:w="357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PG_SSL_MODE</w:t>
            </w:r>
          </w:p>
        </w:tc>
        <w:tc>
          <w:tcPr>
            <w:tcW w:type="dxa" w:w="43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verify-full</w:t>
            </w:r>
          </w:p>
        </w:tc>
      </w:tr>
      <w:tr>
        <w:tc>
          <w:tcPr>
            <w:tcW w:type="dxa" w:w="170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DB</w:t>
            </w:r>
          </w:p>
        </w:tc>
        <w:tc>
          <w:tcPr>
            <w:tcW w:type="dxa" w:w="357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PG_USER</w:t>
            </w:r>
          </w:p>
        </w:tc>
        <w:tc>
          <w:tcPr>
            <w:tcW w:type="dxa" w:w="43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rôle dédié par workload</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Outbox API</w:t>
            </w:r>
          </w:p>
        </w:tc>
        <w:tc>
          <w:tcPr>
            <w:tcW w:type="dxa" w:w="357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OUTBOX_PUBLISHER_ENABLED</w:t>
            </w:r>
          </w:p>
        </w:tc>
        <w:tc>
          <w:tcPr>
            <w:tcW w:type="dxa" w:w="43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false si publisher dédié</w:t>
            </w:r>
          </w:p>
        </w:tc>
      </w:tr>
      <w:tr>
        <w:tc>
          <w:tcPr>
            <w:tcW w:type="dxa" w:w="170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Outbox API</w:t>
            </w:r>
          </w:p>
        </w:tc>
        <w:tc>
          <w:tcPr>
            <w:tcW w:type="dxa" w:w="357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OUTBOX_IMMEDIATE_PUBLISH_AFTER_REQUEST</w:t>
            </w:r>
          </w:p>
        </w:tc>
        <w:tc>
          <w:tcPr>
            <w:tcW w:type="dxa" w:w="43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false si publisher dédié</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SB</w:t>
            </w:r>
          </w:p>
        </w:tc>
        <w:tc>
          <w:tcPr>
            <w:tcW w:type="dxa" w:w="357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SERVICEBUS_AUTH_MODE</w:t>
            </w:r>
          </w:p>
        </w:tc>
        <w:tc>
          <w:tcPr>
            <w:tcW w:type="dxa" w:w="43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managed_identity</w:t>
            </w:r>
          </w:p>
        </w:tc>
      </w:tr>
      <w:tr>
        <w:tc>
          <w:tcPr>
            <w:tcW w:type="dxa" w:w="170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Admin</w:t>
            </w:r>
          </w:p>
        </w:tc>
        <w:tc>
          <w:tcPr>
            <w:tcW w:type="dxa" w:w="357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ADMIN_AUTH_MODE</w:t>
            </w:r>
          </w:p>
        </w:tc>
        <w:tc>
          <w:tcPr>
            <w:tcW w:type="dxa" w:w="43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oidc</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Network</w:t>
            </w:r>
          </w:p>
        </w:tc>
        <w:tc>
          <w:tcPr>
            <w:tcW w:type="dxa" w:w="357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enable_private_endpoints</w:t>
            </w:r>
          </w:p>
        </w:tc>
        <w:tc>
          <w:tcPr>
            <w:tcW w:type="dxa" w:w="43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true cible</w:t>
            </w:r>
          </w:p>
        </w:tc>
      </w:tr>
      <w:tr>
        <w:tc>
          <w:tcPr>
            <w:tcW w:type="dxa" w:w="170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Network</w:t>
            </w:r>
          </w:p>
        </w:tc>
        <w:tc>
          <w:tcPr>
            <w:tcW w:type="dxa" w:w="357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enable_postgres_public_access</w:t>
            </w:r>
          </w:p>
        </w:tc>
        <w:tc>
          <w:tcPr>
            <w:tcW w:type="dxa" w:w="43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false cible</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APIM</w:t>
            </w:r>
          </w:p>
        </w:tc>
        <w:tc>
          <w:tcPr>
            <w:tcW w:type="dxa" w:w="357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apim_subscription_required</w:t>
            </w:r>
          </w:p>
        </w:tc>
        <w:tc>
          <w:tcPr>
            <w:tcW w:type="dxa" w:w="43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true</w:t>
            </w:r>
          </w:p>
        </w:tc>
      </w:tr>
    </w:tbl>
    <w:p>
      <w:pPr>
        <w:spacing w:after="20"/>
      </w:pPr>
    </w:p>
    <w:p>
      <w:pPr>
        <w:pStyle w:val="Heading1"/>
        <w:pBdr>
          <w:bottom w:val="single" w:sz="10" w:space="4" w:color="173A5E"/>
        </w:pBdr>
        <w:keepNext/>
      </w:pPr>
      <w:r>
        <w:t>Annexe B - Modèle SQL de création des rôles</w:t>
      </w:r>
    </w:p>
    <w:p>
      <w:pPr>
        <w:spacing w:before="80" w:after="40"/>
        <w:keepNext/>
      </w:pPr>
      <w:r>
        <w:rPr>
          <w:rFonts w:ascii="Liberation Sans" w:hAnsi="Liberation Sans"/>
          <w:b/>
          <w:color w:val="2F6B8A"/>
          <w:sz w:val="18"/>
        </w:rPr>
        <w:t>Extrait canonique - à transformer en script versionné</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\set ON_ERROR_STOP on</w:t>
              <w:br/>
              <w:br/>
              <w:t>DO $block$</w:t>
              <w:br/>
              <w:t>BEGIN</w:t>
              <w:br/>
              <w:t xml:space="preserve">  IF NOT EXISTS (SELECT 1 FROM pg_roles WHERE rolname='bevoac_api') THEN</w:t>
              <w:br/>
              <w:t xml:space="preserve">    CREATE ROLE bevoac_api;</w:t>
              <w:br/>
              <w:t xml:space="preserve">  END IF;</w:t>
              <w:br/>
              <w:t>END</w:t>
              <w:br/>
              <w:t>$block$;</w:t>
              <w:br/>
              <w:br/>
              <w:t>ALTER ROLE bevoac_api WITH LOGIN NOINHERIT NOSUPERUSER</w:t>
              <w:br/>
              <w:t xml:space="preserve">  NOCREATEROLE NOCREATEDB NOREPLICATION NOBYPASSRLS</w:t>
              <w:br/>
              <w:t xml:space="preserve">  PASSWORD :'api_password';</w:t>
              <w:br/>
              <w:t>ALTER ROLE bevoac_api SET search_path TO public, pg_catalog;</w:t>
              <w:br/>
              <w:br/>
              <w:t>-- Répéter le même patron pour worker, outbox, retention,</w:t>
              <w:br/>
              <w:t>-- admin_api et operator avec un mot de passe distinct.</w:t>
              <w:br/>
              <w:t>-- Ne jamais versionner les valeurs de variables psql.</w:t>
            </w:r>
          </w:p>
        </w:tc>
        <w:trPr>
          <w:tblHeader/>
        </w:trPr>
      </w:tr>
    </w:tbl>
    <w:p>
      <w:pPr>
        <w:spacing w:after="20"/>
      </w:pPr>
    </w:p>
    <w:p>
      <w:pPr>
        <w:pStyle w:val="Heading1"/>
        <w:pBdr>
          <w:bottom w:val="single" w:sz="10" w:space="4" w:color="173A5E"/>
        </w:pBdr>
        <w:keepNext/>
      </w:pPr>
      <w:r>
        <w:t>Annexe C - Contrôles SQL RLS</w:t>
      </w:r>
    </w:p>
    <w:p>
      <w:pPr>
        <w:spacing w:before="80" w:after="40"/>
        <w:keepNext/>
      </w:pPr>
      <w:r>
        <w:rPr>
          <w:rFonts w:ascii="Liberation Sans" w:hAnsi="Liberation Sans"/>
          <w:b/>
          <w:color w:val="2F6B8A"/>
          <w:sz w:val="18"/>
        </w:rPr>
        <w:t>Inventaire RLS et privilèges</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SELECT version, name, applied_at</w:t>
              <w:br/>
              <w:t>FROM public.schema_migrations</w:t>
              <w:br/>
              <w:t>ORDER BY version;</w:t>
              <w:br/>
              <w:br/>
              <w:t>SELECT c.relname, c.relrowsecurity, c.relforcerowsecurity</w:t>
              <w:br/>
              <w:t>FROM pg_class c</w:t>
              <w:br/>
              <w:t>JOIN pg_namespace n ON n.oid=c.relnamespace</w:t>
              <w:br/>
              <w:t>WHERE n.nspname='public' AND c.relkind='r'</w:t>
              <w:br/>
              <w:t>ORDER BY c.relname;</w:t>
              <w:br/>
              <w:br/>
              <w:t>SELECT schemaname, tablename, policyname, roles, cmd</w:t>
              <w:br/>
              <w:t>FROM pg_policies</w:t>
              <w:br/>
              <w:t>WHERE schemaname='public'</w:t>
              <w:br/>
              <w:t>ORDER BY tablename, policyname;</w:t>
              <w:br/>
              <w:br/>
              <w:t>SELECT grantee, table_name, privilege_type</w:t>
              <w:br/>
              <w:t>FROM information_schema.role_table_grants</w:t>
              <w:br/>
              <w:t>WHERE table_schema='public'</w:t>
              <w:br/>
              <w:t xml:space="preserve">  AND grantee LIKE 'bevoac_%'</w:t>
              <w:br/>
              <w:t>ORDER BY grantee, table_name, privilege_type;</w:t>
            </w:r>
          </w:p>
        </w:tc>
        <w:trPr>
          <w:tblHeader/>
        </w:trPr>
      </w:tr>
    </w:tbl>
    <w:p>
      <w:pPr>
        <w:spacing w:after="20"/>
      </w:pPr>
    </w:p>
    <w:p>
      <w:pPr>
        <w:pStyle w:val="Heading1"/>
        <w:pBdr>
          <w:bottom w:val="single" w:sz="10" w:space="4" w:color="173A5E"/>
        </w:pBdr>
        <w:keepNext/>
      </w:pPr>
      <w:r>
        <w:t>Annexe D - Commandes obsolètes et interdites</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453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Ne plus utiliser</w:t>
            </w:r>
          </w:p>
        </w:tc>
        <w:tc>
          <w:tcPr>
            <w:tcW w:type="dxa" w:w="510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Remplacement</w:t>
            </w:r>
          </w:p>
        </w:tc>
      </w:tr>
      <w:tr>
        <w:tc>
          <w:tcPr>
            <w:tcW w:type="dxa" w:w="453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ALLOW_RLS_APPLY=true npm run migrate-db:rls</w:t>
            </w:r>
          </w:p>
        </w:tc>
        <w:tc>
          <w:tcPr>
            <w:tcW w:type="dxa" w:w="510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ALLOW_ENTERPRISE_RUNTIME_RLS_APPLY=true npm run migrate-db:runtime-role-rls</w:t>
            </w:r>
          </w:p>
        </w:tc>
      </w:tr>
      <w:tr>
        <w:tc>
          <w:tcPr>
            <w:tcW w:type="dxa" w:w="453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ALLOW_ENTERPRISE_RLS_APPLY=true npm run migrate-db:enterprise-rls</w:t>
            </w:r>
          </w:p>
        </w:tc>
        <w:tc>
          <w:tcPr>
            <w:tcW w:type="dxa" w:w="510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Même remplacement runtime-role-rls.</w:t>
            </w:r>
          </w:p>
        </w:tc>
      </w:tr>
      <w:tr>
        <w:tc>
          <w:tcPr>
            <w:tcW w:type="dxa" w:w="453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npm run check:tenant-isolation:enterprise</w:t>
            </w:r>
          </w:p>
        </w:tc>
        <w:tc>
          <w:tcPr>
            <w:tcW w:type="dxa" w:w="510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Tests dynamiques par logins + CI PostgreSQL à industrialiser.</w:t>
            </w:r>
          </w:p>
        </w:tc>
      </w:tr>
      <w:tr>
        <w:tc>
          <w:tcPr>
            <w:tcW w:type="dxa" w:w="453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app.service_context / withServiceSession</w:t>
            </w:r>
          </w:p>
        </w:tc>
        <w:tc>
          <w:tcPr>
            <w:tcW w:type="dxa" w:w="510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Identité réelle session_user + app.current_tenant_id pour API/worker.</w:t>
            </w:r>
          </w:p>
        </w:tc>
      </w:tr>
      <w:tr>
        <w:tc>
          <w:tcPr>
            <w:tcW w:type="dxa" w:w="453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npm run init-db:prod-hardening en greenfield</w:t>
            </w:r>
          </w:p>
        </w:tc>
        <w:tc>
          <w:tcPr>
            <w:tcW w:type="dxa" w:w="510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npm run init-db puis npm run migrate-db.</w:t>
            </w:r>
          </w:p>
        </w:tc>
      </w:tr>
    </w:tbl>
    <w:p>
      <w:pPr>
        <w:spacing w:after="20"/>
      </w:pPr>
    </w:p>
    <w:p>
      <w:pPr>
        <w:pStyle w:val="Heading1"/>
        <w:pBdr>
          <w:bottom w:val="single" w:sz="10" w:space="4" w:color="173A5E"/>
        </w:pBdr>
        <w:keepNext/>
      </w:pPr>
      <w:r>
        <w:t>Annexe E - Historique des changements R2</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494"/>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Date / commit</w:t>
            </w:r>
          </w:p>
        </w:tc>
        <w:tc>
          <w:tcPr>
            <w:tcW w:type="dxa" w:w="7143"/>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Changement</w:t>
            </w:r>
          </w:p>
        </w:tc>
      </w:tr>
      <w:tr>
        <w:tc>
          <w:tcPr>
            <w:tcW w:type="dxa" w:w="249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2026-07-16</w:t>
            </w:r>
          </w:p>
        </w:tc>
        <w:tc>
          <w:tcPr>
            <w:tcW w:type="dxa" w:w="714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Migration du state vers le nouveau repository ; alignement des images/révisions et ajout des identités/secrets dédiés.</w:t>
            </w:r>
          </w:p>
        </w:tc>
      </w:tr>
      <w:tr>
        <w:tc>
          <w:tcPr>
            <w:tcW w:type="dxa" w:w="249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2026-07-16</w:t>
            </w:r>
          </w:p>
        </w:tc>
        <w:tc>
          <w:tcPr>
            <w:tcW w:type="dxa" w:w="714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Création des six rôles PostgreSQL runtime et frontière d’authentification API key.</w:t>
            </w:r>
          </w:p>
        </w:tc>
      </w:tr>
      <w:tr>
        <w:tc>
          <w:tcPr>
            <w:tcW w:type="dxa" w:w="249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2026-07-17</w:t>
            </w:r>
          </w:p>
        </w:tc>
        <w:tc>
          <w:tcPr>
            <w:tcW w:type="dxa" w:w="714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Migration runtime-role RLS, tests dynamiques des six logins, 15 tables / 29 policies / 58 privilèges.</w:t>
            </w:r>
          </w:p>
        </w:tc>
      </w:tr>
      <w:tr>
        <w:tc>
          <w:tcPr>
            <w:tcW w:type="dxa" w:w="249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2026-07-17</w:t>
            </w:r>
          </w:p>
        </w:tc>
        <w:tc>
          <w:tcPr>
            <w:tcW w:type="dxa" w:w="714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Node 24 API/worker, lockfiles versionnés, nettoyage des doublons et migrations historiques.</w:t>
            </w:r>
          </w:p>
        </w:tc>
      </w:tr>
      <w:tr>
        <w:tc>
          <w:tcPr>
            <w:tcW w:type="dxa" w:w="249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2026-07-20 / f37c066</w:t>
            </w:r>
          </w:p>
        </w:tc>
        <w:tc>
          <w:tcPr>
            <w:tcW w:type="dxa" w:w="714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Suppression complète de app.service_context ; test de non-régression ; API 44/44, worker 5/5 ; push GitHub.</w:t>
            </w:r>
          </w:p>
        </w:tc>
      </w:tr>
    </w:tbl>
    <w:p>
      <w:pPr>
        <w:spacing w:after="20"/>
      </w:pPr>
    </w:p>
    <w:p>
      <w:pPr>
        <w:pStyle w:val="Heading1"/>
        <w:pBdr>
          <w:bottom w:val="single" w:sz="10" w:space="4" w:color="173A5E"/>
        </w:pBdr>
        <w:keepNext/>
      </w:pPr>
      <w:r>
        <w:t>Annexe F - Dette technique et roadmap contrôlée</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134"/>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Priorité</w:t>
            </w:r>
          </w:p>
        </w:tc>
        <w:tc>
          <w:tcPr>
            <w:tcW w:type="dxa" w:w="374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Sujet</w:t>
            </w:r>
          </w:p>
        </w:tc>
        <w:tc>
          <w:tcPr>
            <w:tcW w:type="dxa" w:w="476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Critère de clôture</w:t>
            </w:r>
          </w:p>
        </w:tc>
      </w:tr>
      <w:tr>
        <w:tc>
          <w:tcPr>
            <w:tcW w:type="dxa" w:w="113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P0</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Rollout production rôles/RLS</w:t>
            </w:r>
          </w:p>
        </w:tc>
        <w:tc>
          <w:tcPr>
            <w:tcW w:type="dxa" w:w="476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Container Apps sur PG_USER dédiés ; denial tests prod/staging ; aucun admin runtime.</w:t>
            </w:r>
          </w:p>
        </w:tc>
      </w:tr>
      <w:tr>
        <w:tc>
          <w:tcPr>
            <w:tcW w:type="dxa" w:w="113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P0</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Réseau privé</w:t>
            </w:r>
          </w:p>
        </w:tc>
        <w:tc>
          <w:tcPr>
            <w:tcW w:type="dxa" w:w="476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Private endpoints/DNS/runner privé ; accès public désactivé.</w:t>
            </w:r>
          </w:p>
        </w:tc>
      </w:tr>
      <w:tr>
        <w:tc>
          <w:tcPr>
            <w:tcW w:type="dxa" w:w="113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P0</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CI PostgreSQL</w:t>
            </w:r>
          </w:p>
        </w:tc>
        <w:tc>
          <w:tcPr>
            <w:tcW w:type="dxa" w:w="476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Service postgres:16, bootstrap/migrations, six logins et matrice grants automatisés.</w:t>
            </w:r>
          </w:p>
        </w:tc>
      </w:tr>
      <w:tr>
        <w:tc>
          <w:tcPr>
            <w:tcW w:type="dxa" w:w="113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P1</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Key Vault RBAC</w:t>
            </w:r>
          </w:p>
        </w:tc>
        <w:tc>
          <w:tcPr>
            <w:tcW w:type="dxa" w:w="476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Suppression des assignments coffre-wide après validation secret-level.</w:t>
            </w:r>
          </w:p>
        </w:tc>
      </w:tr>
      <w:tr>
        <w:tc>
          <w:tcPr>
            <w:tcW w:type="dxa" w:w="113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P1</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Ingress APIM-only</w:t>
            </w:r>
          </w:p>
        </w:tc>
        <w:tc>
          <w:tcPr>
            <w:tcW w:type="dxa" w:w="476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API directe restreinte réseau ; break-glass documenté.</w:t>
            </w:r>
          </w:p>
        </w:tc>
      </w:tr>
      <w:tr>
        <w:tc>
          <w:tcPr>
            <w:tcW w:type="dxa" w:w="113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P1</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Backend Terraform</w:t>
            </w:r>
          </w:p>
        </w:tc>
        <w:tc>
          <w:tcPr>
            <w:tcW w:type="dxa" w:w="476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State distant Azure Storage, lock, RBAC et sauvegarde.</w:t>
            </w:r>
          </w:p>
        </w:tc>
      </w:tr>
      <w:tr>
        <w:tc>
          <w:tcPr>
            <w:tcW w:type="dxa" w:w="113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P1</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AzureRM v5</w:t>
            </w:r>
          </w:p>
        </w:tc>
        <w:tc>
          <w:tcPr>
            <w:tcW w:type="dxa" w:w="476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Remplacer storage_account_name/container_name dépréciés.</w:t>
            </w:r>
          </w:p>
        </w:tc>
      </w:tr>
      <w:tr>
        <w:tc>
          <w:tcPr>
            <w:tcW w:type="dxa" w:w="113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P1</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Admin API séparée</w:t>
            </w:r>
          </w:p>
        </w:tc>
        <w:tc>
          <w:tcPr>
            <w:tcW w:type="dxa" w:w="476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Container App admin dédiée, OIDC et rôle DB admin_api.</w:t>
            </w:r>
          </w:p>
        </w:tc>
      </w:tr>
      <w:tr>
        <w:tc>
          <w:tcPr>
            <w:tcW w:type="dxa" w:w="113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P1</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Restore drill / incident</w:t>
            </w:r>
          </w:p>
        </w:tc>
        <w:tc>
          <w:tcPr>
            <w:tcW w:type="dxa" w:w="476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RTO/RPO, test restore, tabletop incident.</w:t>
            </w:r>
          </w:p>
        </w:tc>
      </w:tr>
      <w:tr>
        <w:tc>
          <w:tcPr>
            <w:tcW w:type="dxa" w:w="113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P2</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Pentest / charge</w:t>
            </w:r>
          </w:p>
        </w:tc>
        <w:tc>
          <w:tcPr>
            <w:tcW w:type="dxa" w:w="476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Preuves externes avant claim enterprise-certified.</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E7F4E8"/>
            <w:tcBorders>
              <w:top w:val="single" w:sz="6" w:color="2E7D32"/>
              <w:left w:val="single" w:sz="10" w:color="2E7D32"/>
              <w:bottom w:val="single" w:sz="6" w:color="2E7D32"/>
              <w:right w:val="single" w:sz="6" w:color="2E7D32"/>
            </w:tcBorders>
          </w:tcPr>
          <w:p>
            <w:pPr>
              <w:spacing w:after="20"/>
            </w:pPr>
            <w:r>
              <w:rPr>
                <w:rFonts w:ascii="Liberation Sans" w:hAnsi="Liberation Sans"/>
                <w:b/>
                <w:color w:val="2E7D32"/>
                <w:sz w:val="18"/>
              </w:rPr>
              <w:t xml:space="preserve">CONCLUSION  </w:t>
            </w:r>
            <w:r>
              <w:rPr>
                <w:rFonts w:ascii="Liberation Sans" w:hAnsi="Liberation Sans"/>
                <w:color w:val="102A43"/>
                <w:sz w:val="18"/>
              </w:rPr>
              <w:t>Le runbook V6.1.2-R2 remplace les variantes historiques. Le socle de code et le modèle PostgreSQL sont durcis et validés ; le statut production enterprise strict reste conditionné au rollout réel des rôles/RLS, au réseau privé, à la CI DB, au restore drill, au pentest et à la charge élargie.</w:t>
            </w:r>
          </w:p>
        </w:tc>
        <w:trPr>
          <w:tblHeader/>
        </w:trPr>
      </w:tr>
    </w:tbl>
    <w:p>
      <w:pPr>
        <w:spacing w:after="20"/>
      </w:pPr>
    </w:p>
    <w:sectPr>
      <w:headerReference w:type="default" r:id="rId9"/>
      <w:footerReference w:type="default" r:id="rId10"/>
      <w:pgSz w:w="11906" w:h="16838"/>
      <w:pgMar w:top="879" w:right="935" w:bottom="822"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5017"/>
      <w:gridCol w:w="5017"/>
    </w:tblGrid>
    <w:tr>
      <w:tc>
        <w:tcPr>
          <w:tcW w:type="dxa" w:w="7654"/>
        </w:tcPr>
        <w:p>
          <w:pPr>
            <w:jc w:val="left"/>
          </w:pPr>
          <w:r>
            <w:rPr>
              <w:rFonts w:ascii="Liberation Sans" w:hAnsi="Liberation Sans"/>
              <w:color w:val="5B6770"/>
              <w:sz w:val="15"/>
            </w:rPr>
            <w:t>Document contrôlé - Ne pas diffuser avec secrets, clés ou identifiants réels</w:t>
          </w:r>
        </w:p>
      </w:tc>
      <w:tc>
        <w:tcPr>
          <w:tcW w:type="dxa" w:w="2381"/>
        </w:tcPr>
        <w:p>
          <w:pPr>
            <w:jc w:val="right"/>
          </w:pPr>
          <w:r>
            <w:rPr>
              <w:sz w:val="16"/>
            </w:rPr>
            <w:t xml:space="preserve">Page </w:t>
            <w:fldChar w:fldCharType="begin"/>
            <w:instrText xml:space="preserve">PAGE</w:instrText>
            <w:fldChar w:fldCharType="end"/>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B6770"/>
        <w:sz w:val="16"/>
      </w:rPr>
      <w:t>Bevoac V6.1.2-R2 - Runbook canonique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color w:val="102A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173A5E"/>
      <w:sz w:val="35"/>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b/>
      <w:bCs/>
      <w:color w:val="007C91"/>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2F6B8A"/>
      <w:sz w:val="22"/>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Liberation Sans" w:hAnsi="Liberation Sans"/>
      <w:b/>
      <w:bCs/>
      <w:i/>
      <w:iCs/>
      <w:color w:val="66519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Liberation Mono" w:hAnsi="Liberation Mono"/>
      <w:color w:val="1E2E3A"/>
      <w:sz w:val="15"/>
    </w:rPr>
  </w:style>
  <w:style w:type="paragraph" w:customStyle="1" w:styleId="CaptionCustom">
    <w:name w:val="Caption Custom"/>
    <w:pPr>
      <w:spacing w:before="40" w:after="140"/>
    </w:pPr>
    <w:rPr>
      <w:rFonts w:ascii="Liberation Sans" w:hAnsi="Liberation Sans"/>
      <w:i/>
      <w:color w:val="5B67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Bevoac V6.1.2-R2 Production Enterprise-Ready</dc:title>
  <dc:subject>Déploiement from scratch, architecture, sécurité RLS, exploitation et validation</dc:subject>
  <dc:creator/>
  <cp:keywords/>
  <dc:description>Généré à partir des runbooks V6.1.2 et des preuves de refactoring validées jusqu’au commit f37c066.</dc:description>
  <cp:lastModifiedBy/>
  <cp:revision>1</cp:revision>
  <dcterms:created xsi:type="dcterms:W3CDTF">2013-12-23T23:15:00Z</dcterms:created>
  <dcterms:modified xsi:type="dcterms:W3CDTF">2013-12-23T23:15:00Z</dcterms:modified>
  <cp:category/>
</cp:coreProperties>
</file>