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Liberation Sans" w:hAnsi="Liberation Sans"/>
          <w:b/>
          <w:color w:val="173A5E"/>
          <w:sz w:val="68"/>
        </w:rPr>
        <w:t>BEVOAC</w:t>
      </w:r>
    </w:p>
    <w:p>
      <w:pPr>
        <w:spacing w:before="360"/>
        <w:jc w:val="center"/>
      </w:pPr>
      <w:r>
        <w:rPr>
          <w:rFonts w:ascii="Liberation Sans" w:hAnsi="Liberation Sans"/>
          <w:b/>
          <w:color w:val="173A5E"/>
          <w:sz w:val="48"/>
        </w:rPr>
        <w:t>NOTICE D’OBSOLESCENCE</w:t>
      </w:r>
    </w:p>
    <w:p>
      <w:pPr>
        <w:jc w:val="center"/>
      </w:pPr>
      <w:r>
        <w:rPr>
          <w:rFonts w:ascii="Liberation Sans" w:hAnsi="Liberation Sans"/>
          <w:color w:val="007C91"/>
          <w:sz w:val="27"/>
        </w:rPr>
        <w:t>Runbook V6.1.2 Production Enterprise Hardened (ancienne variante)</w:t>
      </w:r>
    </w:p>
    <w:p/>
    <w:tbl>
      <w:tblPr>
        <w:tblW w:type="auto" w:w="0"/>
        <w:jc w:val="center"/>
        <w:tblLayout w:type="fixed"/>
        <w:tblLook w:firstColumn="1" w:firstRow="1" w:lastColumn="0" w:lastRow="0" w:noHBand="0" w:noVBand="1" w:val="04A0"/>
      </w:tblPr>
      <w:tblGrid>
        <w:gridCol w:w="5018"/>
        <w:gridCol w:w="5018"/>
      </w:tblGrid>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Version documentaire</w:t>
            </w:r>
          </w:p>
        </w:tc>
        <w:tc>
          <w:tcPr>
            <w:tcW w:type="dxa" w:w="5726"/>
            <w:tcBorders>
              <w:top w:val="single" w:sz="4" w:color="AAB7C4"/>
              <w:left w:val="single" w:sz="4" w:color="AAB7C4"/>
              <w:bottom w:val="single" w:sz="4" w:color="AAB7C4"/>
              <w:right w:val="single" w:sz="4" w:color="AAB7C4"/>
            </w:tcBorders>
          </w:tcPr>
          <w:p>
            <w:r>
              <w:rPr>
                <w:rFonts w:ascii="Liberation Sans" w:hAnsi="Liberation Sans"/>
                <w:color w:val="102A43"/>
                <w:sz w:val="18"/>
              </w:rPr>
              <w:t>V6.1.2-R2</w:t>
            </w:r>
          </w:p>
        </w:tc>
        <w:trPr>
          <w:tblHeader/>
        </w:trPr>
      </w:tr>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Statut</w:t>
            </w:r>
          </w:p>
        </w:tc>
        <w:tc>
          <w:tcPr>
            <w:tcW w:type="dxa" w:w="5726"/>
            <w:tcBorders>
              <w:top w:val="single" w:sz="4" w:color="AAB7C4"/>
              <w:left w:val="single" w:sz="4" w:color="AAB7C4"/>
              <w:bottom w:val="single" w:sz="4" w:color="AAB7C4"/>
              <w:right w:val="single" w:sz="4" w:color="AAB7C4"/>
            </w:tcBorders>
          </w:tcPr>
          <w:p>
            <w:r>
              <w:rPr>
                <w:rFonts w:ascii="Liberation Sans" w:hAnsi="Liberation Sans"/>
                <w:color w:val="102A43"/>
                <w:sz w:val="18"/>
              </w:rPr>
              <w:t>DÉPRÉCIÉ - NE PAS UTILISER</w:t>
            </w:r>
          </w:p>
        </w:tc>
      </w:tr>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Baseline code</w:t>
            </w:r>
          </w:p>
        </w:tc>
        <w:tc>
          <w:tcPr>
            <w:tcW w:type="dxa" w:w="5726"/>
            <w:tcBorders>
              <w:top w:val="single" w:sz="4" w:color="AAB7C4"/>
              <w:left w:val="single" w:sz="4" w:color="AAB7C4"/>
              <w:bottom w:val="single" w:sz="4" w:color="AAB7C4"/>
              <w:right w:val="single" w:sz="4" w:color="AAB7C4"/>
            </w:tcBorders>
          </w:tcPr>
          <w:p>
            <w:r>
              <w:rPr>
                <w:rFonts w:ascii="Liberation Sans" w:hAnsi="Liberation Sans"/>
                <w:color w:val="102A43"/>
                <w:sz w:val="18"/>
              </w:rPr>
              <w:t>Remplacé par le runbook canonique R2</w:t>
            </w:r>
          </w:p>
        </w:tc>
      </w:tr>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Date</w:t>
            </w:r>
          </w:p>
        </w:tc>
        <w:tc>
          <w:tcPr>
            <w:tcW w:type="dxa" w:w="5726"/>
            <w:tcBorders>
              <w:top w:val="single" w:sz="4" w:color="AAB7C4"/>
              <w:left w:val="single" w:sz="4" w:color="AAB7C4"/>
              <w:bottom w:val="single" w:sz="4" w:color="AAB7C4"/>
              <w:right w:val="single" w:sz="4" w:color="AAB7C4"/>
            </w:tcBorders>
          </w:tcPr>
          <w:p>
            <w:r>
              <w:rPr>
                <w:rFonts w:ascii="Liberation Sans" w:hAnsi="Liberation Sans"/>
                <w:color w:val="102A43"/>
                <w:sz w:val="18"/>
              </w:rPr>
              <w:t>20 juillet 2026</w:t>
            </w:r>
          </w:p>
        </w:tc>
      </w:tr>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Classification</w:t>
            </w:r>
          </w:p>
        </w:tc>
        <w:tc>
          <w:tcPr>
            <w:tcW w:type="dxa" w:w="5726"/>
            <w:tcBorders>
              <w:top w:val="single" w:sz="4" w:color="AAB7C4"/>
              <w:left w:val="single" w:sz="4" w:color="AAB7C4"/>
              <w:bottom w:val="single" w:sz="4" w:color="AAB7C4"/>
              <w:right w:val="single" w:sz="4" w:color="AAB7C4"/>
            </w:tcBorders>
          </w:tcPr>
          <w:p>
            <w:r>
              <w:rPr>
                <w:rFonts w:ascii="Liberation Sans" w:hAnsi="Liberation Sans"/>
                <w:color w:val="102A43"/>
                <w:sz w:val="18"/>
              </w:rPr>
              <w:t>Interne / opérateur - sans secret réel</w:t>
            </w:r>
          </w:p>
        </w:tc>
      </w:tr>
    </w:tbl>
    <w:p/>
    <w:tbl>
      <w:tblPr>
        <w:tblW w:type="auto" w:w="0"/>
        <w:jc w:val="center"/>
        <w:tblLayout w:type="fixed"/>
        <w:tblLook w:firstColumn="1" w:firstRow="1" w:lastColumn="0" w:lastRow="0" w:noHBand="0" w:noVBand="1" w:val="04A0"/>
      </w:tblPr>
      <w:tblGrid>
        <w:gridCol w:w="10036"/>
      </w:tblGrid>
      <w:tr>
        <w:tc>
          <w:tcPr>
            <w:tcW w:type="dxa" w:w="9751"/>
            <w:shd w:fill="FCE9E7"/>
            <w:tcBorders>
              <w:top w:val="single" w:sz="6" w:color="B3261E"/>
              <w:left w:val="single" w:sz="10" w:color="B3261E"/>
              <w:bottom w:val="single" w:sz="6" w:color="B3261E"/>
              <w:right w:val="single" w:sz="6" w:color="B3261E"/>
            </w:tcBorders>
          </w:tcPr>
          <w:p>
            <w:pPr>
              <w:spacing w:after="20"/>
            </w:pPr>
            <w:r>
              <w:rPr>
                <w:rFonts w:ascii="Liberation Sans" w:hAnsi="Liberation Sans"/>
                <w:b/>
                <w:color w:val="B3261E"/>
                <w:sz w:val="18"/>
              </w:rPr>
              <w:t xml:space="preserve">SÉCURITÉ DOCUMENTAIRE  </w:t>
            </w:r>
            <w:r>
              <w:rPr>
                <w:rFonts w:ascii="Liberation Sans" w:hAnsi="Liberation Sans"/>
                <w:color w:val="102A43"/>
                <w:sz w:val="18"/>
              </w:rPr>
              <w:t>Toute clé API, clé APIM, mot de passe PostgreSQL, token OIDC, secret Key Vault, IP opérateur ou identifiant Azure visible dans une preuve doit être masqué, révoqué ou régénéré avant diffusion.</w:t>
            </w:r>
          </w:p>
        </w:tc>
        <w:trPr>
          <w:tblHeader/>
        </w:trPr>
      </w:tr>
    </w:tbl>
    <w:p>
      <w:pPr>
        <w:spacing w:after="20"/>
      </w:pPr>
    </w:p>
    <w:p>
      <w:pPr>
        <w:spacing w:before="360"/>
        <w:jc w:val="center"/>
      </w:pPr>
      <w:r>
        <w:rPr>
          <w:rFonts w:ascii="Liberation Sans" w:hAnsi="Liberation Sans"/>
          <w:i/>
          <w:color w:val="5B6770"/>
          <w:sz w:val="18"/>
        </w:rPr>
        <w:t>Runbook canonique. Les anciennes variantes sont remplacées et ne doivent plus être utilisées comme baseline.</w:t>
      </w:r>
    </w:p>
    <w:p>
      <w:r>
        <w:br w:type="page"/>
      </w:r>
    </w:p>
    <w:p>
      <w:pPr>
        <w:pStyle w:val="Heading1"/>
        <w:pBdr>
          <w:bottom w:val="single" w:sz="10" w:space="4" w:color="173A5E"/>
        </w:pBdr>
        <w:keepNext/>
      </w:pPr>
      <w:r>
        <w:t>1. Décision</w:t>
      </w:r>
    </w:p>
    <w:tbl>
      <w:tblPr>
        <w:tblW w:type="auto" w:w="0"/>
        <w:jc w:val="center"/>
        <w:tblLayout w:type="fixed"/>
        <w:tblLook w:firstColumn="1" w:firstRow="1" w:lastColumn="0" w:lastRow="0" w:noHBand="0" w:noVBand="1" w:val="04A0"/>
      </w:tblPr>
      <w:tblGrid>
        <w:gridCol w:w="10036"/>
      </w:tblGrid>
      <w:tr>
        <w:tc>
          <w:tcPr>
            <w:tcW w:type="dxa" w:w="9751"/>
            <w:shd w:fill="FCE9E7"/>
            <w:tcBorders>
              <w:top w:val="single" w:sz="6" w:color="B3261E"/>
              <w:left w:val="single" w:sz="10" w:color="B3261E"/>
              <w:bottom w:val="single" w:sz="6" w:color="B3261E"/>
              <w:right w:val="single" w:sz="6" w:color="B3261E"/>
            </w:tcBorders>
          </w:tcPr>
          <w:p>
            <w:pPr>
              <w:spacing w:after="20"/>
            </w:pPr>
            <w:r>
              <w:rPr>
                <w:rFonts w:ascii="Liberation Sans" w:hAnsi="Liberation Sans"/>
                <w:b/>
                <w:color w:val="B3261E"/>
                <w:sz w:val="18"/>
              </w:rPr>
              <w:t xml:space="preserve">DÉPRÉCIÉ  </w:t>
            </w:r>
            <w:r>
              <w:rPr>
                <w:rFonts w:ascii="Liberation Sans" w:hAnsi="Liberation Sans"/>
                <w:color w:val="102A43"/>
                <w:sz w:val="18"/>
              </w:rPr>
              <w:t>Le document Runbook_Bevoac_V6_1_2_Production_ENTERPRISE_HARDENED.docx ne doit plus être utilisé. Il faisait doublon avec le runbook principal et contient un modèle RLS supprimé du code.</w:t>
            </w:r>
          </w:p>
        </w:tc>
        <w:trPr>
          <w:tblHeader/>
        </w:trPr>
      </w:tr>
    </w:tbl>
    <w:p>
      <w:pPr>
        <w:spacing w:after="20"/>
      </w:pPr>
    </w:p>
    <w:p>
      <w:pPr>
        <w:spacing w:after="80"/>
      </w:pPr>
      <w:r>
        <w:rPr>
          <w:rFonts w:ascii="Liberation Sans" w:hAnsi="Liberation Sans"/>
          <w:i w:val="0"/>
        </w:rPr>
        <w:t>Les éléments utiles ont été fusionnés dans : Runbook_Bevoac_V6_1_2_Production_Enterprise_Ready_R2.docx. Le parcours opérateur court est fourni dans Guide_From_Scratch_Bevoac_V6_1_2_R2.docx.</w:t>
      </w:r>
    </w:p>
    <w:p>
      <w:pPr>
        <w:pStyle w:val="Heading1"/>
        <w:pBdr>
          <w:bottom w:val="single" w:sz="10" w:space="4" w:color="173A5E"/>
        </w:pBdr>
        <w:keepNext/>
      </w:pPr>
      <w:r>
        <w:t>2. Raisons techniques</w:t>
      </w:r>
    </w:p>
    <w:p>
      <w:pPr>
        <w:pStyle w:val="ListBullet"/>
        <w:spacing w:after="50"/>
      </w:pPr>
      <w:r>
        <w:rPr>
          <w:rFonts w:ascii="Liberation Sans" w:hAnsi="Liberation Sans"/>
        </w:rPr>
        <w:t>Le document historique recommandait app.service_context pour les services backend ; ce contexte mutable a été supprimé.</w:t>
      </w:r>
    </w:p>
    <w:p>
      <w:pPr>
        <w:pStyle w:val="ListBullet"/>
        <w:spacing w:after="50"/>
      </w:pPr>
      <w:r>
        <w:rPr>
          <w:rFonts w:ascii="Liberation Sans" w:hAnsi="Liberation Sans"/>
        </w:rPr>
        <w:t>Il utilisait migrate-db:enterprise-rls et check:tenant-isolation:enterprise ; ces chemins sont désormais bloqués ou supprimés.</w:t>
      </w:r>
    </w:p>
    <w:p>
      <w:pPr>
        <w:pStyle w:val="ListBullet"/>
        <w:spacing w:after="50"/>
      </w:pPr>
      <w:r>
        <w:rPr>
          <w:rFonts w:ascii="Liberation Sans" w:hAnsi="Liberation Sans"/>
        </w:rPr>
        <w:t>Il ne documentait pas les six logins PostgreSQL, la frontière d’authentification API key, les 29 policies ni les 58 privilèges exacts.</w:t>
      </w:r>
    </w:p>
    <w:p>
      <w:pPr>
        <w:pStyle w:val="ListBullet"/>
        <w:spacing w:after="50"/>
      </w:pPr>
      <w:r>
        <w:rPr>
          <w:rFonts w:ascii="Liberation Sans" w:hAnsi="Liberation Sans"/>
        </w:rPr>
        <w:t>Il ne distinguait pas l’état réseau observé et la cible private endpoints.</w:t>
      </w:r>
    </w:p>
    <w:p>
      <w:pPr>
        <w:pStyle w:val="ListBullet"/>
        <w:spacing w:after="50"/>
      </w:pPr>
      <w:r>
        <w:rPr>
          <w:rFonts w:ascii="Liberation Sans" w:hAnsi="Liberation Sans"/>
        </w:rPr>
        <w:t>Il ne couvrait pas la migration de state, les révisions Container Apps ni la séparation public_api/admin_api/outbox/retention.</w:t>
      </w:r>
    </w:p>
    <w:p>
      <w:pPr>
        <w:pStyle w:val="Heading1"/>
        <w:pBdr>
          <w:bottom w:val="single" w:sz="10" w:space="4" w:color="173A5E"/>
        </w:pBdr>
        <w:keepNext/>
      </w:pPr>
      <w:r>
        <w:t>3. Commandes interdites</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476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Ancienne commande</w:t>
            </w:r>
          </w:p>
        </w:tc>
        <w:tc>
          <w:tcPr>
            <w:tcW w:type="dxa" w:w="4876"/>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Commande actuelle</w:t>
            </w:r>
          </w:p>
        </w:tc>
      </w:tr>
      <w:tr>
        <w:tc>
          <w:tcPr>
            <w:tcW w:type="dxa" w:w="476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ALLOW_ENTERPRISE_RLS_APPLY=true npm run migrate-db:enterprise-rls</w:t>
            </w:r>
          </w:p>
        </w:tc>
        <w:tc>
          <w:tcPr>
            <w:tcW w:type="dxa" w:w="4876"/>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ALLOW_ENTERPRISE_RUNTIME_RLS_APPLY=true npm run migrate-db:runtime-role-rls</w:t>
            </w:r>
          </w:p>
        </w:tc>
      </w:tr>
      <w:tr>
        <w:tc>
          <w:tcPr>
            <w:tcW w:type="dxa" w:w="476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ALLOW_RLS_APPLY=true npm run migrate-db:rls</w:t>
            </w:r>
          </w:p>
        </w:tc>
        <w:tc>
          <w:tcPr>
            <w:tcW w:type="dxa" w:w="4876"/>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Même commande runtime-role-rls.</w:t>
            </w:r>
          </w:p>
        </w:tc>
      </w:tr>
      <w:tr>
        <w:tc>
          <w:tcPr>
            <w:tcW w:type="dxa" w:w="476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npm run check:tenant-isolation:enterprise</w:t>
            </w:r>
          </w:p>
        </w:tc>
        <w:tc>
          <w:tcPr>
            <w:tcW w:type="dxa" w:w="4876"/>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Validation six logins + CI PostgreSQL à industrialiser.</w:t>
            </w:r>
          </w:p>
        </w:tc>
      </w:tr>
      <w:tr>
        <w:tc>
          <w:tcPr>
            <w:tcW w:type="dxa" w:w="476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set_config(app.service_context, ...)</w:t>
            </w:r>
          </w:p>
        </w:tc>
        <w:tc>
          <w:tcPr>
            <w:tcW w:type="dxa" w:w="4876"/>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Identité réelle session_user ; app.current_tenant_id uniquement pour API/worker.</w:t>
            </w:r>
          </w:p>
        </w:tc>
      </w:tr>
    </w:tbl>
    <w:p>
      <w:pPr>
        <w:spacing w:after="20"/>
      </w:pPr>
    </w:p>
    <w:p>
      <w:pPr>
        <w:pStyle w:val="Heading1"/>
        <w:pBdr>
          <w:bottom w:val="single" w:sz="10" w:space="4" w:color="173A5E"/>
        </w:pBdr>
        <w:keepNext/>
      </w:pPr>
      <w:r>
        <w:t>4. Politique d’archive</w:t>
      </w:r>
    </w:p>
    <w:p>
      <w:pPr>
        <w:pStyle w:val="ListBullet"/>
        <w:spacing w:after="50"/>
      </w:pPr>
      <w:r>
        <w:rPr>
          <w:rFonts w:ascii="Liberation Sans" w:hAnsi="Liberation Sans"/>
        </w:rPr>
        <w:t>Déplacer l’ancien document sous docs/archive/legacy-v6-1-2/ dans une PR documentaire.</w:t>
      </w:r>
    </w:p>
    <w:p>
      <w:pPr>
        <w:pStyle w:val="ListBullet"/>
        <w:spacing w:after="50"/>
      </w:pPr>
      <w:r>
        <w:rPr>
          <w:rFonts w:ascii="Liberation Sans" w:hAnsi="Liberation Sans"/>
        </w:rPr>
        <w:t>Ne conserver qu’un runbook canonique actif et un quickstart dérivé.</w:t>
      </w:r>
    </w:p>
    <w:p>
      <w:pPr>
        <w:pStyle w:val="ListBullet"/>
        <w:spacing w:after="50"/>
      </w:pPr>
      <w:r>
        <w:rPr>
          <w:rFonts w:ascii="Liberation Sans" w:hAnsi="Liberation Sans"/>
        </w:rPr>
        <w:t>Ajouter un lien de redirection dans l’inventaire documentaire.</w:t>
      </w:r>
    </w:p>
    <w:p>
      <w:pPr>
        <w:pStyle w:val="ListBullet"/>
        <w:spacing w:after="50"/>
      </w:pPr>
      <w:r>
        <w:rPr>
          <w:rFonts w:ascii="Liberation Sans" w:hAnsi="Liberation Sans"/>
        </w:rPr>
        <w:t>Toute réutilisation de l’ancien document est un NO-GO documentaire.</w:t>
      </w:r>
    </w:p>
    <w:sectPr>
      <w:headerReference w:type="default" r:id="rId9"/>
      <w:footerReference w:type="default" r:id="rId10"/>
      <w:pgSz w:w="11906" w:h="16838"/>
      <w:pgMar w:top="879" w:right="935" w:bottom="822"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5017"/>
      <w:gridCol w:w="5017"/>
    </w:tblGrid>
    <w:tr>
      <w:tc>
        <w:tcPr>
          <w:tcW w:type="dxa" w:w="7654"/>
        </w:tcPr>
        <w:p>
          <w:pPr>
            <w:jc w:val="left"/>
          </w:pPr>
          <w:r>
            <w:rPr>
              <w:rFonts w:ascii="Liberation Sans" w:hAnsi="Liberation Sans"/>
              <w:color w:val="5B6770"/>
              <w:sz w:val="15"/>
            </w:rPr>
            <w:t>Document contrôlé - Ne pas diffuser avec secrets, clés ou identifiants réels</w:t>
          </w:r>
        </w:p>
      </w:tc>
      <w:tc>
        <w:tcPr>
          <w:tcW w:type="dxa" w:w="2381"/>
        </w:tcPr>
        <w:p>
          <w:pPr>
            <w:jc w:val="right"/>
          </w:pPr>
          <w:r>
            <w:rPr>
              <w:sz w:val="16"/>
            </w:rPr>
            <w:t xml:space="preserve">Page </w:t>
            <w:fldChar w:fldCharType="begin"/>
            <w:instrText xml:space="preserve">PAGE</w:instrText>
            <w:fldChar w:fldCharType="end"/>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B6770"/>
        <w:sz w:val="16"/>
      </w:rPr>
      <w:t>Bevoac V6.1.2 - Notice d’obsolescence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color w:val="102A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173A5E"/>
      <w:sz w:val="35"/>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b/>
      <w:bCs/>
      <w:color w:val="007C91"/>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2F6B8A"/>
      <w:sz w:val="22"/>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Liberation Sans" w:hAnsi="Liberation Sans"/>
      <w:b/>
      <w:bCs/>
      <w:i/>
      <w:iCs/>
      <w:color w:val="66519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Liberation Mono" w:hAnsi="Liberation Mono"/>
      <w:color w:val="1E2E3A"/>
      <w:sz w:val="15"/>
    </w:rPr>
  </w:style>
  <w:style w:type="paragraph" w:customStyle="1" w:styleId="CaptionCustom">
    <w:name w:val="Caption Custom"/>
    <w:pPr>
      <w:spacing w:before="40" w:after="140"/>
    </w:pPr>
    <w:rPr>
      <w:rFonts w:ascii="Liberation Sans" w:hAnsi="Liberation Sans"/>
      <w:i/>
      <w:color w:val="5B67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