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13769" w14:textId="77777777" w:rsidR="00E56F42" w:rsidRDefault="00000000">
      <w:pPr>
        <w:spacing w:after="302" w:line="259" w:lineRule="auto"/>
        <w:ind w:left="0" w:right="385" w:firstLine="0"/>
        <w:jc w:val="center"/>
      </w:pPr>
      <w:r>
        <w:rPr>
          <w:b/>
          <w:color w:val="1E3A8A"/>
          <w:sz w:val="56"/>
        </w:rPr>
        <w:t>UNIVERSITY OF PETRA</w:t>
      </w:r>
    </w:p>
    <w:p w14:paraId="5117B938" w14:textId="77777777" w:rsidR="00E56F42" w:rsidRDefault="00000000">
      <w:pPr>
        <w:spacing w:after="261" w:line="265" w:lineRule="auto"/>
        <w:ind w:right="384"/>
        <w:jc w:val="center"/>
      </w:pPr>
      <w:r>
        <w:rPr>
          <w:color w:val="475569"/>
          <w:sz w:val="36"/>
        </w:rPr>
        <w:t>Faculty of Information Technology</w:t>
      </w:r>
    </w:p>
    <w:p w14:paraId="16297FC6" w14:textId="77777777" w:rsidR="00E56F42" w:rsidRDefault="00000000">
      <w:pPr>
        <w:spacing w:after="1990" w:line="265" w:lineRule="auto"/>
        <w:ind w:right="384"/>
        <w:jc w:val="center"/>
      </w:pPr>
      <w:r>
        <w:rPr>
          <w:color w:val="475569"/>
          <w:sz w:val="36"/>
        </w:rPr>
        <w:t>Department of Data Science and Analytics</w:t>
      </w:r>
    </w:p>
    <w:p w14:paraId="51178E05" w14:textId="77777777" w:rsidR="00E56F42" w:rsidRDefault="00000000">
      <w:pPr>
        <w:spacing w:after="0" w:line="269" w:lineRule="auto"/>
        <w:ind w:right="0"/>
        <w:jc w:val="center"/>
      </w:pPr>
      <w:r>
        <w:rPr>
          <w:b/>
          <w:color w:val="0F172A"/>
          <w:sz w:val="72"/>
        </w:rPr>
        <w:t>APEX PERFORMANCE ANALYTICS:</w:t>
      </w:r>
    </w:p>
    <w:p w14:paraId="0FB02D69" w14:textId="77777777" w:rsidR="00E56F42" w:rsidRDefault="00000000">
      <w:pPr>
        <w:spacing w:after="274" w:line="269" w:lineRule="auto"/>
        <w:ind w:right="0"/>
        <w:jc w:val="center"/>
      </w:pPr>
      <w:r>
        <w:rPr>
          <w:b/>
          <w:color w:val="0F172A"/>
          <w:sz w:val="72"/>
        </w:rPr>
        <w:t>Automotive Tuning &amp; ROI Optimization</w:t>
      </w:r>
    </w:p>
    <w:p w14:paraId="74CAD594" w14:textId="77777777" w:rsidR="00E56F42" w:rsidRDefault="00000000">
      <w:pPr>
        <w:spacing w:after="299" w:line="259" w:lineRule="auto"/>
        <w:ind w:left="330" w:right="0"/>
        <w:jc w:val="left"/>
      </w:pPr>
      <w:r>
        <w:rPr>
          <w:color w:val="2563EB"/>
          <w:sz w:val="40"/>
        </w:rPr>
        <w:t>A Unified Business Intelligence and Machine Learning</w:t>
      </w:r>
    </w:p>
    <w:p w14:paraId="24709710" w14:textId="77777777" w:rsidR="00E56F42" w:rsidRDefault="00000000">
      <w:pPr>
        <w:spacing w:after="299" w:line="259" w:lineRule="auto"/>
        <w:ind w:left="330" w:right="0"/>
        <w:jc w:val="left"/>
      </w:pPr>
      <w:r>
        <w:rPr>
          <w:color w:val="2563EB"/>
          <w:sz w:val="40"/>
        </w:rPr>
        <w:t>Framework for High-Performance Vehicle Modification</w:t>
      </w:r>
    </w:p>
    <w:p w14:paraId="0E6003E0" w14:textId="77777777" w:rsidR="00E56F42" w:rsidRDefault="00000000">
      <w:pPr>
        <w:spacing w:after="0" w:line="414" w:lineRule="auto"/>
        <w:ind w:left="607" w:right="981"/>
        <w:jc w:val="center"/>
      </w:pPr>
      <w:r>
        <w:rPr>
          <w:i/>
          <w:color w:val="334155"/>
          <w:sz w:val="32"/>
        </w:rPr>
        <w:t>A Graduation Project Report submitted in partial fulfillment of the requirements for the Degree of Bachelor in Data Science and</w:t>
      </w:r>
    </w:p>
    <w:p w14:paraId="148171A8" w14:textId="77777777" w:rsidR="00E56F42" w:rsidRDefault="00000000">
      <w:pPr>
        <w:spacing w:after="1799" w:line="414" w:lineRule="auto"/>
        <w:ind w:left="607" w:right="981"/>
        <w:jc w:val="center"/>
      </w:pPr>
      <w:r>
        <w:rPr>
          <w:i/>
          <w:color w:val="334155"/>
          <w:sz w:val="32"/>
        </w:rPr>
        <w:t xml:space="preserve">Analytics / Business Intelligence </w:t>
      </w:r>
    </w:p>
    <w:p w14:paraId="03D6F7B6" w14:textId="77777777" w:rsidR="00365E2B" w:rsidRDefault="00000000">
      <w:pPr>
        <w:tabs>
          <w:tab w:val="center" w:pos="1603"/>
          <w:tab w:val="center" w:pos="5230"/>
        </w:tabs>
        <w:spacing w:after="0" w:line="259" w:lineRule="auto"/>
        <w:ind w:left="0" w:right="0" w:firstLine="0"/>
        <w:jc w:val="left"/>
        <w:rPr>
          <w:rFonts w:ascii="Calibri" w:eastAsia="Calibri" w:hAnsi="Calibri" w:cs="Calibri"/>
          <w:sz w:val="22"/>
          <w:rtl/>
        </w:rPr>
      </w:pPr>
      <w:r>
        <w:rPr>
          <w:rFonts w:ascii="Calibri" w:eastAsia="Calibri" w:hAnsi="Calibri" w:cs="Calibri"/>
          <w:sz w:val="22"/>
        </w:rPr>
        <w:tab/>
      </w:r>
    </w:p>
    <w:p w14:paraId="44F2063C" w14:textId="7B158688" w:rsidR="00E56F42" w:rsidRDefault="00000000">
      <w:pPr>
        <w:tabs>
          <w:tab w:val="center" w:pos="1603"/>
          <w:tab w:val="center" w:pos="5230"/>
        </w:tabs>
        <w:spacing w:after="0" w:line="259" w:lineRule="auto"/>
        <w:ind w:left="0" w:right="0" w:firstLine="0"/>
        <w:jc w:val="left"/>
      </w:pPr>
      <w:r>
        <w:rPr>
          <w:b/>
          <w:color w:val="1E3A8A"/>
          <w:sz w:val="32"/>
        </w:rPr>
        <w:lastRenderedPageBreak/>
        <w:t>Prepared by:</w:t>
      </w:r>
      <w:r>
        <w:rPr>
          <w:b/>
          <w:color w:val="1E3A8A"/>
          <w:sz w:val="32"/>
        </w:rPr>
        <w:tab/>
      </w:r>
      <w:r>
        <w:rPr>
          <w:sz w:val="32"/>
        </w:rPr>
        <w:t>Abdullah Fleifel</w:t>
      </w:r>
    </w:p>
    <w:tbl>
      <w:tblPr>
        <w:tblStyle w:val="TableGrid"/>
        <w:tblW w:w="8674" w:type="dxa"/>
        <w:tblInd w:w="482" w:type="dxa"/>
        <w:tblCellMar>
          <w:right w:w="115" w:type="dxa"/>
        </w:tblCellMar>
        <w:tblLook w:val="04A0" w:firstRow="1" w:lastRow="0" w:firstColumn="1" w:lastColumn="0" w:noHBand="0" w:noVBand="1"/>
      </w:tblPr>
      <w:tblGrid>
        <w:gridCol w:w="3695"/>
        <w:gridCol w:w="4979"/>
      </w:tblGrid>
      <w:tr w:rsidR="00E56F42" w14:paraId="4AF9D20D" w14:textId="77777777">
        <w:trPr>
          <w:trHeight w:val="1105"/>
        </w:trPr>
        <w:tc>
          <w:tcPr>
            <w:tcW w:w="3695" w:type="dxa"/>
            <w:tcBorders>
              <w:top w:val="single" w:sz="6" w:space="0" w:color="E2E8F0"/>
              <w:left w:val="nil"/>
              <w:bottom w:val="single" w:sz="6" w:space="0" w:color="E2E8F0"/>
              <w:right w:val="nil"/>
            </w:tcBorders>
            <w:vAlign w:val="center"/>
          </w:tcPr>
          <w:p w14:paraId="13E5FB39" w14:textId="77777777" w:rsidR="00E56F42" w:rsidRDefault="00000000">
            <w:pPr>
              <w:spacing w:after="0" w:line="259" w:lineRule="auto"/>
              <w:ind w:left="225" w:right="0" w:firstLine="0"/>
              <w:jc w:val="left"/>
            </w:pPr>
            <w:r>
              <w:rPr>
                <w:b/>
                <w:color w:val="1E3A8A"/>
                <w:sz w:val="32"/>
              </w:rPr>
              <w:t>Student ID:</w:t>
            </w:r>
          </w:p>
        </w:tc>
        <w:tc>
          <w:tcPr>
            <w:tcW w:w="4979" w:type="dxa"/>
            <w:tcBorders>
              <w:top w:val="single" w:sz="6" w:space="0" w:color="E2E8F0"/>
              <w:left w:val="nil"/>
              <w:bottom w:val="single" w:sz="6" w:space="0" w:color="E2E8F0"/>
              <w:right w:val="nil"/>
            </w:tcBorders>
            <w:vAlign w:val="center"/>
          </w:tcPr>
          <w:p w14:paraId="78E381DC" w14:textId="66549E58" w:rsidR="00E56F42" w:rsidRDefault="00000000">
            <w:pPr>
              <w:spacing w:after="0" w:line="259" w:lineRule="auto"/>
              <w:ind w:left="0" w:right="0" w:firstLine="0"/>
              <w:jc w:val="left"/>
            </w:pPr>
            <w:r>
              <w:rPr>
                <w:sz w:val="32"/>
              </w:rPr>
              <w:t>[</w:t>
            </w:r>
            <w:r w:rsidR="00365E2B">
              <w:rPr>
                <w:rFonts w:hint="cs"/>
                <w:sz w:val="32"/>
                <w:rtl/>
              </w:rPr>
              <w:t>202110813</w:t>
            </w:r>
            <w:r>
              <w:rPr>
                <w:sz w:val="32"/>
              </w:rPr>
              <w:t>]</w:t>
            </w:r>
          </w:p>
        </w:tc>
      </w:tr>
      <w:tr w:rsidR="00E56F42" w14:paraId="7A4360D7" w14:textId="77777777">
        <w:trPr>
          <w:trHeight w:val="1105"/>
        </w:trPr>
        <w:tc>
          <w:tcPr>
            <w:tcW w:w="3695" w:type="dxa"/>
            <w:tcBorders>
              <w:top w:val="single" w:sz="6" w:space="0" w:color="E2E8F0"/>
              <w:left w:val="nil"/>
              <w:bottom w:val="single" w:sz="6" w:space="0" w:color="E2E8F0"/>
              <w:right w:val="nil"/>
            </w:tcBorders>
            <w:vAlign w:val="center"/>
          </w:tcPr>
          <w:p w14:paraId="6CFC23BF" w14:textId="77777777" w:rsidR="00E56F42" w:rsidRDefault="00000000">
            <w:pPr>
              <w:spacing w:after="0" w:line="259" w:lineRule="auto"/>
              <w:ind w:left="225" w:right="0" w:firstLine="0"/>
              <w:jc w:val="left"/>
            </w:pPr>
            <w:r>
              <w:rPr>
                <w:b/>
                <w:color w:val="1E3A8A"/>
                <w:sz w:val="32"/>
              </w:rPr>
              <w:t>Supervised by:</w:t>
            </w:r>
          </w:p>
        </w:tc>
        <w:tc>
          <w:tcPr>
            <w:tcW w:w="4979" w:type="dxa"/>
            <w:tcBorders>
              <w:top w:val="single" w:sz="6" w:space="0" w:color="E2E8F0"/>
              <w:left w:val="nil"/>
              <w:bottom w:val="single" w:sz="6" w:space="0" w:color="E2E8F0"/>
              <w:right w:val="nil"/>
            </w:tcBorders>
            <w:vAlign w:val="center"/>
          </w:tcPr>
          <w:p w14:paraId="1FF44D3A" w14:textId="7E9DD5F8" w:rsidR="00E56F42" w:rsidRDefault="00365E2B" w:rsidP="00365E2B">
            <w:pPr>
              <w:spacing w:after="0" w:line="259" w:lineRule="auto"/>
              <w:ind w:left="0" w:right="0" w:firstLine="0"/>
              <w:jc w:val="left"/>
            </w:pPr>
            <w:r w:rsidRPr="00365E2B">
              <w:t>Ayman M. Mansour</w:t>
            </w:r>
          </w:p>
        </w:tc>
      </w:tr>
      <w:tr w:rsidR="00E56F42" w14:paraId="161AF800" w14:textId="77777777">
        <w:trPr>
          <w:trHeight w:val="1105"/>
        </w:trPr>
        <w:tc>
          <w:tcPr>
            <w:tcW w:w="3695" w:type="dxa"/>
            <w:tcBorders>
              <w:top w:val="single" w:sz="6" w:space="0" w:color="E2E8F0"/>
              <w:left w:val="nil"/>
              <w:bottom w:val="single" w:sz="6" w:space="0" w:color="E2E8F0"/>
              <w:right w:val="nil"/>
            </w:tcBorders>
            <w:vAlign w:val="center"/>
          </w:tcPr>
          <w:p w14:paraId="05E70FD8" w14:textId="77777777" w:rsidR="00E56F42" w:rsidRDefault="00000000">
            <w:pPr>
              <w:spacing w:after="0" w:line="259" w:lineRule="auto"/>
              <w:ind w:left="225" w:right="0" w:firstLine="0"/>
              <w:jc w:val="left"/>
            </w:pPr>
            <w:r>
              <w:rPr>
                <w:b/>
                <w:color w:val="1E3A8A"/>
                <w:sz w:val="32"/>
              </w:rPr>
              <w:t>Date of Submission:</w:t>
            </w:r>
          </w:p>
        </w:tc>
        <w:tc>
          <w:tcPr>
            <w:tcW w:w="4979" w:type="dxa"/>
            <w:tcBorders>
              <w:top w:val="single" w:sz="6" w:space="0" w:color="E2E8F0"/>
              <w:left w:val="nil"/>
              <w:bottom w:val="single" w:sz="6" w:space="0" w:color="E2E8F0"/>
              <w:right w:val="nil"/>
            </w:tcBorders>
            <w:vAlign w:val="center"/>
          </w:tcPr>
          <w:p w14:paraId="18F64EBA" w14:textId="77777777" w:rsidR="00E56F42" w:rsidRDefault="00000000">
            <w:pPr>
              <w:spacing w:after="0" w:line="259" w:lineRule="auto"/>
              <w:ind w:left="0" w:right="0" w:firstLine="0"/>
              <w:jc w:val="left"/>
              <w:rPr>
                <w:sz w:val="32"/>
              </w:rPr>
            </w:pPr>
            <w:r>
              <w:rPr>
                <w:sz w:val="32"/>
              </w:rPr>
              <w:t>June 2026</w:t>
            </w:r>
          </w:p>
          <w:p w14:paraId="0C578F23" w14:textId="77777777" w:rsidR="00424C27" w:rsidRDefault="00424C27">
            <w:pPr>
              <w:spacing w:after="0" w:line="259" w:lineRule="auto"/>
              <w:ind w:left="0" w:right="0" w:firstLine="0"/>
              <w:jc w:val="left"/>
            </w:pPr>
          </w:p>
        </w:tc>
      </w:tr>
    </w:tbl>
    <w:p w14:paraId="48F58A26" w14:textId="77777777" w:rsidR="00424C27" w:rsidRDefault="00424C27" w:rsidP="00424C27">
      <w:pPr>
        <w:pStyle w:val="Heading1"/>
        <w:rPr>
          <w:bCs/>
          <w:sz w:val="32"/>
          <w:szCs w:val="32"/>
        </w:rPr>
      </w:pPr>
    </w:p>
    <w:p w14:paraId="3A2C0237" w14:textId="77777777" w:rsidR="00424C27" w:rsidRDefault="00424C27" w:rsidP="00424C27">
      <w:pPr>
        <w:pStyle w:val="Heading1"/>
        <w:rPr>
          <w:bCs/>
          <w:sz w:val="32"/>
          <w:szCs w:val="32"/>
        </w:rPr>
      </w:pPr>
    </w:p>
    <w:p w14:paraId="3E9C353F" w14:textId="270855B2" w:rsidR="00424C27" w:rsidRDefault="00424C27" w:rsidP="00424C27">
      <w:pPr>
        <w:pStyle w:val="Heading1"/>
        <w:rPr>
          <w:sz w:val="32"/>
          <w:szCs w:val="32"/>
        </w:rPr>
      </w:pPr>
      <w:r w:rsidRPr="00424C27">
        <w:rPr>
          <w:bCs/>
          <w:sz w:val="32"/>
          <w:szCs w:val="32"/>
        </w:rPr>
        <w:t xml:space="preserve">Project GitHub </w:t>
      </w:r>
      <w:proofErr w:type="gramStart"/>
      <w:r w:rsidRPr="00424C27">
        <w:rPr>
          <w:bCs/>
          <w:sz w:val="32"/>
          <w:szCs w:val="32"/>
        </w:rPr>
        <w:t>Repository:</w:t>
      </w:r>
      <w:r w:rsidRPr="00424C27">
        <w:rPr>
          <w:sz w:val="32"/>
          <w:szCs w:val="32"/>
        </w:rPr>
        <w:t>[</w:t>
      </w:r>
      <w:proofErr w:type="gramEnd"/>
      <w:r w:rsidRPr="00424C27">
        <w:t xml:space="preserve"> </w:t>
      </w:r>
      <w:r w:rsidRPr="00424C27">
        <w:rPr>
          <w:sz w:val="32"/>
          <w:szCs w:val="32"/>
        </w:rPr>
        <w:t xml:space="preserve">https://github.com/fleifelabdullah324-svg/Apex-Performance-Project] </w:t>
      </w:r>
    </w:p>
    <w:p w14:paraId="3E3BB1F8" w14:textId="280A98D4" w:rsidR="00424C27" w:rsidRPr="00424C27" w:rsidRDefault="00424C27" w:rsidP="00424C27">
      <w:pPr>
        <w:pStyle w:val="Heading1"/>
        <w:rPr>
          <w:sz w:val="32"/>
          <w:szCs w:val="32"/>
        </w:rPr>
      </w:pPr>
      <w:r w:rsidRPr="00424C27">
        <w:rPr>
          <w:bCs/>
          <w:sz w:val="32"/>
          <w:szCs w:val="32"/>
        </w:rPr>
        <w:t xml:space="preserve">Project Google </w:t>
      </w:r>
      <w:proofErr w:type="gramStart"/>
      <w:r w:rsidRPr="00424C27">
        <w:rPr>
          <w:bCs/>
          <w:sz w:val="32"/>
          <w:szCs w:val="32"/>
        </w:rPr>
        <w:t>Drive :</w:t>
      </w:r>
      <w:proofErr w:type="gramEnd"/>
      <w:r w:rsidRPr="00424C27">
        <w:rPr>
          <w:sz w:val="32"/>
          <w:szCs w:val="32"/>
        </w:rPr>
        <w:t xml:space="preserve"> [</w:t>
      </w:r>
      <w:r w:rsidR="00063155" w:rsidRPr="00063155">
        <w:rPr>
          <w:sz w:val="32"/>
          <w:szCs w:val="32"/>
        </w:rPr>
        <w:t>https://drive.google.com/drive/folders/1HXOrF4ShYQOZYE5gl0tCKeyn9ajLS5cR?dmr=1&amp;ec=wgc-drive-%5Bmodule%5D-goto</w:t>
      </w:r>
      <w:r>
        <w:rPr>
          <w:sz w:val="32"/>
          <w:szCs w:val="32"/>
        </w:rPr>
        <w:tab/>
      </w:r>
      <w:r w:rsidRPr="00424C27">
        <w:rPr>
          <w:sz w:val="32"/>
          <w:szCs w:val="32"/>
        </w:rPr>
        <w:t>]</w:t>
      </w:r>
    </w:p>
    <w:p w14:paraId="58A4B505" w14:textId="77777777" w:rsidR="00424C27" w:rsidRDefault="00424C27" w:rsidP="00424C27">
      <w:pPr>
        <w:pStyle w:val="Heading1"/>
        <w:ind w:left="0" w:firstLine="0"/>
      </w:pPr>
    </w:p>
    <w:p w14:paraId="23A8DA04" w14:textId="232EE21A" w:rsidR="00E56F42" w:rsidRDefault="00000000">
      <w:pPr>
        <w:pStyle w:val="Heading1"/>
        <w:ind w:left="-5"/>
      </w:pPr>
      <w:r>
        <w:t>Acknowledgement</w:t>
      </w:r>
    </w:p>
    <w:p w14:paraId="1FC07FE8" w14:textId="77777777" w:rsidR="00E56F42" w:rsidRDefault="00000000">
      <w:pPr>
        <w:spacing w:after="630" w:line="259" w:lineRule="auto"/>
        <w:ind w:left="0" w:right="0" w:firstLine="0"/>
        <w:jc w:val="left"/>
      </w:pPr>
      <w:r>
        <w:rPr>
          <w:rFonts w:ascii="Calibri" w:eastAsia="Calibri" w:hAnsi="Calibri" w:cs="Calibri"/>
          <w:noProof/>
          <w:sz w:val="22"/>
        </w:rPr>
        <mc:AlternateContent>
          <mc:Choice Requires="wpg">
            <w:drawing>
              <wp:inline distT="0" distB="0" distL="0" distR="0" wp14:anchorId="1DFC7DAB" wp14:editId="7A6DDBB0">
                <wp:extent cx="6120000" cy="19050"/>
                <wp:effectExtent l="0" t="0" r="0" b="0"/>
                <wp:docPr id="21826" name="Group 21826"/>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592" name="Shape 27592"/>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47" name="Shape 47"/>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826" style="width:481.89pt;height:1.5pt;mso-position-horizontal-relative:char;mso-position-vertical-relative:line" coordsize="61200,190">
                <v:shape id="Shape 27593" style="position:absolute;width:61200;height:190;left:0;top:0;" coordsize="6120000,19050" path="m0,0l6120000,0l6120000,19050l0,19050l0,0">
                  <v:stroke weight="0pt" endcap="flat" joinstyle="miter" miterlimit="10" on="false" color="#000000" opacity="0"/>
                  <v:fill on="true" color="#1e3a8a"/>
                </v:shape>
                <v:shape id="Shape 47" style="position:absolute;width:0;height:0;left:0;top:0;" coordsize="0,0" path="m0,0l0,0x">
                  <v:stroke weight="0pt" endcap="flat" joinstyle="miter" miterlimit="10" on="false" color="#000000" opacity="0"/>
                  <v:fill on="true" color="#1e3a8a"/>
                </v:shape>
              </v:group>
            </w:pict>
          </mc:Fallback>
        </mc:AlternateContent>
      </w:r>
    </w:p>
    <w:p w14:paraId="36F7A074" w14:textId="77777777" w:rsidR="00E56F42" w:rsidRDefault="00000000">
      <w:pPr>
        <w:ind w:left="-5" w:right="371"/>
      </w:pPr>
      <w:r>
        <w:t>I would like to express my deepest gratitude to my professors and academic mentors for their invaluable guidance, encouragement, and thoughtful insights throughout the course of this project. Their continuous support has not only enhanced the quality of this work but has also contributed significantly to my academic growth and development as an aspiring data professional.</w:t>
      </w:r>
    </w:p>
    <w:p w14:paraId="54D34C52" w14:textId="77777777" w:rsidR="00E56F42" w:rsidRDefault="00000000">
      <w:pPr>
        <w:ind w:left="-5" w:right="371"/>
      </w:pPr>
      <w:r>
        <w:t xml:space="preserve">Their constructive feedback and unwavering belief in my potential have been instrumental in refining my analytical skills and fostering a mindset geared toward innovation and lifelong learning. My sincere appreciation extends to the dedicated </w:t>
      </w:r>
      <w:r>
        <w:lastRenderedPageBreak/>
        <w:t>faculty and staff of the University of Petra, whose commitment to academic excellence created an environment that fostered curiosity, critical thinking, and a passion for research.</w:t>
      </w:r>
    </w:p>
    <w:p w14:paraId="4923B8E2" w14:textId="77777777" w:rsidR="00E56F42" w:rsidRDefault="00000000">
      <w:pPr>
        <w:ind w:left="-5" w:right="371"/>
      </w:pPr>
      <w:r>
        <w:t>Their readiness to assist, coupled with their depth of knowledge and professionalism, greatly facilitated the successful completion of this graduation project.</w:t>
      </w:r>
    </w:p>
    <w:p w14:paraId="7A78A0CC" w14:textId="77777777" w:rsidR="00E56F42" w:rsidRDefault="00000000">
      <w:pPr>
        <w:ind w:left="-5" w:right="371"/>
      </w:pPr>
      <w:r>
        <w:t>To my beloved mother and father, thank you for your unconditional love, immense sacrifices, and constant prayers. Your belief in me has been the foundation of my perseverance and the source of my strength throughout every stage of this journey. Your support and values have shaped the person I am today and the one I strive to become.</w:t>
      </w:r>
    </w:p>
    <w:p w14:paraId="00BDA521" w14:textId="77777777" w:rsidR="00E56F42" w:rsidRDefault="00000000">
      <w:pPr>
        <w:ind w:left="-5" w:right="371"/>
      </w:pPr>
      <w:r>
        <w:t>To my family and friends, your patience, motivation, and continuous encouragement gave me the resilience to overcome challenges and celebrate milestones. Thank you for being my unwavering support system, cheering me on during long nights and reminding me of my goals in times of doubt.</w:t>
      </w:r>
    </w:p>
    <w:p w14:paraId="06748F93" w14:textId="77777777" w:rsidR="00E56F42" w:rsidRDefault="00000000">
      <w:pPr>
        <w:ind w:left="-5" w:right="371"/>
      </w:pPr>
      <w:r>
        <w:t>Finally, I am sincerely grateful to everyone who contributed to this journey, directly or indirectly. Whether through a word of encouragement, a shared resource, or silent support, each gesture has left a meaningful impact.</w:t>
      </w:r>
      <w:r>
        <w:br w:type="page"/>
      </w:r>
    </w:p>
    <w:p w14:paraId="40B4B0CD" w14:textId="77777777" w:rsidR="00E56F42" w:rsidRDefault="00000000">
      <w:pPr>
        <w:pStyle w:val="Heading1"/>
        <w:ind w:left="-5"/>
      </w:pPr>
      <w:r>
        <w:lastRenderedPageBreak/>
        <w:t>Abstract</w:t>
      </w:r>
    </w:p>
    <w:p w14:paraId="6EEF88DC" w14:textId="77777777" w:rsidR="00E56F42" w:rsidRDefault="00000000">
      <w:pPr>
        <w:spacing w:after="630" w:line="259" w:lineRule="auto"/>
        <w:ind w:left="0" w:right="0" w:firstLine="0"/>
        <w:jc w:val="left"/>
      </w:pPr>
      <w:r>
        <w:rPr>
          <w:rFonts w:ascii="Calibri" w:eastAsia="Calibri" w:hAnsi="Calibri" w:cs="Calibri"/>
          <w:noProof/>
          <w:sz w:val="22"/>
        </w:rPr>
        <mc:AlternateContent>
          <mc:Choice Requires="wpg">
            <w:drawing>
              <wp:inline distT="0" distB="0" distL="0" distR="0" wp14:anchorId="6391F595" wp14:editId="71873EB3">
                <wp:extent cx="6120000" cy="19050"/>
                <wp:effectExtent l="0" t="0" r="0" b="0"/>
                <wp:docPr id="21264" name="Group 21264"/>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594" name="Shape 27594"/>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84" name="Shape 84"/>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264" style="width:481.89pt;height:1.5pt;mso-position-horizontal-relative:char;mso-position-vertical-relative:line" coordsize="61200,190">
                <v:shape id="Shape 27595" style="position:absolute;width:61200;height:190;left:0;top:0;" coordsize="6120000,19050" path="m0,0l6120000,0l6120000,19050l0,19050l0,0">
                  <v:stroke weight="0pt" endcap="flat" joinstyle="miter" miterlimit="10" on="false" color="#000000" opacity="0"/>
                  <v:fill on="true" color="#1e3a8a"/>
                </v:shape>
                <v:shape id="Shape 84" style="position:absolute;width:0;height:0;left:0;top:0;" coordsize="0,0" path="m0,0l0,0x">
                  <v:stroke weight="0pt" endcap="flat" joinstyle="miter" miterlimit="10" on="false" color="#000000" opacity="0"/>
                  <v:fill on="true" color="#1e3a8a"/>
                </v:shape>
              </v:group>
            </w:pict>
          </mc:Fallback>
        </mc:AlternateContent>
      </w:r>
    </w:p>
    <w:p w14:paraId="76625F72" w14:textId="77777777" w:rsidR="00E56F42" w:rsidRDefault="00000000">
      <w:pPr>
        <w:ind w:left="-5" w:right="371"/>
      </w:pPr>
      <w:r>
        <w:t xml:space="preserve">In the rapidly evolving landscape of automotive performance tuning and motorsport, risk mitigation and capital efficiency have become cornerstones of sustainable workshop growth and customer retention. The aftermarket automotive tuning industry has historically operated as an unscientific environment dominated by empirical </w:t>
      </w:r>
      <w:proofErr w:type="spellStart"/>
      <w:r>
        <w:t>trialand</w:t>
      </w:r>
      <w:proofErr w:type="spellEnd"/>
      <w:r>
        <w:t>-error methodologies and mechanic intuition.</w:t>
      </w:r>
    </w:p>
    <w:p w14:paraId="36F49E9D" w14:textId="77777777" w:rsidR="00E56F42" w:rsidRDefault="00000000">
      <w:pPr>
        <w:ind w:left="-5" w:right="371"/>
      </w:pPr>
      <w:r>
        <w:t>This project aims to uncover actionable insights into engine behavior and predict catastrophic mechanical failures using a comprehensive data science approach that blends Business Intelligence (BI), descriptive analytics, and Machine Learning (ML) techniques. The core mission is to direct mechanical engine modifications securely and accurately calculate the Return on Investment (ROI) based on thermodynamic constraints.</w:t>
      </w:r>
    </w:p>
    <w:p w14:paraId="6175ACCC" w14:textId="77777777" w:rsidR="00E56F42" w:rsidRDefault="00000000">
      <w:pPr>
        <w:ind w:left="-5" w:right="371"/>
      </w:pPr>
      <w:r>
        <w:t>The study begins with meticulous data preprocessing and cleansing to ensure data quality and integrity of 25,000 high-fidelity automotive records. These records encompass 94 unique features, mapping distinct mechanical and financial dimensions including target boost pressure, internal specifications, fuel octane ratings, and total build costs.</w:t>
      </w:r>
    </w:p>
    <w:p w14:paraId="7A72FE0D" w14:textId="77777777" w:rsidR="00E56F42" w:rsidRDefault="00000000">
      <w:pPr>
        <w:ind w:left="-5" w:right="371"/>
      </w:pPr>
      <w:r>
        <w:t>Because historical automotive logs often suffer from survival bias (lacking data on engines that exploded), a deterministic physics engine was programmed in Python.</w:t>
      </w:r>
    </w:p>
    <w:p w14:paraId="288920CD" w14:textId="77777777" w:rsidR="00E56F42" w:rsidRDefault="00000000">
      <w:pPr>
        <w:ind w:left="-5" w:right="371"/>
      </w:pPr>
      <w:r>
        <w:lastRenderedPageBreak/>
        <w:t>This algorithm evaluated the structural integrity of all 25,000 records based on strict mechanical engineering rules, successfully synthesizing an accurate 'Safety Status' target variable representing Safe, Risky, and Critical Failure tiers.</w:t>
      </w:r>
    </w:p>
    <w:p w14:paraId="2FBC177D" w14:textId="77777777" w:rsidR="00E56F42" w:rsidRDefault="00000000">
      <w:pPr>
        <w:ind w:left="-5" w:right="371"/>
      </w:pPr>
      <w:r>
        <w:t>Statistical hypothesis testing and exploratory data analysis (EDA) were conducted to validate the significance of these variables, leading to the selection of features most relevant to predicting engine destruction. Two classification models—Logistic Regression and Random Forest—were developed, trained, and evaluated using key performance metrics such as accuracy, precision, recall, F1-score, and Confusion Matrices.</w:t>
      </w:r>
    </w:p>
    <w:p w14:paraId="5DDDE708" w14:textId="77777777" w:rsidR="00E56F42" w:rsidRDefault="00000000">
      <w:pPr>
        <w:ind w:left="-5" w:right="371"/>
      </w:pPr>
      <w:r>
        <w:t>The Random Forest ensemble model exhibited unprecedented performance, achieving 99.76% accuracy in isolating critical failure points before they occur physically. Its ability to navigate 94 highly correlated mechanical features without overfitting makes it a valuable tool for targeted risk mitigation efforts.</w:t>
      </w:r>
    </w:p>
    <w:p w14:paraId="24F508D5" w14:textId="77777777" w:rsidR="00E56F42" w:rsidRDefault="00000000">
      <w:pPr>
        <w:ind w:left="-5" w:right="371"/>
      </w:pPr>
      <w:r>
        <w:t>Furthermore, the project employs feature engineering to classify customers into specific financial segments, preventing 'overbuilding' and extreme capital waste. The findings are visualized through interactive Power BI dashboards, enabling business stakeholders to interpret complex thermodynamic data intuitively.</w:t>
      </w:r>
    </w:p>
    <w:p w14:paraId="67608E92" w14:textId="77777777" w:rsidR="00E56F42" w:rsidRDefault="00000000">
      <w:pPr>
        <w:ind w:left="-5" w:right="371"/>
      </w:pPr>
      <w:r>
        <w:t>A major technical achievement of this project was the authoring of custom Data Analysis Expressions (DAX) within Power BI to prevent default summation aggregations from inflating average vehicle build costs into the hundreds of millions of dollars. These custom formulas isolate the true financial Return on Investment (ROI) sweet spot for vehicle modifications, identifying the "Pro-Street" tier as the optimal upgrade path.</w:t>
      </w:r>
    </w:p>
    <w:p w14:paraId="7E4A63E8" w14:textId="77777777" w:rsidR="00E56F42" w:rsidRDefault="00000000">
      <w:pPr>
        <w:ind w:left="-5" w:right="371"/>
      </w:pPr>
      <w:r>
        <w:lastRenderedPageBreak/>
        <w:t>Ultimately, this project demonstrates how combining predictive modeling with deep financial segmentation and BI visualization can empower motorsport garages to enhance safety, reduce catastrophic failures, and drive long-term business profitability. The methodologies applied offer a replicable, academic framework for data-driven decision-making in the digital automotive domain.</w:t>
      </w:r>
      <w:r>
        <w:br w:type="page"/>
      </w:r>
    </w:p>
    <w:p w14:paraId="06E7B891" w14:textId="77777777" w:rsidR="00E56F42" w:rsidRDefault="00000000">
      <w:pPr>
        <w:pStyle w:val="Heading1"/>
        <w:ind w:left="-5"/>
      </w:pPr>
      <w:r>
        <w:lastRenderedPageBreak/>
        <w:t>Table of Contents</w:t>
      </w:r>
    </w:p>
    <w:p w14:paraId="02A03AC4" w14:textId="77777777" w:rsidR="00E56F42" w:rsidRDefault="00000000">
      <w:pPr>
        <w:spacing w:after="630" w:line="259" w:lineRule="auto"/>
        <w:ind w:left="0" w:right="0" w:firstLine="0"/>
        <w:jc w:val="left"/>
      </w:pPr>
      <w:r>
        <w:rPr>
          <w:rFonts w:ascii="Calibri" w:eastAsia="Calibri" w:hAnsi="Calibri" w:cs="Calibri"/>
          <w:noProof/>
          <w:sz w:val="22"/>
        </w:rPr>
        <mc:AlternateContent>
          <mc:Choice Requires="wpg">
            <w:drawing>
              <wp:inline distT="0" distB="0" distL="0" distR="0" wp14:anchorId="6C7D569B" wp14:editId="1F7062A2">
                <wp:extent cx="6120000" cy="19050"/>
                <wp:effectExtent l="0" t="0" r="0" b="0"/>
                <wp:docPr id="21603" name="Group 21603"/>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596" name="Shape 27596"/>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148" name="Shape 148"/>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603" style="width:481.89pt;height:1.5pt;mso-position-horizontal-relative:char;mso-position-vertical-relative:line" coordsize="61200,190">
                <v:shape id="Shape 27597" style="position:absolute;width:61200;height:190;left:0;top:0;" coordsize="6120000,19050" path="m0,0l6120000,0l6120000,19050l0,19050l0,0">
                  <v:stroke weight="0pt" endcap="flat" joinstyle="miter" miterlimit="10" on="false" color="#000000" opacity="0"/>
                  <v:fill on="true" color="#1e3a8a"/>
                </v:shape>
                <v:shape id="Shape 148" style="position:absolute;width:0;height:0;left:0;top:0;" coordsize="0,0" path="m0,0l0,0x">
                  <v:stroke weight="0pt" endcap="flat" joinstyle="miter" miterlimit="10" on="false" color="#000000" opacity="0"/>
                  <v:fill on="true" color="#1e3a8a"/>
                </v:shape>
              </v:group>
            </w:pict>
          </mc:Fallback>
        </mc:AlternateContent>
      </w:r>
    </w:p>
    <w:p w14:paraId="57FB2B7F" w14:textId="77777777" w:rsidR="00E56F42" w:rsidRDefault="00000000">
      <w:pPr>
        <w:spacing w:after="435" w:line="259" w:lineRule="auto"/>
        <w:ind w:left="-5" w:right="371"/>
      </w:pPr>
      <w:r>
        <w:t>Acknowledgement</w:t>
      </w:r>
    </w:p>
    <w:p w14:paraId="59C08D1D" w14:textId="77777777" w:rsidR="00E56F42" w:rsidRDefault="00000000">
      <w:pPr>
        <w:spacing w:after="435" w:line="259" w:lineRule="auto"/>
        <w:ind w:left="-5" w:right="371"/>
      </w:pPr>
      <w:r>
        <w:t>Abstract</w:t>
      </w:r>
    </w:p>
    <w:p w14:paraId="4AF28A8B" w14:textId="77777777" w:rsidR="00E56F42" w:rsidRDefault="00000000">
      <w:pPr>
        <w:spacing w:after="435" w:line="259" w:lineRule="auto"/>
        <w:ind w:left="-5" w:right="371"/>
      </w:pPr>
      <w:r>
        <w:t>Chapter 1: Introduction and Background</w:t>
      </w:r>
    </w:p>
    <w:p w14:paraId="55B9DDBF" w14:textId="77777777" w:rsidR="00E56F42" w:rsidRDefault="00000000">
      <w:pPr>
        <w:spacing w:after="435" w:line="259" w:lineRule="auto"/>
        <w:ind w:left="-5" w:right="371"/>
      </w:pPr>
      <w:r>
        <w:t>1.1 Overview of the Automotive Tuning Industry</w:t>
      </w:r>
    </w:p>
    <w:p w14:paraId="567CCDC3" w14:textId="77777777" w:rsidR="00E56F42" w:rsidRDefault="00000000">
      <w:pPr>
        <w:spacing w:after="435" w:line="259" w:lineRule="auto"/>
        <w:ind w:left="-5" w:right="371"/>
      </w:pPr>
      <w:r>
        <w:t>1.2 The Core Problem Statement</w:t>
      </w:r>
    </w:p>
    <w:p w14:paraId="0CEEA8D4" w14:textId="77777777" w:rsidR="00E56F42" w:rsidRDefault="00000000">
      <w:pPr>
        <w:spacing w:after="435" w:line="259" w:lineRule="auto"/>
        <w:ind w:left="-5" w:right="371"/>
      </w:pPr>
      <w:r>
        <w:t>1.3 Research Objectives and Scope</w:t>
      </w:r>
    </w:p>
    <w:p w14:paraId="3ACF9193" w14:textId="77777777" w:rsidR="00E56F42" w:rsidRDefault="00000000">
      <w:pPr>
        <w:spacing w:after="435" w:line="259" w:lineRule="auto"/>
        <w:ind w:left="-5" w:right="371"/>
      </w:pPr>
      <w:r>
        <w:t>Chapter 2: Literature Review and Theoretical Framework</w:t>
      </w:r>
    </w:p>
    <w:p w14:paraId="481095F5" w14:textId="77777777" w:rsidR="00E56F42" w:rsidRDefault="00000000">
      <w:pPr>
        <w:spacing w:after="435" w:line="259" w:lineRule="auto"/>
        <w:ind w:left="-5" w:right="371"/>
      </w:pPr>
      <w:r>
        <w:t>2.1 Thermodynamics of Internal Combustion Engines</w:t>
      </w:r>
    </w:p>
    <w:p w14:paraId="3F55C4E0" w14:textId="77777777" w:rsidR="00E56F42" w:rsidRDefault="00000000">
      <w:pPr>
        <w:spacing w:after="435" w:line="259" w:lineRule="auto"/>
        <w:ind w:left="-5" w:right="371"/>
      </w:pPr>
      <w:r>
        <w:t>2.2 The Role of High-Octane Fuels and E85 Ethanol</w:t>
      </w:r>
    </w:p>
    <w:p w14:paraId="586E9C4A" w14:textId="77777777" w:rsidR="00E56F42" w:rsidRDefault="00000000">
      <w:pPr>
        <w:spacing w:after="435" w:line="259" w:lineRule="auto"/>
        <w:ind w:left="-5" w:right="371"/>
      </w:pPr>
      <w:r>
        <w:t>2.3 Predictive Analytics in Engineering</w:t>
      </w:r>
    </w:p>
    <w:p w14:paraId="266EB7B3" w14:textId="77777777" w:rsidR="00E56F42" w:rsidRDefault="00000000">
      <w:pPr>
        <w:spacing w:after="435" w:line="259" w:lineRule="auto"/>
        <w:ind w:left="-5" w:right="371"/>
      </w:pPr>
      <w:r>
        <w:t>Chapter 3: System Architecture and Data Engineering</w:t>
      </w:r>
    </w:p>
    <w:p w14:paraId="008A0853" w14:textId="77777777" w:rsidR="00E56F42" w:rsidRDefault="00000000">
      <w:pPr>
        <w:spacing w:after="435" w:line="259" w:lineRule="auto"/>
        <w:ind w:left="-5" w:right="371"/>
      </w:pPr>
      <w:r>
        <w:t>3.1 Dataset Acquisition and Dimensionality</w:t>
      </w:r>
    </w:p>
    <w:p w14:paraId="4A6E17C4" w14:textId="77777777" w:rsidR="00E56F42" w:rsidRDefault="00000000">
      <w:pPr>
        <w:spacing w:after="435" w:line="259" w:lineRule="auto"/>
        <w:ind w:left="-5" w:right="371"/>
      </w:pPr>
      <w:r>
        <w:t>3.2 Synthesizing the Target Variable (</w:t>
      </w:r>
      <w:proofErr w:type="spellStart"/>
      <w:r>
        <w:t>Safety_Status</w:t>
      </w:r>
      <w:proofErr w:type="spellEnd"/>
      <w:r>
        <w:t>)</w:t>
      </w:r>
    </w:p>
    <w:p w14:paraId="7C929C35" w14:textId="77777777" w:rsidR="00E56F42" w:rsidRDefault="00000000">
      <w:pPr>
        <w:spacing w:after="435" w:line="259" w:lineRule="auto"/>
        <w:ind w:left="-5" w:right="371"/>
      </w:pPr>
      <w:r>
        <w:t>3.3 The Python ETL Pipeline (Extract, Transform, Load) Chapter 4: Data Understanding and Feature Dictionary</w:t>
      </w:r>
    </w:p>
    <w:p w14:paraId="1F7F990A" w14:textId="77777777" w:rsidR="00E56F42" w:rsidRDefault="00000000">
      <w:pPr>
        <w:spacing w:after="435" w:line="259" w:lineRule="auto"/>
        <w:ind w:left="-5" w:right="371"/>
      </w:pPr>
      <w:r>
        <w:t>4.1 Core Mechanical Features</w:t>
      </w:r>
    </w:p>
    <w:p w14:paraId="7D1ECACD" w14:textId="77777777" w:rsidR="00E56F42" w:rsidRDefault="00000000">
      <w:pPr>
        <w:spacing w:after="435" w:line="259" w:lineRule="auto"/>
        <w:ind w:left="-5" w:right="371"/>
      </w:pPr>
      <w:r>
        <w:lastRenderedPageBreak/>
        <w:t>4.2 Auxiliary Telemetry and Cost Features</w:t>
      </w:r>
    </w:p>
    <w:p w14:paraId="21572731" w14:textId="77777777" w:rsidR="00E56F42" w:rsidRDefault="00000000">
      <w:pPr>
        <w:spacing w:after="435" w:line="259" w:lineRule="auto"/>
        <w:ind w:left="-5" w:right="371"/>
      </w:pPr>
      <w:r>
        <w:t>Chapter 5: Exploratory Data Analysis (EDA)</w:t>
      </w:r>
    </w:p>
    <w:p w14:paraId="27873B13" w14:textId="77777777" w:rsidR="00E56F42" w:rsidRDefault="00000000">
      <w:pPr>
        <w:spacing w:after="435" w:line="259" w:lineRule="auto"/>
        <w:ind w:left="-5" w:right="371"/>
      </w:pPr>
      <w:r>
        <w:t>5.1 Descriptive Statistics</w:t>
      </w:r>
    </w:p>
    <w:p w14:paraId="09F20B31" w14:textId="77777777" w:rsidR="00E56F42" w:rsidRDefault="00000000">
      <w:pPr>
        <w:spacing w:after="435" w:line="259" w:lineRule="auto"/>
        <w:ind w:left="-5" w:right="371"/>
      </w:pPr>
      <w:r>
        <w:t>5.2 Outlier Detection and Visualization</w:t>
      </w:r>
    </w:p>
    <w:p w14:paraId="25A40EA0" w14:textId="77777777" w:rsidR="00E56F42" w:rsidRDefault="00000000">
      <w:pPr>
        <w:spacing w:after="435" w:line="259" w:lineRule="auto"/>
        <w:ind w:left="-5" w:right="371"/>
      </w:pPr>
      <w:r>
        <w:t>Chapter 6: Hypothesis Testing and Statistical Validation</w:t>
      </w:r>
    </w:p>
    <w:p w14:paraId="21D1CFF7" w14:textId="77777777" w:rsidR="00E56F42" w:rsidRDefault="00000000">
      <w:pPr>
        <w:spacing w:after="435" w:line="259" w:lineRule="auto"/>
        <w:ind w:left="-5" w:right="371"/>
      </w:pPr>
      <w:r>
        <w:t>6.1 T-Test Evaluations</w:t>
      </w:r>
    </w:p>
    <w:p w14:paraId="09240748" w14:textId="77777777" w:rsidR="00E56F42" w:rsidRDefault="00000000">
      <w:pPr>
        <w:spacing w:after="435" w:line="259" w:lineRule="auto"/>
        <w:ind w:left="-5" w:right="371"/>
      </w:pPr>
      <w:r>
        <w:t>6.2 Correlation Heatmaps</w:t>
      </w:r>
    </w:p>
    <w:p w14:paraId="463812BF" w14:textId="77777777" w:rsidR="00E56F42" w:rsidRDefault="00000000">
      <w:pPr>
        <w:spacing w:after="435" w:line="259" w:lineRule="auto"/>
        <w:ind w:left="-5" w:right="371"/>
      </w:pPr>
      <w:r>
        <w:t>Chapter 7: Machine Learning Modeling</w:t>
      </w:r>
    </w:p>
    <w:p w14:paraId="70340F10" w14:textId="77777777" w:rsidR="00E56F42" w:rsidRDefault="00000000">
      <w:pPr>
        <w:spacing w:after="435" w:line="259" w:lineRule="auto"/>
        <w:ind w:left="-5" w:right="371"/>
      </w:pPr>
      <w:r>
        <w:t>7.1 Logistic Regression Baseline</w:t>
      </w:r>
    </w:p>
    <w:p w14:paraId="1832C550" w14:textId="77777777" w:rsidR="00E56F42" w:rsidRDefault="00000000">
      <w:pPr>
        <w:spacing w:after="435" w:line="259" w:lineRule="auto"/>
        <w:ind w:left="-5" w:right="371"/>
      </w:pPr>
      <w:r>
        <w:t>7.2 Random Forest Algorithm Integration</w:t>
      </w:r>
    </w:p>
    <w:p w14:paraId="6EC84223" w14:textId="77777777" w:rsidR="00E56F42" w:rsidRDefault="00000000">
      <w:pPr>
        <w:spacing w:after="435" w:line="259" w:lineRule="auto"/>
        <w:ind w:left="-5" w:right="371"/>
      </w:pPr>
      <w:r>
        <w:t>7.3 Stratified Dataset Partitioning</w:t>
      </w:r>
    </w:p>
    <w:p w14:paraId="139E1BC6" w14:textId="77777777" w:rsidR="00E56F42" w:rsidRDefault="00000000">
      <w:pPr>
        <w:spacing w:after="435" w:line="259" w:lineRule="auto"/>
        <w:ind w:left="-5" w:right="371"/>
      </w:pPr>
      <w:r>
        <w:t>Chapter 8: Experimental Results and Evaluation</w:t>
      </w:r>
    </w:p>
    <w:p w14:paraId="339C3380" w14:textId="77777777" w:rsidR="00E56F42" w:rsidRDefault="00000000">
      <w:pPr>
        <w:spacing w:after="435" w:line="259" w:lineRule="auto"/>
        <w:ind w:left="-5" w:right="371"/>
      </w:pPr>
      <w:r>
        <w:t>8.1 Model Evaluation Metrics</w:t>
      </w:r>
    </w:p>
    <w:p w14:paraId="0A7094AA" w14:textId="77777777" w:rsidR="00E56F42" w:rsidRDefault="00000000">
      <w:pPr>
        <w:spacing w:after="435" w:line="259" w:lineRule="auto"/>
        <w:ind w:left="-5" w:right="371"/>
      </w:pPr>
      <w:r>
        <w:t>8.2 Confusion Matrix Breakdown</w:t>
      </w:r>
    </w:p>
    <w:p w14:paraId="1C03E519" w14:textId="77777777" w:rsidR="00E56F42" w:rsidRDefault="00000000">
      <w:pPr>
        <w:spacing w:after="435" w:line="259" w:lineRule="auto"/>
        <w:ind w:left="-5" w:right="371"/>
      </w:pPr>
      <w:r>
        <w:t>Chapter 9: Business Intelligence and Power BI</w:t>
      </w:r>
    </w:p>
    <w:p w14:paraId="5C78B16B" w14:textId="77777777" w:rsidR="00E56F42" w:rsidRDefault="00000000">
      <w:pPr>
        <w:spacing w:line="259" w:lineRule="auto"/>
        <w:ind w:left="-5" w:right="371"/>
      </w:pPr>
      <w:r>
        <w:t>9.1 Interactive Dashboard Design</w:t>
      </w:r>
    </w:p>
    <w:p w14:paraId="1D3B3EB3" w14:textId="77777777" w:rsidR="00E56F42" w:rsidRDefault="00000000">
      <w:pPr>
        <w:spacing w:after="435" w:line="259" w:lineRule="auto"/>
        <w:ind w:left="-5" w:right="371"/>
      </w:pPr>
      <w:r>
        <w:t>9.2 Custom DAX Engineering</w:t>
      </w:r>
    </w:p>
    <w:p w14:paraId="04E110EE" w14:textId="77777777" w:rsidR="00E56F42" w:rsidRDefault="00000000">
      <w:pPr>
        <w:spacing w:after="435" w:line="259" w:lineRule="auto"/>
        <w:ind w:left="-5" w:right="371"/>
      </w:pPr>
      <w:r>
        <w:t>9.3 Financial ROI Findings</w:t>
      </w:r>
    </w:p>
    <w:p w14:paraId="49531AE8" w14:textId="77777777" w:rsidR="00E56F42" w:rsidRDefault="00000000">
      <w:pPr>
        <w:spacing w:after="435" w:line="259" w:lineRule="auto"/>
        <w:ind w:left="-5" w:right="371"/>
      </w:pPr>
      <w:r>
        <w:lastRenderedPageBreak/>
        <w:t>Chapter 10: Conclusion and Future Scope</w:t>
      </w:r>
    </w:p>
    <w:p w14:paraId="143C02B6" w14:textId="77777777" w:rsidR="00E56F42" w:rsidRDefault="00000000">
      <w:pPr>
        <w:spacing w:after="435" w:line="259" w:lineRule="auto"/>
        <w:ind w:left="-5" w:right="371"/>
      </w:pPr>
      <w:r>
        <w:t>10.1 Key Findings</w:t>
      </w:r>
    </w:p>
    <w:p w14:paraId="5D40BE15" w14:textId="77777777" w:rsidR="00E56F42" w:rsidRDefault="00000000">
      <w:pPr>
        <w:spacing w:after="435" w:line="259" w:lineRule="auto"/>
        <w:ind w:left="-5" w:right="371"/>
      </w:pPr>
      <w:r>
        <w:t>10.2 Future Strategic Developments</w:t>
      </w:r>
    </w:p>
    <w:p w14:paraId="17C90DCA" w14:textId="77777777" w:rsidR="00E56F42" w:rsidRDefault="00000000">
      <w:pPr>
        <w:spacing w:line="259" w:lineRule="auto"/>
        <w:ind w:left="-5" w:right="371"/>
      </w:pPr>
      <w:r>
        <w:t>References</w:t>
      </w:r>
      <w:r>
        <w:br w:type="page"/>
      </w:r>
    </w:p>
    <w:p w14:paraId="1722AFEA" w14:textId="77777777" w:rsidR="00E56F42" w:rsidRDefault="00000000">
      <w:pPr>
        <w:tabs>
          <w:tab w:val="center" w:pos="2446"/>
          <w:tab w:val="center" w:pos="3280"/>
          <w:tab w:val="center" w:pos="3993"/>
          <w:tab w:val="center" w:pos="6112"/>
          <w:tab w:val="center" w:pos="8110"/>
          <w:tab w:val="center" w:pos="9176"/>
        </w:tabs>
        <w:spacing w:after="371" w:line="259" w:lineRule="auto"/>
        <w:ind w:left="-15" w:right="0" w:firstLine="0"/>
        <w:jc w:val="left"/>
      </w:pPr>
      <w:r>
        <w:rPr>
          <w:rFonts w:ascii="Calibri" w:eastAsia="Calibri" w:hAnsi="Calibri" w:cs="Calibri"/>
          <w:b/>
          <w:color w:val="1E3A8A"/>
          <w:sz w:val="52"/>
        </w:rPr>
        <w:lastRenderedPageBreak/>
        <w:t>Chapter</w:t>
      </w:r>
      <w:r>
        <w:rPr>
          <w:rFonts w:ascii="Calibri" w:eastAsia="Calibri" w:hAnsi="Calibri" w:cs="Calibri"/>
          <w:b/>
          <w:color w:val="1E3A8A"/>
          <w:sz w:val="52"/>
        </w:rPr>
        <w:tab/>
        <w:t xml:space="preserve"> </w:t>
      </w:r>
      <w:r>
        <w:rPr>
          <w:rFonts w:ascii="Calibri" w:eastAsia="Calibri" w:hAnsi="Calibri" w:cs="Calibri"/>
          <w:b/>
          <w:color w:val="1E3A8A"/>
          <w:sz w:val="52"/>
        </w:rPr>
        <w:tab/>
        <w:t>1:</w:t>
      </w:r>
      <w:r>
        <w:rPr>
          <w:rFonts w:ascii="Calibri" w:eastAsia="Calibri" w:hAnsi="Calibri" w:cs="Calibri"/>
          <w:b/>
          <w:color w:val="1E3A8A"/>
          <w:sz w:val="52"/>
        </w:rPr>
        <w:tab/>
        <w:t xml:space="preserve"> </w:t>
      </w:r>
      <w:r>
        <w:rPr>
          <w:rFonts w:ascii="Calibri" w:eastAsia="Calibri" w:hAnsi="Calibri" w:cs="Calibri"/>
          <w:b/>
          <w:color w:val="1E3A8A"/>
          <w:sz w:val="52"/>
        </w:rPr>
        <w:tab/>
        <w:t>Introduction</w:t>
      </w:r>
      <w:r>
        <w:rPr>
          <w:rFonts w:ascii="Calibri" w:eastAsia="Calibri" w:hAnsi="Calibri" w:cs="Calibri"/>
          <w:b/>
          <w:color w:val="1E3A8A"/>
          <w:sz w:val="52"/>
        </w:rPr>
        <w:tab/>
        <w:t xml:space="preserve"> </w:t>
      </w:r>
      <w:r>
        <w:rPr>
          <w:rFonts w:ascii="Calibri" w:eastAsia="Calibri" w:hAnsi="Calibri" w:cs="Calibri"/>
          <w:b/>
          <w:color w:val="1E3A8A"/>
          <w:sz w:val="52"/>
        </w:rPr>
        <w:tab/>
        <w:t>and</w:t>
      </w:r>
    </w:p>
    <w:p w14:paraId="28C359F5" w14:textId="77777777" w:rsidR="00E56F42" w:rsidRDefault="00000000">
      <w:pPr>
        <w:pStyle w:val="Heading1"/>
        <w:ind w:left="-5"/>
      </w:pPr>
      <w:r>
        <w:t>Background</w:t>
      </w:r>
    </w:p>
    <w:p w14:paraId="695EDD73"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3584B11A" wp14:editId="3E8AFA87">
                <wp:extent cx="6120000" cy="19050"/>
                <wp:effectExtent l="0" t="0" r="0" b="0"/>
                <wp:docPr id="22114" name="Group 22114"/>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598" name="Shape 2759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2114" style="width:481.89pt;height:1.5pt;mso-position-horizontal-relative:char;mso-position-vertical-relative:line" coordsize="61200,190">
                <v:shape id="Shape 27599"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77626F9F" w14:textId="77777777" w:rsidR="00E56F42" w:rsidRDefault="00000000">
      <w:pPr>
        <w:pStyle w:val="Heading2"/>
        <w:ind w:left="-5"/>
      </w:pPr>
      <w:r>
        <w:t>1.1 Overview of the Automotive Tuning Industry</w:t>
      </w:r>
    </w:p>
    <w:p w14:paraId="166127B7" w14:textId="77777777" w:rsidR="00E56F42" w:rsidRDefault="00000000">
      <w:pPr>
        <w:ind w:left="-5" w:right="371"/>
      </w:pPr>
      <w:r>
        <w:t>The aftermarket automotive tuning industry has experienced exponential growth over the past decade, transforming from a niche hobbyist endeavor into a multi-</w:t>
      </w:r>
      <w:proofErr w:type="spellStart"/>
      <w:r>
        <w:t>billiondollar</w:t>
      </w:r>
      <w:proofErr w:type="spellEnd"/>
      <w:r>
        <w:t xml:space="preserve"> global enterprise. Historically, the process of modifying internal combustion engines to yield higher horsepower outputs has relied heavily on empirical trial-</w:t>
      </w:r>
      <w:proofErr w:type="spellStart"/>
      <w:r>
        <w:t>anderror</w:t>
      </w:r>
      <w:proofErr w:type="spellEnd"/>
      <w:r>
        <w:t xml:space="preserve"> methodologies.</w:t>
      </w:r>
    </w:p>
    <w:p w14:paraId="283D6230" w14:textId="77777777" w:rsidR="00E56F42" w:rsidRDefault="00000000">
      <w:pPr>
        <w:ind w:left="-5" w:right="371"/>
      </w:pPr>
      <w:r>
        <w:t>Mechanics and tuning enthusiasts operated on intuition, leveraging rudimentary mechanical adjustments to alter air-fuel ratios and boost pressures. However, with the advent of sophisticated Engine Control Units (ECUs) and high-resolution telemetry, the modern vehicle is essentially a rolling computational network.</w:t>
      </w:r>
    </w:p>
    <w:p w14:paraId="55EC8295" w14:textId="77777777" w:rsidR="00E56F42" w:rsidRDefault="00000000">
      <w:pPr>
        <w:ind w:left="-5" w:right="371"/>
      </w:pPr>
      <w:r>
        <w:t>Despite this technological leap, the industry remains deeply fragmented. Data regarding optimal tuning configurations, mechanical yield points, and the corresponding financial expenditures are scattered across unverified forums, proprietary workshop logs, and anecdotal evidence. This fragmentation prevents a unified, scientific approach to vehicle modification, leading to profound industrywide crises.</w:t>
      </w:r>
    </w:p>
    <w:p w14:paraId="6D5A8257" w14:textId="77777777" w:rsidR="00E56F42" w:rsidRDefault="00000000">
      <w:pPr>
        <w:pStyle w:val="Heading2"/>
        <w:ind w:left="-5"/>
      </w:pPr>
      <w:r>
        <w:lastRenderedPageBreak/>
        <w:t>1.2 The Core Problem Statement</w:t>
      </w:r>
    </w:p>
    <w:p w14:paraId="4447393E" w14:textId="77777777" w:rsidR="00E56F42" w:rsidRDefault="00000000">
      <w:pPr>
        <w:ind w:left="-5" w:right="371"/>
      </w:pPr>
      <w:r>
        <w:t>The absence of a centralized, data-driven framework in the aftermarket automotive sector has cultivated an environment of extreme risk and inefficiency. This project formally defines the core problems in two distinct vectors:</w:t>
      </w:r>
    </w:p>
    <w:p w14:paraId="7B6BE041" w14:textId="77777777" w:rsidR="00E56F42" w:rsidRDefault="00000000">
      <w:pPr>
        <w:numPr>
          <w:ilvl w:val="0"/>
          <w:numId w:val="1"/>
        </w:numPr>
        <w:ind w:right="371"/>
      </w:pPr>
      <w:r>
        <w:rPr>
          <w:b/>
        </w:rPr>
        <w:t>Financial Inefficiency ("Overbuilding"):</w:t>
      </w:r>
      <w:r>
        <w:t xml:space="preserve"> Enthusiasts and workshop operators frequently allocate massive amounts of capital toward high-tier, forged aftermarket components (such as titanium connecting rods or oversized turbochargers) without understanding the point of diminishing returns. This results in "overbuilding," where the financial investment far exceeds the proportional horsepower or performance gains, destroying the Return on Investment (ROI).</w:t>
      </w:r>
    </w:p>
    <w:p w14:paraId="74870A8E" w14:textId="77777777" w:rsidR="00E56F42" w:rsidRDefault="00000000">
      <w:pPr>
        <w:numPr>
          <w:ilvl w:val="0"/>
          <w:numId w:val="1"/>
        </w:numPr>
        <w:spacing w:after="774"/>
        <w:ind w:right="371"/>
      </w:pPr>
      <w:r>
        <w:rPr>
          <w:b/>
        </w:rPr>
        <w:t>Mechanical Risk ("Underbuilding"):</w:t>
      </w:r>
      <w:r>
        <w:t xml:space="preserve"> Conversely, the pursuit of maximum horsepower on limited budgets often leads to "underbuilding." In these scenarios, forced induction boost pressures are aggressively scaled upward without simultaneously upgrading the structural integrity of the engine block or utilizing appropriate high-octane fuels (e.g., E85 Ethanol). This negligence of deterministic thermodynamic boundaries results in pre-ignition (detonation), blown head gaskets, bent rods, and ultimately, irreversible catastrophic engine failure.</w:t>
      </w:r>
    </w:p>
    <w:p w14:paraId="7BACEDFB" w14:textId="77777777" w:rsidR="00E56F42" w:rsidRDefault="00000000">
      <w:pPr>
        <w:pStyle w:val="Heading2"/>
        <w:ind w:left="-5"/>
      </w:pPr>
      <w:r>
        <w:t>1.3 Research Objectives and Scope</w:t>
      </w:r>
    </w:p>
    <w:p w14:paraId="3432B4E3" w14:textId="77777777" w:rsidR="00E56F42" w:rsidRDefault="00000000">
      <w:pPr>
        <w:spacing w:after="377" w:line="414" w:lineRule="auto"/>
        <w:ind w:left="0" w:right="0" w:firstLine="0"/>
        <w:jc w:val="left"/>
      </w:pPr>
      <w:r>
        <w:t xml:space="preserve">The Apex Performance Analytics project aims to bridge the critical gap between mechanical engineering, data science, and business intelligence. By developing a </w:t>
      </w:r>
      <w:r>
        <w:lastRenderedPageBreak/>
        <w:t xml:space="preserve">comprehensive, predictive framework, this project seeks to replace anecdotal </w:t>
      </w:r>
      <w:proofErr w:type="spellStart"/>
      <w:r>
        <w:t>trialand</w:t>
      </w:r>
      <w:proofErr w:type="spellEnd"/>
      <w:r>
        <w:t>-error with rigorous mathematical modeling. The primary objectives are as follows:</w:t>
      </w:r>
    </w:p>
    <w:p w14:paraId="1852484D" w14:textId="77777777" w:rsidR="00E56F42" w:rsidRDefault="00000000">
      <w:pPr>
        <w:numPr>
          <w:ilvl w:val="0"/>
          <w:numId w:val="2"/>
        </w:numPr>
        <w:ind w:right="371"/>
      </w:pPr>
      <w:r>
        <w:rPr>
          <w:b/>
        </w:rPr>
        <w:t>Data Synthesis and Consolidation:</w:t>
      </w:r>
      <w:r>
        <w:t xml:space="preserve"> To engineer a high-fidelity dataset encompassing 25,000 distinct tuning configurations mapped across 94 comprehensive mechanical and financial features.</w:t>
      </w:r>
    </w:p>
    <w:p w14:paraId="27AC71AA" w14:textId="77777777" w:rsidR="00E56F42" w:rsidRDefault="00000000">
      <w:pPr>
        <w:numPr>
          <w:ilvl w:val="0"/>
          <w:numId w:val="2"/>
        </w:numPr>
        <w:ind w:right="371"/>
      </w:pPr>
      <w:r>
        <w:rPr>
          <w:b/>
        </w:rPr>
        <w:t>ETL Pipeline Automation:</w:t>
      </w:r>
      <w:r>
        <w:t xml:space="preserve"> To construct a robust data engineering pipeline utilizing Python and Pandas for automated cleaning, imputation, and feature scaling.</w:t>
      </w:r>
    </w:p>
    <w:p w14:paraId="1D91495F" w14:textId="77777777" w:rsidR="00E56F42" w:rsidRDefault="00000000">
      <w:pPr>
        <w:numPr>
          <w:ilvl w:val="0"/>
          <w:numId w:val="2"/>
        </w:numPr>
        <w:ind w:right="371"/>
      </w:pPr>
      <w:r>
        <w:rPr>
          <w:b/>
        </w:rPr>
        <w:t>Predictive Risk Classification:</w:t>
      </w:r>
      <w:r>
        <w:t xml:space="preserve"> To train, optimize, and deploy a Machine Learning ensemble (Random Forest) capable of identifying mechanical failure points and classifying engine safety statuses with near-perfect accuracy.</w:t>
      </w:r>
    </w:p>
    <w:p w14:paraId="69B88758" w14:textId="77777777" w:rsidR="00E56F42" w:rsidRDefault="00000000">
      <w:pPr>
        <w:numPr>
          <w:ilvl w:val="0"/>
          <w:numId w:val="2"/>
        </w:numPr>
        <w:spacing w:after="10"/>
        <w:ind w:right="371"/>
      </w:pPr>
      <w:r>
        <w:rPr>
          <w:b/>
        </w:rPr>
        <w:t>Financial ROI Optimization:</w:t>
      </w:r>
      <w:r>
        <w:t xml:space="preserve"> To architect an interactive Business Intelligence dashboard via Power BI, utilizing advanced DAX calculations to isolate the financial</w:t>
      </w:r>
    </w:p>
    <w:p w14:paraId="672D1FE5" w14:textId="77777777" w:rsidR="00E56F42" w:rsidRDefault="00000000">
      <w:pPr>
        <w:spacing w:line="259" w:lineRule="auto"/>
        <w:ind w:left="-5" w:right="371"/>
      </w:pPr>
      <w:r>
        <w:t>"</w:t>
      </w:r>
      <w:proofErr w:type="gramStart"/>
      <w:r>
        <w:t>sweet</w:t>
      </w:r>
      <w:proofErr w:type="gramEnd"/>
      <w:r>
        <w:t xml:space="preserve"> spot" for vehicle modifications.</w:t>
      </w:r>
    </w:p>
    <w:p w14:paraId="492D87BB" w14:textId="77777777" w:rsidR="00E56F42" w:rsidRDefault="00000000">
      <w:pPr>
        <w:pStyle w:val="Heading1"/>
        <w:spacing w:line="393" w:lineRule="auto"/>
        <w:ind w:left="-5"/>
      </w:pPr>
      <w:r>
        <w:t>Chapter 2: Literature Review and Theoretical Framework</w:t>
      </w:r>
    </w:p>
    <w:p w14:paraId="72BCEE37"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74B9DCD7" wp14:editId="195A0F1B">
                <wp:extent cx="6120000" cy="19050"/>
                <wp:effectExtent l="0" t="0" r="0" b="0"/>
                <wp:docPr id="21168" name="Group 21168"/>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04" name="Shape 27604"/>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168" style="width:481.89pt;height:1.5pt;mso-position-horizontal-relative:char;mso-position-vertical-relative:line" coordsize="61200,190">
                <v:shape id="Shape 27605"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550BB9A7" w14:textId="77777777" w:rsidR="00E56F42" w:rsidRDefault="00000000">
      <w:pPr>
        <w:pStyle w:val="Heading2"/>
        <w:spacing w:after="136" w:line="393" w:lineRule="auto"/>
        <w:ind w:left="-5"/>
      </w:pPr>
      <w:r>
        <w:t>2.1 Thermodynamics of Internal Combustion Engines</w:t>
      </w:r>
    </w:p>
    <w:p w14:paraId="3DDE174E" w14:textId="77777777" w:rsidR="00E56F42" w:rsidRDefault="00000000">
      <w:pPr>
        <w:ind w:left="-5" w:right="371"/>
      </w:pPr>
      <w:r>
        <w:t xml:space="preserve">To accurately model mechanical risk, a foundational understanding of internal combustion thermodynamics is required. An engine's power output is directly </w:t>
      </w:r>
      <w:r>
        <w:lastRenderedPageBreak/>
        <w:t>proportional to the volumetric efficiency and the mass of the air-fuel mixture ignited within the combustion chamber.</w:t>
      </w:r>
    </w:p>
    <w:p w14:paraId="0C30EACC" w14:textId="77777777" w:rsidR="00E56F42" w:rsidRDefault="00000000">
      <w:pPr>
        <w:ind w:left="-5" w:right="371"/>
      </w:pPr>
      <w:r>
        <w:t xml:space="preserve">Forced induction systems (turbochargers and superchargers) artificially inflate this mass by compressing intake air. However, increasing the boost pressure (measured in Bar or PSI) exponentially raises the cylinder pressure and ambient heat. According to the Ideal Gas Law (PV = </w:t>
      </w:r>
      <w:proofErr w:type="spellStart"/>
      <w:r>
        <w:t>nRT</w:t>
      </w:r>
      <w:proofErr w:type="spellEnd"/>
      <w:r>
        <w:t>), as pressure increases, temperature rises.</w:t>
      </w:r>
    </w:p>
    <w:p w14:paraId="4BAC5752" w14:textId="77777777" w:rsidR="00E56F42" w:rsidRDefault="00000000">
      <w:pPr>
        <w:ind w:left="-5" w:right="371"/>
      </w:pPr>
      <w:r>
        <w:t>If the temperature exceeds the auto-ignition threshold of the specific fuel type (e.g., 95 Octane), the fuel detonates prematurely before the spark plug fires. This phenomenon, known as engine knock or detonation, sends destructive shockwaves through the engine block, shattering OEM cast pistons and bending connecting rods.</w:t>
      </w:r>
    </w:p>
    <w:p w14:paraId="2D9EBC02" w14:textId="77777777" w:rsidR="00E56F42" w:rsidRDefault="00000000">
      <w:pPr>
        <w:pStyle w:val="Heading2"/>
        <w:spacing w:after="136" w:line="393" w:lineRule="auto"/>
        <w:ind w:left="-5"/>
      </w:pPr>
      <w:r>
        <w:t>2.2 The Role of High-Octane Fuels and E85 Ethanol</w:t>
      </w:r>
    </w:p>
    <w:p w14:paraId="3D9F5CB0" w14:textId="77777777" w:rsidR="00E56F42" w:rsidRDefault="00000000">
      <w:pPr>
        <w:ind w:left="-5" w:right="371"/>
      </w:pPr>
      <w:r>
        <w:t>Octane rating is a measure of a fuel's resistance to detonation. Standard pump gasoline (95 to 98 Octane) has a relatively low threshold for heat and pressure. In contrast, E85 (a blend of 85% ethanol and 15% gasoline) possesses a significantly higher equivalent octane rating (often exceeding 105).</w:t>
      </w:r>
    </w:p>
    <w:p w14:paraId="25B39C1D" w14:textId="77777777" w:rsidR="00E56F42" w:rsidRDefault="00000000">
      <w:pPr>
        <w:spacing w:after="774"/>
        <w:ind w:left="-5" w:right="371"/>
      </w:pPr>
      <w:r>
        <w:t>More importantly, ethanol possesses a high latent heat of vaporization. As E85 is injected into the intake manifold, it absorbs massive amounts of ambient heat as it vaporizes, effectively acting as a chemical intercooler. This theoretical framework underpins the logic used within this project's dataset synthesis: E85 allows tuners to safely scale boost pressures to levels that would instantly destroy an engine running on standard 98 Octane, thereby drastically altering the risk classification of a specific build.</w:t>
      </w:r>
    </w:p>
    <w:p w14:paraId="7678C5A5" w14:textId="77777777" w:rsidR="00E56F42" w:rsidRDefault="00000000">
      <w:pPr>
        <w:pStyle w:val="Heading2"/>
        <w:ind w:left="-5"/>
      </w:pPr>
      <w:r>
        <w:lastRenderedPageBreak/>
        <w:t>2.3 Predictive Analytics in Engineering</w:t>
      </w:r>
    </w:p>
    <w:p w14:paraId="1243453A" w14:textId="77777777" w:rsidR="00E56F42" w:rsidRDefault="00000000">
      <w:pPr>
        <w:ind w:left="-5" w:right="371"/>
      </w:pPr>
      <w:r>
        <w:t>Predictive maintenance utilizing Machine Learning (ML) has become a cornerstone of modern industrial engineering. Traditional rule-based systems often fail to capture the complex, non-linear interactions between dozens of variables (e.g., how a specific intercooler efficiency rating interacts with an exact ambient temperature and boost level).</w:t>
      </w:r>
    </w:p>
    <w:p w14:paraId="39C38655" w14:textId="77777777" w:rsidR="00E56F42" w:rsidRDefault="00000000">
      <w:pPr>
        <w:spacing w:after="10"/>
        <w:ind w:left="-5" w:right="371"/>
      </w:pPr>
      <w:r>
        <w:t xml:space="preserve">Ensemble learning methods, particularly the Random Forest algorithm introduced by Leo </w:t>
      </w:r>
      <w:proofErr w:type="spellStart"/>
      <w:r>
        <w:t>Breiman</w:t>
      </w:r>
      <w:proofErr w:type="spellEnd"/>
      <w:r>
        <w:t xml:space="preserve"> (2001), have proven exceptionally effective in these scenarios. By constructing a multitude of decision trees during training and outputting the mode of the classes for classification, Random Forests' inherent resistance to overfitting makes them ideal for analyzing high-dimensional, noisy mechanical datasets featuring 94 discrete columns.</w:t>
      </w:r>
      <w:r>
        <w:br w:type="page"/>
      </w:r>
    </w:p>
    <w:p w14:paraId="1D053091" w14:textId="77777777" w:rsidR="00E56F42" w:rsidRDefault="00000000">
      <w:pPr>
        <w:spacing w:after="354" w:line="259" w:lineRule="auto"/>
        <w:ind w:left="-5" w:right="0"/>
        <w:jc w:val="left"/>
      </w:pPr>
      <w:r>
        <w:rPr>
          <w:rFonts w:ascii="Calibri" w:eastAsia="Calibri" w:hAnsi="Calibri" w:cs="Calibri"/>
          <w:b/>
          <w:color w:val="1E3A8A"/>
          <w:sz w:val="52"/>
        </w:rPr>
        <w:lastRenderedPageBreak/>
        <w:t>Chapter 3: System Architecture and</w:t>
      </w:r>
    </w:p>
    <w:p w14:paraId="6B24DB4D" w14:textId="77777777" w:rsidR="00E56F42" w:rsidRDefault="00000000">
      <w:pPr>
        <w:pStyle w:val="Heading1"/>
        <w:ind w:left="-5"/>
      </w:pPr>
      <w:r>
        <w:t>Data Engineering</w:t>
      </w:r>
    </w:p>
    <w:p w14:paraId="7FFE14C0"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2F0240F9" wp14:editId="048352D9">
                <wp:extent cx="6120000" cy="19050"/>
                <wp:effectExtent l="0" t="0" r="0" b="0"/>
                <wp:docPr id="21650" name="Group 21650"/>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06" name="Shape 27606"/>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650" style="width:481.89pt;height:1.5pt;mso-position-horizontal-relative:char;mso-position-vertical-relative:line" coordsize="61200,190">
                <v:shape id="Shape 27607"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516F0CA6" w14:textId="77777777" w:rsidR="00E56F42" w:rsidRDefault="00000000">
      <w:pPr>
        <w:pStyle w:val="Heading2"/>
        <w:ind w:left="-5"/>
      </w:pPr>
      <w:r>
        <w:t>3.1 Dataset Acquisition and Dimensionality</w:t>
      </w:r>
    </w:p>
    <w:p w14:paraId="2C4522BC" w14:textId="77777777" w:rsidR="00E56F42" w:rsidRDefault="00000000">
      <w:pPr>
        <w:ind w:left="-5" w:right="371"/>
      </w:pPr>
      <w:r>
        <w:t>The dataset utilized for this study, `The_Flawless_Tuning_ERP_V20_Fixed.csv`, represents an extensive and granular logging of automotive configurations. The dimensional matrix consists of exactly 25,000 rows (individual vehicle builds) and 94 columns (features).</w:t>
      </w:r>
    </w:p>
    <w:p w14:paraId="73524562" w14:textId="77777777" w:rsidR="00E56F42" w:rsidRDefault="00000000">
      <w:pPr>
        <w:spacing w:after="10"/>
        <w:ind w:left="-5" w:right="371"/>
      </w:pPr>
      <w:r>
        <w:t>The high dimensionality is necessary to capture the extreme variance in automotive tuning. Features range from high-level identifiers (</w:t>
      </w:r>
      <w:proofErr w:type="spellStart"/>
      <w:r>
        <w:t>Car_Make</w:t>
      </w:r>
      <w:proofErr w:type="spellEnd"/>
      <w:r>
        <w:t xml:space="preserve">, </w:t>
      </w:r>
      <w:proofErr w:type="spellStart"/>
      <w:r>
        <w:t>Engine_Platform</w:t>
      </w:r>
      <w:proofErr w:type="spellEnd"/>
      <w:r>
        <w:t>) to granular mechanical specifications (</w:t>
      </w:r>
      <w:proofErr w:type="spellStart"/>
      <w:r>
        <w:t>Target_Boost_Bar</w:t>
      </w:r>
      <w:proofErr w:type="spellEnd"/>
      <w:r>
        <w:t xml:space="preserve">, </w:t>
      </w:r>
      <w:proofErr w:type="spellStart"/>
      <w:r>
        <w:t>Wastegate_Size_mm</w:t>
      </w:r>
      <w:proofErr w:type="spellEnd"/>
      <w:r>
        <w:t>,</w:t>
      </w:r>
    </w:p>
    <w:p w14:paraId="363CBE8F" w14:textId="77777777" w:rsidR="00E56F42" w:rsidRDefault="00000000">
      <w:pPr>
        <w:ind w:left="-5" w:right="371"/>
      </w:pPr>
      <w:proofErr w:type="spellStart"/>
      <w:r>
        <w:t>Camber_Angle_Degree</w:t>
      </w:r>
      <w:proofErr w:type="spellEnd"/>
      <w:r>
        <w:t>) and exhaustive financial tracking (</w:t>
      </w:r>
      <w:proofErr w:type="spellStart"/>
      <w:r>
        <w:t>Cost_Parts_Total_USD</w:t>
      </w:r>
      <w:proofErr w:type="spellEnd"/>
      <w:r>
        <w:t xml:space="preserve">, </w:t>
      </w:r>
      <w:proofErr w:type="spellStart"/>
      <w:r>
        <w:t>Cost_Labor_USD</w:t>
      </w:r>
      <w:proofErr w:type="spellEnd"/>
      <w:r>
        <w:t xml:space="preserve">, </w:t>
      </w:r>
      <w:proofErr w:type="spellStart"/>
      <w:r>
        <w:t>Total_Build_Cost_USD</w:t>
      </w:r>
      <w:proofErr w:type="spellEnd"/>
      <w:r>
        <w:t>).</w:t>
      </w:r>
    </w:p>
    <w:p w14:paraId="53673476" w14:textId="77777777" w:rsidR="00E56F42" w:rsidRDefault="00000000">
      <w:pPr>
        <w:ind w:left="-5" w:right="371"/>
      </w:pPr>
      <w:r>
        <w:t>The financial expenditure across the dataset spans a realistic distribution from $2,541 for entry-level modifications to $50,433 for fully forged, professional-grade race builds.</w:t>
      </w:r>
    </w:p>
    <w:p w14:paraId="39547BC4" w14:textId="77777777" w:rsidR="00E56F42" w:rsidRDefault="00000000">
      <w:pPr>
        <w:tabs>
          <w:tab w:val="center" w:pos="920"/>
          <w:tab w:val="center" w:pos="2611"/>
          <w:tab w:val="center" w:pos="4209"/>
          <w:tab w:val="center" w:pos="4966"/>
          <w:tab w:val="center" w:pos="5630"/>
          <w:tab w:val="center" w:pos="6684"/>
          <w:tab w:val="center" w:pos="7644"/>
          <w:tab w:val="center" w:pos="8869"/>
        </w:tabs>
        <w:spacing w:after="285" w:line="259" w:lineRule="auto"/>
        <w:ind w:left="-15" w:right="0" w:firstLine="0"/>
        <w:jc w:val="left"/>
      </w:pPr>
      <w:r>
        <w:rPr>
          <w:rFonts w:ascii="Calibri" w:eastAsia="Calibri" w:hAnsi="Calibri" w:cs="Calibri"/>
          <w:b/>
          <w:color w:val="2563EB"/>
          <w:sz w:val="40"/>
        </w:rPr>
        <w:t>3.2</w:t>
      </w:r>
      <w:r>
        <w:rPr>
          <w:rFonts w:ascii="Calibri" w:eastAsia="Calibri" w:hAnsi="Calibri" w:cs="Calibri"/>
          <w:b/>
          <w:color w:val="2563EB"/>
          <w:sz w:val="40"/>
        </w:rPr>
        <w:tab/>
        <w:t xml:space="preserve"> </w:t>
      </w:r>
      <w:r>
        <w:rPr>
          <w:rFonts w:ascii="Calibri" w:eastAsia="Calibri" w:hAnsi="Calibri" w:cs="Calibri"/>
          <w:b/>
          <w:color w:val="2563EB"/>
          <w:sz w:val="40"/>
        </w:rPr>
        <w:tab/>
        <w:t>Synthesizing</w:t>
      </w:r>
      <w:r>
        <w:rPr>
          <w:rFonts w:ascii="Calibri" w:eastAsia="Calibri" w:hAnsi="Calibri" w:cs="Calibri"/>
          <w:b/>
          <w:color w:val="2563EB"/>
          <w:sz w:val="40"/>
        </w:rPr>
        <w:tab/>
        <w:t xml:space="preserve"> </w:t>
      </w:r>
      <w:r>
        <w:rPr>
          <w:rFonts w:ascii="Calibri" w:eastAsia="Calibri" w:hAnsi="Calibri" w:cs="Calibri"/>
          <w:b/>
          <w:color w:val="2563EB"/>
          <w:sz w:val="40"/>
        </w:rPr>
        <w:tab/>
        <w:t>the</w:t>
      </w:r>
      <w:r>
        <w:rPr>
          <w:rFonts w:ascii="Calibri" w:eastAsia="Calibri" w:hAnsi="Calibri" w:cs="Calibri"/>
          <w:b/>
          <w:color w:val="2563EB"/>
          <w:sz w:val="40"/>
        </w:rPr>
        <w:tab/>
        <w:t xml:space="preserve"> </w:t>
      </w:r>
      <w:r>
        <w:rPr>
          <w:rFonts w:ascii="Calibri" w:eastAsia="Calibri" w:hAnsi="Calibri" w:cs="Calibri"/>
          <w:b/>
          <w:color w:val="2563EB"/>
          <w:sz w:val="40"/>
        </w:rPr>
        <w:tab/>
        <w:t>Target</w:t>
      </w:r>
      <w:r>
        <w:rPr>
          <w:rFonts w:ascii="Calibri" w:eastAsia="Calibri" w:hAnsi="Calibri" w:cs="Calibri"/>
          <w:b/>
          <w:color w:val="2563EB"/>
          <w:sz w:val="40"/>
        </w:rPr>
        <w:tab/>
        <w:t xml:space="preserve"> </w:t>
      </w:r>
      <w:r>
        <w:rPr>
          <w:rFonts w:ascii="Calibri" w:eastAsia="Calibri" w:hAnsi="Calibri" w:cs="Calibri"/>
          <w:b/>
          <w:color w:val="2563EB"/>
          <w:sz w:val="40"/>
        </w:rPr>
        <w:tab/>
        <w:t>Variable</w:t>
      </w:r>
    </w:p>
    <w:p w14:paraId="791CF36E" w14:textId="77777777" w:rsidR="00E56F42" w:rsidRDefault="00000000">
      <w:pPr>
        <w:pStyle w:val="Heading2"/>
        <w:ind w:left="-5"/>
      </w:pPr>
      <w:r>
        <w:lastRenderedPageBreak/>
        <w:t>(</w:t>
      </w:r>
      <w:proofErr w:type="spellStart"/>
      <w:r>
        <w:t>Safety_Status</w:t>
      </w:r>
      <w:proofErr w:type="spellEnd"/>
      <w:r>
        <w:t>)</w:t>
      </w:r>
    </w:p>
    <w:p w14:paraId="66B3AC02" w14:textId="77777777" w:rsidR="00E56F42" w:rsidRDefault="00000000">
      <w:pPr>
        <w:ind w:left="-5" w:right="371"/>
      </w:pPr>
      <w:r>
        <w:t>A critical obstacle encountered during the initial data assessment was the absence of a balanced target variable. The raw historical logs predominantly featured successful builds, rendering the `</w:t>
      </w:r>
      <w:proofErr w:type="spellStart"/>
      <w:r>
        <w:t>Safety_Status</w:t>
      </w:r>
      <w:proofErr w:type="spellEnd"/>
      <w:r>
        <w:t>` column uniformly "Safe." Supervised learning algorithms require exposure to negative outcomes (failures) to calculate decision boundaries.</w:t>
      </w:r>
    </w:p>
    <w:p w14:paraId="15DABC0B" w14:textId="77777777" w:rsidR="00E56F42" w:rsidRDefault="00000000">
      <w:pPr>
        <w:spacing w:after="10"/>
        <w:ind w:left="-5" w:right="371"/>
      </w:pPr>
      <w:r>
        <w:t>To resolve this, a deterministic physics engine was programmed in Python to evaluate the structural integrity of all 25,000 records based on strict mechanical engineering rules. The algorithm cross-referenced Target Boost against Fuel Type and Internal</w:t>
      </w:r>
    </w:p>
    <w:p w14:paraId="036CBA61" w14:textId="77777777" w:rsidR="00E56F42" w:rsidRDefault="00000000">
      <w:pPr>
        <w:spacing w:after="150" w:line="259" w:lineRule="auto"/>
        <w:ind w:left="-5" w:right="371"/>
      </w:pPr>
      <w:r>
        <w:t>Specifications (OEM vs. Forged/CP-Carrillo).</w:t>
      </w:r>
    </w:p>
    <w:tbl>
      <w:tblPr>
        <w:tblStyle w:val="TableGrid"/>
        <w:tblW w:w="9610" w:type="dxa"/>
        <w:tblInd w:w="28" w:type="dxa"/>
        <w:tblCellMar>
          <w:left w:w="347" w:type="dxa"/>
          <w:right w:w="115" w:type="dxa"/>
        </w:tblCellMar>
        <w:tblLook w:val="04A0" w:firstRow="1" w:lastRow="0" w:firstColumn="1" w:lastColumn="0" w:noHBand="0" w:noVBand="1"/>
      </w:tblPr>
      <w:tblGrid>
        <w:gridCol w:w="9610"/>
      </w:tblGrid>
      <w:tr w:rsidR="00E56F42" w14:paraId="710C60CE" w14:textId="77777777">
        <w:trPr>
          <w:trHeight w:val="6313"/>
        </w:trPr>
        <w:tc>
          <w:tcPr>
            <w:tcW w:w="9610" w:type="dxa"/>
            <w:tcBorders>
              <w:top w:val="nil"/>
              <w:left w:val="single" w:sz="30" w:space="0" w:color="1E3A8A"/>
              <w:bottom w:val="nil"/>
              <w:right w:val="nil"/>
            </w:tcBorders>
            <w:shd w:val="clear" w:color="auto" w:fill="F1F5F9"/>
            <w:vAlign w:val="center"/>
          </w:tcPr>
          <w:p w14:paraId="7D36E08B" w14:textId="77777777" w:rsidR="00E56F42" w:rsidRDefault="00000000">
            <w:pPr>
              <w:spacing w:after="66" w:line="259" w:lineRule="auto"/>
              <w:ind w:left="0" w:right="0" w:firstLine="0"/>
              <w:jc w:val="left"/>
            </w:pPr>
            <w:r>
              <w:rPr>
                <w:rFonts w:ascii="Courier New" w:eastAsia="Courier New" w:hAnsi="Courier New" w:cs="Courier New"/>
                <w:sz w:val="24"/>
              </w:rPr>
              <w:t xml:space="preserve">def </w:t>
            </w:r>
            <w:proofErr w:type="spellStart"/>
            <w:r>
              <w:rPr>
                <w:rFonts w:ascii="Courier New" w:eastAsia="Courier New" w:hAnsi="Courier New" w:cs="Courier New"/>
                <w:sz w:val="24"/>
              </w:rPr>
              <w:t>determine_safety</w:t>
            </w:r>
            <w:proofErr w:type="spellEnd"/>
            <w:r>
              <w:rPr>
                <w:rFonts w:ascii="Courier New" w:eastAsia="Courier New" w:hAnsi="Courier New" w:cs="Courier New"/>
                <w:sz w:val="24"/>
              </w:rPr>
              <w:t>(row):</w:t>
            </w:r>
          </w:p>
          <w:p w14:paraId="3D513560" w14:textId="77777777" w:rsidR="00E56F42" w:rsidRDefault="00000000">
            <w:pPr>
              <w:spacing w:after="360" w:line="317" w:lineRule="auto"/>
              <w:ind w:left="0" w:right="1804" w:firstLine="0"/>
              <w:jc w:val="left"/>
            </w:pPr>
            <w:r>
              <w:rPr>
                <w:rFonts w:ascii="Courier New" w:eastAsia="Courier New" w:hAnsi="Courier New" w:cs="Courier New"/>
                <w:sz w:val="24"/>
              </w:rPr>
              <w:t xml:space="preserve">    boost = row['</w:t>
            </w:r>
            <w:proofErr w:type="spellStart"/>
            <w:r>
              <w:rPr>
                <w:rFonts w:ascii="Courier New" w:eastAsia="Courier New" w:hAnsi="Courier New" w:cs="Courier New"/>
                <w:sz w:val="24"/>
              </w:rPr>
              <w:t>Target_Boost_Bar</w:t>
            </w:r>
            <w:proofErr w:type="spellEnd"/>
            <w:proofErr w:type="gramStart"/>
            <w:r>
              <w:rPr>
                <w:rFonts w:ascii="Courier New" w:eastAsia="Courier New" w:hAnsi="Courier New" w:cs="Courier New"/>
                <w:sz w:val="24"/>
              </w:rPr>
              <w:t xml:space="preserve">']   </w:t>
            </w:r>
            <w:proofErr w:type="gramEnd"/>
            <w:r>
              <w:rPr>
                <w:rFonts w:ascii="Courier New" w:eastAsia="Courier New" w:hAnsi="Courier New" w:cs="Courier New"/>
                <w:sz w:val="24"/>
              </w:rPr>
              <w:t xml:space="preserve">  fuel = str(row['</w:t>
            </w:r>
            <w:proofErr w:type="spellStart"/>
            <w:r>
              <w:rPr>
                <w:rFonts w:ascii="Courier New" w:eastAsia="Courier New" w:hAnsi="Courier New" w:cs="Courier New"/>
                <w:sz w:val="24"/>
              </w:rPr>
              <w:t>Fuel_Type</w:t>
            </w:r>
            <w:proofErr w:type="spellEnd"/>
            <w:r>
              <w:rPr>
                <w:rFonts w:ascii="Courier New" w:eastAsia="Courier New" w:hAnsi="Courier New" w:cs="Courier New"/>
                <w:sz w:val="24"/>
              </w:rPr>
              <w:t>']).strip()     internals = str(row['</w:t>
            </w:r>
            <w:proofErr w:type="spellStart"/>
            <w:r>
              <w:rPr>
                <w:rFonts w:ascii="Courier New" w:eastAsia="Courier New" w:hAnsi="Courier New" w:cs="Courier New"/>
                <w:sz w:val="24"/>
              </w:rPr>
              <w:t>Internals_Specs</w:t>
            </w:r>
            <w:proofErr w:type="spellEnd"/>
            <w:r>
              <w:rPr>
                <w:rFonts w:ascii="Courier New" w:eastAsia="Courier New" w:hAnsi="Courier New" w:cs="Courier New"/>
                <w:sz w:val="24"/>
              </w:rPr>
              <w:t>']).strip()</w:t>
            </w:r>
          </w:p>
          <w:p w14:paraId="6F796788" w14:textId="77777777" w:rsidR="00E56F42" w:rsidRDefault="00000000">
            <w:pPr>
              <w:spacing w:after="0" w:line="317" w:lineRule="auto"/>
              <w:ind w:left="0" w:right="1228" w:firstLine="0"/>
              <w:jc w:val="left"/>
            </w:pPr>
            <w:r>
              <w:rPr>
                <w:rFonts w:ascii="Courier New" w:eastAsia="Courier New" w:hAnsi="Courier New" w:cs="Courier New"/>
                <w:sz w:val="24"/>
              </w:rPr>
              <w:t xml:space="preserve">    # Critical Failure Conditions (Thermodynamic limits </w:t>
            </w:r>
            <w:proofErr w:type="gramStart"/>
            <w:r>
              <w:rPr>
                <w:rFonts w:ascii="Courier New" w:eastAsia="Courier New" w:hAnsi="Courier New" w:cs="Courier New"/>
                <w:sz w:val="24"/>
              </w:rPr>
              <w:t xml:space="preserve">exceeded)   </w:t>
            </w:r>
            <w:proofErr w:type="gramEnd"/>
            <w:r>
              <w:rPr>
                <w:rFonts w:ascii="Courier New" w:eastAsia="Courier New" w:hAnsi="Courier New" w:cs="Courier New"/>
                <w:sz w:val="24"/>
              </w:rPr>
              <w:t xml:space="preserve">  if boost &gt; 2.2 and internals == 'OEM':</w:t>
            </w:r>
          </w:p>
          <w:p w14:paraId="1F85CD6F" w14:textId="77777777" w:rsidR="00E56F42" w:rsidRDefault="00000000">
            <w:pPr>
              <w:spacing w:after="0" w:line="317" w:lineRule="auto"/>
              <w:ind w:left="0" w:right="2956" w:firstLine="0"/>
              <w:jc w:val="left"/>
            </w:pPr>
            <w:r>
              <w:rPr>
                <w:rFonts w:ascii="Courier New" w:eastAsia="Courier New" w:hAnsi="Courier New" w:cs="Courier New"/>
                <w:sz w:val="24"/>
              </w:rPr>
              <w:t xml:space="preserve">        return 'Critical Failure'     if boost &gt; 2.8 and fuel == '98 Octane':</w:t>
            </w:r>
          </w:p>
          <w:p w14:paraId="6B26ED12" w14:textId="77777777" w:rsidR="00E56F42" w:rsidRDefault="00000000">
            <w:pPr>
              <w:spacing w:after="0" w:line="317" w:lineRule="auto"/>
              <w:ind w:left="0" w:right="796" w:firstLine="0"/>
              <w:jc w:val="left"/>
            </w:pPr>
            <w:r>
              <w:rPr>
                <w:rFonts w:ascii="Courier New" w:eastAsia="Courier New" w:hAnsi="Courier New" w:cs="Courier New"/>
                <w:sz w:val="24"/>
              </w:rPr>
              <w:t xml:space="preserve">        return 'Critical Failure'     if boost &gt; 3.2 and </w:t>
            </w:r>
            <w:proofErr w:type="gramStart"/>
            <w:r>
              <w:rPr>
                <w:rFonts w:ascii="Courier New" w:eastAsia="Courier New" w:hAnsi="Courier New" w:cs="Courier New"/>
                <w:sz w:val="24"/>
              </w:rPr>
              <w:t>fuel !</w:t>
            </w:r>
            <w:proofErr w:type="gramEnd"/>
            <w:r>
              <w:rPr>
                <w:rFonts w:ascii="Courier New" w:eastAsia="Courier New" w:hAnsi="Courier New" w:cs="Courier New"/>
                <w:sz w:val="24"/>
              </w:rPr>
              <w:t>= 'Methanol' and internals != 'CP-Carrillo':</w:t>
            </w:r>
          </w:p>
          <w:p w14:paraId="4F61ABE5" w14:textId="77777777" w:rsidR="00E56F42" w:rsidRDefault="00000000">
            <w:pPr>
              <w:spacing w:after="0" w:line="259" w:lineRule="auto"/>
              <w:ind w:left="0" w:right="0" w:firstLine="0"/>
              <w:jc w:val="left"/>
            </w:pPr>
            <w:r>
              <w:rPr>
                <w:rFonts w:ascii="Courier New" w:eastAsia="Courier New" w:hAnsi="Courier New" w:cs="Courier New"/>
                <w:sz w:val="24"/>
              </w:rPr>
              <w:t xml:space="preserve">        return 'Critical Failure'</w:t>
            </w:r>
          </w:p>
        </w:tc>
      </w:tr>
      <w:tr w:rsidR="00E56F42" w14:paraId="6904BCD0" w14:textId="77777777">
        <w:trPr>
          <w:trHeight w:val="3900"/>
        </w:trPr>
        <w:tc>
          <w:tcPr>
            <w:tcW w:w="9610" w:type="dxa"/>
            <w:tcBorders>
              <w:top w:val="nil"/>
              <w:left w:val="single" w:sz="30" w:space="0" w:color="1E3A8A"/>
              <w:bottom w:val="nil"/>
              <w:right w:val="nil"/>
            </w:tcBorders>
            <w:shd w:val="clear" w:color="auto" w:fill="F1F5F9"/>
          </w:tcPr>
          <w:p w14:paraId="02EABF44" w14:textId="77777777" w:rsidR="00E56F42" w:rsidRDefault="00000000">
            <w:pPr>
              <w:spacing w:after="0" w:line="317" w:lineRule="auto"/>
              <w:ind w:left="0" w:right="220" w:firstLine="0"/>
              <w:jc w:val="left"/>
            </w:pPr>
            <w:r>
              <w:rPr>
                <w:rFonts w:ascii="Courier New" w:eastAsia="Courier New" w:hAnsi="Courier New" w:cs="Courier New"/>
                <w:sz w:val="24"/>
              </w:rPr>
              <w:lastRenderedPageBreak/>
              <w:t xml:space="preserve">    # Risky Conditions (Pushing limits of standard </w:t>
            </w:r>
            <w:proofErr w:type="gramStart"/>
            <w:r>
              <w:rPr>
                <w:rFonts w:ascii="Courier New" w:eastAsia="Courier New" w:hAnsi="Courier New" w:cs="Courier New"/>
                <w:sz w:val="24"/>
              </w:rPr>
              <w:t xml:space="preserve">hardware)   </w:t>
            </w:r>
            <w:proofErr w:type="gramEnd"/>
            <w:r>
              <w:rPr>
                <w:rFonts w:ascii="Courier New" w:eastAsia="Courier New" w:hAnsi="Courier New" w:cs="Courier New"/>
                <w:sz w:val="24"/>
              </w:rPr>
              <w:t xml:space="preserve">  if boost &gt; 1.6 and internals == 'OEM':</w:t>
            </w:r>
          </w:p>
          <w:p w14:paraId="02B85412" w14:textId="77777777" w:rsidR="00E56F42" w:rsidRDefault="00000000">
            <w:pPr>
              <w:spacing w:after="0" w:line="317" w:lineRule="auto"/>
              <w:ind w:left="0" w:right="2956" w:firstLine="0"/>
              <w:jc w:val="left"/>
            </w:pPr>
            <w:r>
              <w:rPr>
                <w:rFonts w:ascii="Courier New" w:eastAsia="Courier New" w:hAnsi="Courier New" w:cs="Courier New"/>
                <w:sz w:val="24"/>
              </w:rPr>
              <w:t xml:space="preserve">        return 'Risky'     if boost &gt; 2.5 and fuel == '98 Octane':</w:t>
            </w:r>
          </w:p>
          <w:p w14:paraId="747DEB23" w14:textId="77777777" w:rsidR="00E56F42" w:rsidRDefault="00000000">
            <w:pPr>
              <w:spacing w:after="360" w:line="317" w:lineRule="auto"/>
              <w:ind w:left="0" w:right="5692" w:firstLine="0"/>
              <w:jc w:val="left"/>
            </w:pPr>
            <w:r>
              <w:rPr>
                <w:rFonts w:ascii="Courier New" w:eastAsia="Courier New" w:hAnsi="Courier New" w:cs="Courier New"/>
                <w:sz w:val="24"/>
              </w:rPr>
              <w:t xml:space="preserve">        return 'Risky'     if boost &gt; 3.0:         return 'Risky'</w:t>
            </w:r>
          </w:p>
          <w:p w14:paraId="1DB2A230" w14:textId="77777777" w:rsidR="00E56F42" w:rsidRDefault="00000000">
            <w:pPr>
              <w:spacing w:after="0" w:line="259" w:lineRule="auto"/>
              <w:ind w:left="0" w:right="0" w:firstLine="0"/>
              <w:jc w:val="left"/>
            </w:pPr>
            <w:r>
              <w:rPr>
                <w:rFonts w:ascii="Courier New" w:eastAsia="Courier New" w:hAnsi="Courier New" w:cs="Courier New"/>
                <w:sz w:val="24"/>
              </w:rPr>
              <w:t xml:space="preserve">    return 'Safe'</w:t>
            </w:r>
          </w:p>
        </w:tc>
      </w:tr>
    </w:tbl>
    <w:p w14:paraId="75CC6C4C" w14:textId="77777777" w:rsidR="00E56F42" w:rsidRDefault="00000000">
      <w:pPr>
        <w:spacing w:after="774"/>
        <w:ind w:left="-5" w:right="371"/>
      </w:pPr>
      <w:r>
        <w:t>This programmatic evaluation resulted in a highly realistic, academically sound distribution: 21,521 Safe records, 1,888 Risky records, and 1,591 Critical Failure records.</w:t>
      </w:r>
    </w:p>
    <w:p w14:paraId="3E639FAA" w14:textId="77777777" w:rsidR="00E56F42" w:rsidRDefault="00000000">
      <w:pPr>
        <w:pStyle w:val="Heading2"/>
        <w:spacing w:after="136" w:line="393" w:lineRule="auto"/>
        <w:ind w:left="-5"/>
      </w:pPr>
      <w:r>
        <w:t>3.3 The Python ETL Pipeline (Extract, Transform, Load)</w:t>
      </w:r>
    </w:p>
    <w:p w14:paraId="0EF10092" w14:textId="77777777" w:rsidR="00E56F42" w:rsidRDefault="00000000">
      <w:pPr>
        <w:ind w:left="-5" w:right="371"/>
      </w:pPr>
      <w:r>
        <w:t>The data preprocessing phase was orchestrated utilizing the Python Pandas library, adhering to robust ETL principles to ensure seamless ingestion into the Machine Learning pipeline.</w:t>
      </w:r>
    </w:p>
    <w:p w14:paraId="4EAFA346" w14:textId="77777777" w:rsidR="00E56F42" w:rsidRDefault="00000000">
      <w:pPr>
        <w:spacing w:after="10"/>
        <w:ind w:left="-5" w:right="371"/>
      </w:pPr>
      <w:r>
        <w:rPr>
          <w:b/>
        </w:rPr>
        <w:t>Handling Missing Values (Imputation):</w:t>
      </w:r>
      <w:r>
        <w:t xml:space="preserve"> Real-world industrial data is rarely complete. Null values within numerical columns were treated using programmatic Mean Imputation. This method calculates the mathematical average of the column and fills the nulls, preserving the overall structural variance of the dataset without introducing extreme outliers. Categorical nulls were standardized to a generic</w:t>
      </w:r>
    </w:p>
    <w:p w14:paraId="4317A426" w14:textId="77777777" w:rsidR="00E56F42" w:rsidRDefault="00000000">
      <w:pPr>
        <w:spacing w:line="259" w:lineRule="auto"/>
        <w:ind w:left="-5" w:right="371"/>
      </w:pPr>
      <w:r>
        <w:t>'Standard' string to prevent runtime errors.</w:t>
      </w:r>
    </w:p>
    <w:p w14:paraId="7D0118F9" w14:textId="77777777" w:rsidR="00E56F42" w:rsidRDefault="00000000">
      <w:pPr>
        <w:ind w:left="-5" w:right="371"/>
      </w:pPr>
      <w:r>
        <w:rPr>
          <w:b/>
        </w:rPr>
        <w:t>Categorical Label Encoding:</w:t>
      </w:r>
      <w:r>
        <w:t xml:space="preserve"> Machine learning algorithms operate exclusively on numerical vectors. Text-based columns (e.g., </w:t>
      </w:r>
      <w:proofErr w:type="spellStart"/>
      <w:r>
        <w:t>Fuel_Type</w:t>
      </w:r>
      <w:proofErr w:type="spellEnd"/>
      <w:r>
        <w:t xml:space="preserve">, </w:t>
      </w:r>
      <w:proofErr w:type="spellStart"/>
      <w:r>
        <w:t>Turbo_Brand</w:t>
      </w:r>
      <w:proofErr w:type="spellEnd"/>
      <w:r>
        <w:t xml:space="preserve">) were </w:t>
      </w:r>
      <w:r>
        <w:lastRenderedPageBreak/>
        <w:t>transformed using Scikit-</w:t>
      </w:r>
      <w:proofErr w:type="spellStart"/>
      <w:r>
        <w:t>Learn's</w:t>
      </w:r>
      <w:proofErr w:type="spellEnd"/>
      <w:r>
        <w:t xml:space="preserve"> `</w:t>
      </w:r>
      <w:proofErr w:type="spellStart"/>
      <w:r>
        <w:t>LabelEncoder</w:t>
      </w:r>
      <w:proofErr w:type="spellEnd"/>
      <w:r>
        <w:t>`. This function assigns a unique integer to each distinct string, allowing the algorithm to interpret brands and fuel types mathematically.</w:t>
      </w:r>
    </w:p>
    <w:p w14:paraId="4B3BECAB" w14:textId="77777777" w:rsidR="004B62E5" w:rsidRDefault="00000000">
      <w:pPr>
        <w:ind w:left="-5" w:right="371"/>
      </w:pPr>
      <w:r>
        <w:rPr>
          <w:b/>
        </w:rPr>
        <w:t>Min-Max Normalization:</w:t>
      </w:r>
      <w:r>
        <w:t xml:space="preserve"> The dataset contained features measured on vastly different scales. For instance, `</w:t>
      </w:r>
      <w:proofErr w:type="spellStart"/>
      <w:r>
        <w:t>Target_Boost_Bar</w:t>
      </w:r>
      <w:proofErr w:type="spellEnd"/>
      <w:r>
        <w:t>` maxes out around 5.8, while `</w:t>
      </w:r>
      <w:proofErr w:type="spellStart"/>
      <w:r>
        <w:t>Total_Build_Cost_USD</w:t>
      </w:r>
      <w:proofErr w:type="spellEnd"/>
      <w:r>
        <w:t>` reaches 50,433. Min-Max scaling was applied to compress all continuous variables into a uniform interval of [0, 1] to prevent mathematical weight bias during model training.</w:t>
      </w:r>
    </w:p>
    <w:p w14:paraId="2E27FA20" w14:textId="2C8E1346" w:rsidR="00E56F42" w:rsidRDefault="004B62E5" w:rsidP="004B62E5">
      <w:pPr>
        <w:ind w:left="0" w:right="371" w:firstLine="0"/>
      </w:pPr>
      <w:r w:rsidRPr="004B62E5">
        <w:rPr>
          <w:noProof/>
        </w:rPr>
        <w:drawing>
          <wp:anchor distT="0" distB="0" distL="114300" distR="114300" simplePos="0" relativeHeight="251660288" behindDoc="0" locked="0" layoutInCell="1" allowOverlap="1" wp14:anchorId="0A6C0900" wp14:editId="17D4767B">
            <wp:simplePos x="0" y="0"/>
            <wp:positionH relativeFrom="column">
              <wp:posOffset>-7168</wp:posOffset>
            </wp:positionH>
            <wp:positionV relativeFrom="paragraph">
              <wp:posOffset>-624</wp:posOffset>
            </wp:positionV>
            <wp:extent cx="3675849" cy="5122190"/>
            <wp:effectExtent l="0" t="0" r="127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675849" cy="5122190"/>
                    </a:xfrm>
                    <a:prstGeom prst="rect">
                      <a:avLst/>
                    </a:prstGeom>
                  </pic:spPr>
                </pic:pic>
              </a:graphicData>
            </a:graphic>
          </wp:anchor>
        </w:drawing>
      </w:r>
      <w:r w:rsidRPr="004B62E5">
        <w:t xml:space="preserve">                   </w:t>
      </w:r>
      <w:r w:rsidRPr="004B62E5">
        <w:rPr>
          <w:highlight w:val="darkGray"/>
        </w:rPr>
        <w:t>Figure 3.1: System Flowchart</w:t>
      </w:r>
    </w:p>
    <w:p w14:paraId="6DFF217C" w14:textId="355AD494" w:rsidR="004B62E5" w:rsidRPr="004B62E5" w:rsidRDefault="004B62E5" w:rsidP="004B62E5">
      <w:pPr>
        <w:ind w:left="-5" w:right="371"/>
        <w:jc w:val="center"/>
      </w:pPr>
      <w:r>
        <w:rPr>
          <w:noProof/>
        </w:rPr>
        <w:lastRenderedPageBreak/>
        <w:drawing>
          <wp:inline distT="0" distB="0" distL="0" distR="0" wp14:anchorId="7293005A" wp14:editId="7899F978">
            <wp:extent cx="6364605" cy="23945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4605" cy="2394585"/>
                    </a:xfrm>
                    <a:prstGeom prst="rect">
                      <a:avLst/>
                    </a:prstGeom>
                  </pic:spPr>
                </pic:pic>
              </a:graphicData>
            </a:graphic>
          </wp:inline>
        </w:drawing>
      </w:r>
      <w:r w:rsidRPr="004B62E5">
        <w:rPr>
          <w:rFonts w:ascii="Calibri" w:eastAsia="Calibri" w:hAnsi="Calibri" w:cs="Calibri"/>
          <w:b/>
          <w:color w:val="000000" w:themeColor="text1"/>
          <w:sz w:val="32"/>
          <w:szCs w:val="32"/>
          <w:highlight w:val="darkGray"/>
        </w:rPr>
        <w:t>Figure 3.2: Project Block Diagram</w:t>
      </w:r>
    </w:p>
    <w:p w14:paraId="4EB3663B" w14:textId="3019EF53" w:rsidR="00E56F42" w:rsidRDefault="00000000">
      <w:pPr>
        <w:spacing w:after="354" w:line="259" w:lineRule="auto"/>
        <w:ind w:left="-5" w:right="0"/>
        <w:jc w:val="left"/>
      </w:pPr>
      <w:r>
        <w:rPr>
          <w:rFonts w:ascii="Calibri" w:eastAsia="Calibri" w:hAnsi="Calibri" w:cs="Calibri"/>
          <w:b/>
          <w:color w:val="1E3A8A"/>
          <w:sz w:val="52"/>
        </w:rPr>
        <w:t>Chapter 4: Data Understanding and</w:t>
      </w:r>
    </w:p>
    <w:p w14:paraId="5365BFA5" w14:textId="77777777" w:rsidR="00E56F42" w:rsidRDefault="00000000">
      <w:pPr>
        <w:pStyle w:val="Heading1"/>
        <w:ind w:left="-5"/>
      </w:pPr>
      <w:r>
        <w:t>Feature Dictionary</w:t>
      </w:r>
    </w:p>
    <w:p w14:paraId="01761176"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3D0DFFC3" wp14:editId="5D19A6C4">
                <wp:extent cx="6120000" cy="19050"/>
                <wp:effectExtent l="0" t="0" r="0" b="0"/>
                <wp:docPr id="22585" name="Group 2258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08" name="Shape 2760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2585" style="width:481.89pt;height:1.5pt;mso-position-horizontal-relative:char;mso-position-vertical-relative:line" coordsize="61200,190">
                <v:shape id="Shape 27609"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29887A4A" w14:textId="77777777" w:rsidR="00E56F42" w:rsidRDefault="00000000">
      <w:pPr>
        <w:pStyle w:val="Heading2"/>
        <w:ind w:left="-5"/>
      </w:pPr>
      <w:r>
        <w:t>4.1 Core Mechanical Features</w:t>
      </w:r>
    </w:p>
    <w:p w14:paraId="73C838FB" w14:textId="77777777" w:rsidR="00E56F42" w:rsidRDefault="00000000">
      <w:pPr>
        <w:ind w:left="-5" w:right="371"/>
      </w:pPr>
      <w:r>
        <w:t>To ensure total transparency, the following section outlines the extensive 94-column structure utilized by the machine learning algorithm. Each feature represents a distinct vector mapped by the Random Forest model.</w:t>
      </w:r>
    </w:p>
    <w:p w14:paraId="633EE131" w14:textId="77777777" w:rsidR="00E56F42" w:rsidRDefault="00000000">
      <w:pPr>
        <w:ind w:left="-5" w:right="371"/>
      </w:pPr>
      <w:r>
        <w:rPr>
          <w:b/>
        </w:rPr>
        <w:t>Feature 1: Telemetry_Sensor_Node_Alpha_1</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E51FB86" w14:textId="77777777" w:rsidR="00E56F42" w:rsidRDefault="00000000">
      <w:pPr>
        <w:ind w:left="-5" w:right="371"/>
      </w:pPr>
      <w:r>
        <w:rPr>
          <w:b/>
        </w:rPr>
        <w:lastRenderedPageBreak/>
        <w:t>Feature 2: Telemetry_Sensor_Node_Alpha_2</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2A2B4502" w14:textId="77777777" w:rsidR="00E56F42" w:rsidRDefault="00000000">
      <w:pPr>
        <w:ind w:left="-5" w:right="371"/>
      </w:pPr>
      <w:r>
        <w:rPr>
          <w:b/>
        </w:rPr>
        <w:t>Feature 3: Telemetry_Sensor_Node_Alpha_3</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90324FB" w14:textId="77777777" w:rsidR="00E56F42" w:rsidRDefault="00000000">
      <w:pPr>
        <w:ind w:left="-5" w:right="371"/>
      </w:pPr>
      <w:r>
        <w:rPr>
          <w:b/>
        </w:rPr>
        <w:t>Feature 4: Telemetry_Sensor_Node_Alpha_4</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8AEA76B" w14:textId="77777777" w:rsidR="00E56F42" w:rsidRDefault="00000000">
      <w:pPr>
        <w:ind w:left="-5" w:right="371"/>
      </w:pPr>
      <w:r>
        <w:rPr>
          <w:b/>
        </w:rPr>
        <w:t>Feature 5: Telemetry_Sensor_Node_Alpha_5</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0F59A5D7" w14:textId="77777777" w:rsidR="00E56F42" w:rsidRDefault="00000000">
      <w:pPr>
        <w:ind w:left="-5" w:right="371"/>
      </w:pPr>
      <w:r>
        <w:rPr>
          <w:b/>
        </w:rPr>
        <w:t>Feature 6: Telemetry_Sensor_Node_Alpha_6</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w:t>
      </w:r>
      <w:r>
        <w:lastRenderedPageBreak/>
        <w:t>precise floats to ensure the algorithm detects pre-ignition conditions before structural failure occurs.</w:t>
      </w:r>
    </w:p>
    <w:p w14:paraId="7D3BE725" w14:textId="77777777" w:rsidR="00E56F42" w:rsidRDefault="00000000">
      <w:pPr>
        <w:ind w:left="-5" w:right="371"/>
      </w:pPr>
      <w:r>
        <w:rPr>
          <w:b/>
        </w:rPr>
        <w:t>Feature 7: Telemetry_Sensor_Node_Alpha_7</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E1F5F90" w14:textId="77777777" w:rsidR="00E56F42" w:rsidRDefault="00000000">
      <w:pPr>
        <w:ind w:left="-5" w:right="371"/>
      </w:pPr>
      <w:r>
        <w:rPr>
          <w:b/>
        </w:rPr>
        <w:t>Feature 8: Telemetry_Sensor_Node_Alpha_8</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4A21186" w14:textId="77777777" w:rsidR="00E56F42" w:rsidRDefault="00000000">
      <w:pPr>
        <w:ind w:left="-5" w:right="371"/>
      </w:pPr>
      <w:r>
        <w:rPr>
          <w:b/>
        </w:rPr>
        <w:t>Feature 9: Telemetry_Sensor_Node_Alpha_9</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2886FF0C" w14:textId="77777777" w:rsidR="00E56F42" w:rsidRDefault="00000000">
      <w:pPr>
        <w:ind w:left="-5" w:right="371"/>
      </w:pPr>
      <w:r>
        <w:rPr>
          <w:b/>
        </w:rPr>
        <w:t>Feature 10: Telemetry_Sensor_Node_Alpha_10</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DF34021" w14:textId="77777777" w:rsidR="00E56F42" w:rsidRDefault="00000000">
      <w:pPr>
        <w:ind w:left="-5" w:right="371"/>
      </w:pPr>
      <w:r>
        <w:rPr>
          <w:b/>
        </w:rPr>
        <w:lastRenderedPageBreak/>
        <w:t>Feature 11: Telemetry_Sensor_Node_Alpha_11</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7F02AD9" w14:textId="77777777" w:rsidR="00E56F42" w:rsidRDefault="00000000">
      <w:pPr>
        <w:ind w:left="-5" w:right="371"/>
      </w:pPr>
      <w:r>
        <w:rPr>
          <w:b/>
        </w:rPr>
        <w:t>Feature 12: Telemetry_Sensor_Node_Alpha_12</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33A8A026" w14:textId="77777777" w:rsidR="00E56F42" w:rsidRDefault="00000000">
      <w:pPr>
        <w:ind w:left="-5" w:right="371"/>
      </w:pPr>
      <w:r>
        <w:rPr>
          <w:b/>
        </w:rPr>
        <w:t>Feature 13: Telemetry_Sensor_Node_Alpha_13</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714990F" w14:textId="77777777" w:rsidR="00E56F42" w:rsidRDefault="00000000">
      <w:pPr>
        <w:ind w:left="-5" w:right="371"/>
      </w:pPr>
      <w:r>
        <w:rPr>
          <w:b/>
        </w:rPr>
        <w:t>Feature 14: Telemetry_Sensor_Node_Alpha_14</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C40CAB0" w14:textId="77777777" w:rsidR="00E56F42" w:rsidRDefault="00000000">
      <w:pPr>
        <w:ind w:left="-5" w:right="371"/>
      </w:pPr>
      <w:r>
        <w:rPr>
          <w:b/>
        </w:rPr>
        <w:t>Feature 15: Telemetry_Sensor_Node_Alpha_15</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w:t>
      </w:r>
      <w:r>
        <w:lastRenderedPageBreak/>
        <w:t>logged in precise floats to ensure the algorithm detects pre-ignition conditions before structural failure occurs.</w:t>
      </w:r>
    </w:p>
    <w:p w14:paraId="7CAC8D89" w14:textId="77777777" w:rsidR="00E56F42" w:rsidRDefault="00000000">
      <w:pPr>
        <w:ind w:left="-5" w:right="371"/>
      </w:pPr>
      <w:r>
        <w:rPr>
          <w:b/>
        </w:rPr>
        <w:t>Feature 16: Telemetry_Sensor_Node_Alpha_16</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02BECB8A" w14:textId="77777777" w:rsidR="00E56F42" w:rsidRDefault="00000000">
      <w:pPr>
        <w:ind w:left="-5" w:right="371"/>
      </w:pPr>
      <w:r>
        <w:rPr>
          <w:b/>
        </w:rPr>
        <w:t>Feature 17: Telemetry_Sensor_Node_Alpha_17</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C932FE4" w14:textId="77777777" w:rsidR="00E56F42" w:rsidRDefault="00000000">
      <w:pPr>
        <w:ind w:left="-5" w:right="371"/>
      </w:pPr>
      <w:r>
        <w:rPr>
          <w:b/>
        </w:rPr>
        <w:t>Feature 18: Telemetry_Sensor_Node_Alpha_18</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5A137F6" w14:textId="77777777" w:rsidR="00E56F42" w:rsidRDefault="00000000">
      <w:pPr>
        <w:ind w:left="-5" w:right="371"/>
      </w:pPr>
      <w:r>
        <w:rPr>
          <w:b/>
        </w:rPr>
        <w:t>Feature 19: Telemetry_Sensor_Node_Alpha_19</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4ECCC21" w14:textId="77777777" w:rsidR="00E56F42" w:rsidRDefault="00000000">
      <w:pPr>
        <w:ind w:left="-5" w:right="371"/>
      </w:pPr>
      <w:r>
        <w:rPr>
          <w:b/>
        </w:rPr>
        <w:lastRenderedPageBreak/>
        <w:t>Feature 20: Telemetry_Sensor_Node_Alpha_20</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3B60002E" w14:textId="77777777" w:rsidR="00E56F42" w:rsidRDefault="00000000">
      <w:pPr>
        <w:ind w:left="-5" w:right="371"/>
      </w:pPr>
      <w:r>
        <w:rPr>
          <w:b/>
        </w:rPr>
        <w:t>Feature 21: Telemetry_Sensor_Node_Alpha_21</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CF3B7A7" w14:textId="77777777" w:rsidR="00E56F42" w:rsidRDefault="00000000">
      <w:pPr>
        <w:ind w:left="-5" w:right="371"/>
      </w:pPr>
      <w:r>
        <w:rPr>
          <w:b/>
        </w:rPr>
        <w:t>Feature 22: Telemetry_Sensor_Node_Alpha_22</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CD984CB" w14:textId="77777777" w:rsidR="00E56F42" w:rsidRDefault="00000000">
      <w:pPr>
        <w:ind w:left="-5" w:right="371"/>
      </w:pPr>
      <w:r>
        <w:rPr>
          <w:b/>
        </w:rPr>
        <w:t>Feature 23: Telemetry_Sensor_Node_Alpha_23</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FC834CB" w14:textId="77777777" w:rsidR="00E56F42" w:rsidRDefault="00000000">
      <w:pPr>
        <w:ind w:left="-5" w:right="371"/>
      </w:pPr>
      <w:r>
        <w:rPr>
          <w:b/>
        </w:rPr>
        <w:t>Feature 24: Telemetry_Sensor_Node_Alpha_24</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w:t>
      </w:r>
      <w:r>
        <w:lastRenderedPageBreak/>
        <w:t>logged in precise floats to ensure the algorithm detects pre-ignition conditions before structural failure occurs.</w:t>
      </w:r>
    </w:p>
    <w:p w14:paraId="5E9E0970" w14:textId="77777777" w:rsidR="00E56F42" w:rsidRDefault="00000000">
      <w:pPr>
        <w:ind w:left="-5" w:right="371"/>
      </w:pPr>
      <w:r>
        <w:rPr>
          <w:b/>
        </w:rPr>
        <w:t>Feature 25: Telemetry_Sensor_Node_Alpha_25</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FDD08A4" w14:textId="77777777" w:rsidR="00E56F42" w:rsidRDefault="00000000">
      <w:pPr>
        <w:ind w:left="-5" w:right="371"/>
      </w:pPr>
      <w:r>
        <w:rPr>
          <w:b/>
        </w:rPr>
        <w:t>Feature 26: Telemetry_Sensor_Node_Alpha_26</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0DA17E8E" w14:textId="77777777" w:rsidR="00E56F42" w:rsidRDefault="00000000">
      <w:pPr>
        <w:ind w:left="-5" w:right="371"/>
      </w:pPr>
      <w:r>
        <w:rPr>
          <w:b/>
        </w:rPr>
        <w:t>Feature 27: Telemetry_Sensor_Node_Alpha_27</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0780D48C" w14:textId="77777777" w:rsidR="00E56F42" w:rsidRDefault="00000000">
      <w:pPr>
        <w:ind w:left="-5" w:right="371"/>
      </w:pPr>
      <w:r>
        <w:rPr>
          <w:b/>
        </w:rPr>
        <w:t>Feature 28: Telemetry_Sensor_Node_Alpha_28</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466B2DB" w14:textId="77777777" w:rsidR="00E56F42" w:rsidRDefault="00000000">
      <w:pPr>
        <w:ind w:left="-5" w:right="371"/>
      </w:pPr>
      <w:r>
        <w:rPr>
          <w:b/>
        </w:rPr>
        <w:lastRenderedPageBreak/>
        <w:t>Feature 29: Telemetry_Sensor_Node_Alpha_29</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22E87E03" w14:textId="77777777" w:rsidR="00E56F42" w:rsidRDefault="00000000">
      <w:pPr>
        <w:ind w:left="-5" w:right="371"/>
      </w:pPr>
      <w:r>
        <w:rPr>
          <w:b/>
        </w:rPr>
        <w:t>Feature 30: Telemetry_Sensor_Node_Alpha_30</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4C36F5B5" w14:textId="77777777" w:rsidR="00E56F42" w:rsidRDefault="00000000">
      <w:pPr>
        <w:ind w:left="-5" w:right="371"/>
      </w:pPr>
      <w:r>
        <w:rPr>
          <w:b/>
        </w:rPr>
        <w:t>Feature 31: Telemetry_Sensor_Node_Alpha_31</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37CF891" w14:textId="77777777" w:rsidR="00E56F42" w:rsidRDefault="00000000">
      <w:pPr>
        <w:ind w:left="-5" w:right="371"/>
      </w:pPr>
      <w:r>
        <w:rPr>
          <w:b/>
        </w:rPr>
        <w:t>Feature 32: Telemetry_Sensor_Node_Alpha_32</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C58CE63" w14:textId="77777777" w:rsidR="00E56F42" w:rsidRDefault="00000000">
      <w:pPr>
        <w:ind w:left="-5" w:right="371"/>
      </w:pPr>
      <w:r>
        <w:rPr>
          <w:b/>
        </w:rPr>
        <w:t>Feature 33: Telemetry_Sensor_Node_Alpha_33</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w:t>
      </w:r>
      <w:r>
        <w:lastRenderedPageBreak/>
        <w:t>logged in precise floats to ensure the algorithm detects pre-ignition conditions before structural failure occurs.</w:t>
      </w:r>
    </w:p>
    <w:p w14:paraId="15F25B3F" w14:textId="77777777" w:rsidR="00E56F42" w:rsidRDefault="00000000">
      <w:pPr>
        <w:ind w:left="-5" w:right="371"/>
      </w:pPr>
      <w:r>
        <w:rPr>
          <w:b/>
        </w:rPr>
        <w:t>Feature 34: Telemetry_Sensor_Node_Alpha_34</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0DA34AF8" w14:textId="77777777" w:rsidR="00E56F42" w:rsidRDefault="00000000">
      <w:pPr>
        <w:ind w:left="-5" w:right="371"/>
      </w:pPr>
      <w:r>
        <w:rPr>
          <w:b/>
        </w:rPr>
        <w:t>Feature 35: Telemetry_Sensor_Node_Alpha_35</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4C7FBFB8" w14:textId="77777777" w:rsidR="00E56F42" w:rsidRDefault="00000000">
      <w:pPr>
        <w:ind w:left="-5" w:right="371"/>
      </w:pPr>
      <w:r>
        <w:rPr>
          <w:b/>
        </w:rPr>
        <w:t>Feature 36: Telemetry_Sensor_Node_Alpha_36</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BEAD573" w14:textId="77777777" w:rsidR="00E56F42" w:rsidRDefault="00000000">
      <w:pPr>
        <w:ind w:left="-5" w:right="371"/>
      </w:pPr>
      <w:r>
        <w:rPr>
          <w:b/>
        </w:rPr>
        <w:t>Feature 37: Telemetry_Sensor_Node_Alpha_37</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B0B9449" w14:textId="77777777" w:rsidR="00E56F42" w:rsidRDefault="00000000">
      <w:pPr>
        <w:ind w:left="-5" w:right="371"/>
      </w:pPr>
      <w:r>
        <w:rPr>
          <w:b/>
        </w:rPr>
        <w:lastRenderedPageBreak/>
        <w:t>Feature 38: Telemetry_Sensor_Node_Alpha_38</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644A9DB" w14:textId="77777777" w:rsidR="00E56F42" w:rsidRDefault="00000000">
      <w:pPr>
        <w:ind w:left="-5" w:right="371"/>
      </w:pPr>
      <w:r>
        <w:rPr>
          <w:b/>
        </w:rPr>
        <w:t>Feature 39: Telemetry_Sensor_Node_Alpha_39</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733521A1" w14:textId="77777777" w:rsidR="00E56F42" w:rsidRDefault="00000000">
      <w:pPr>
        <w:ind w:left="-5" w:right="371"/>
      </w:pPr>
      <w:r>
        <w:rPr>
          <w:b/>
        </w:rPr>
        <w:t>Feature 40: Telemetry_Sensor_Node_Alpha_40</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58580CFB" w14:textId="77777777" w:rsidR="00E56F42" w:rsidRDefault="00000000">
      <w:pPr>
        <w:ind w:left="-5" w:right="371"/>
      </w:pPr>
      <w:r>
        <w:rPr>
          <w:b/>
        </w:rPr>
        <w:t>Feature 41: Telemetry_Sensor_Node_Alpha_41</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44F6DDD0" w14:textId="77777777" w:rsidR="00E56F42" w:rsidRDefault="00000000">
      <w:pPr>
        <w:ind w:left="-5" w:right="371"/>
      </w:pPr>
      <w:r>
        <w:rPr>
          <w:b/>
        </w:rPr>
        <w:t>Feature 42: Telemetry_Sensor_Node_Alpha_42</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w:t>
      </w:r>
      <w:r>
        <w:lastRenderedPageBreak/>
        <w:t>logged in precise floats to ensure the algorithm detects pre-ignition conditions before structural failure occurs.</w:t>
      </w:r>
    </w:p>
    <w:p w14:paraId="4DA84C3A" w14:textId="77777777" w:rsidR="00E56F42" w:rsidRDefault="00000000">
      <w:pPr>
        <w:ind w:left="-5" w:right="371"/>
      </w:pPr>
      <w:r>
        <w:rPr>
          <w:b/>
        </w:rPr>
        <w:t>Feature 43: Telemetry_Sensor_Node_Alpha_43</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4C813AD7" w14:textId="77777777" w:rsidR="00E56F42" w:rsidRDefault="00000000">
      <w:pPr>
        <w:ind w:left="-5" w:right="371"/>
      </w:pPr>
      <w:r>
        <w:rPr>
          <w:b/>
        </w:rPr>
        <w:t>Feature 44: Telemetry_Sensor_Node_Alpha_44</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4BB27EB" w14:textId="77777777" w:rsidR="00E56F42" w:rsidRDefault="00000000">
      <w:pPr>
        <w:ind w:left="-5" w:right="371"/>
      </w:pPr>
      <w:r>
        <w:rPr>
          <w:b/>
        </w:rPr>
        <w:t>Feature 45: Telemetry_Sensor_Node_Alpha_45</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6AF725BB" w14:textId="77777777" w:rsidR="00E56F42" w:rsidRDefault="00000000">
      <w:pPr>
        <w:ind w:left="-5" w:right="371"/>
      </w:pPr>
      <w:r>
        <w:rPr>
          <w:b/>
        </w:rPr>
        <w:t>Feature 46: Telemetry_Sensor_Node_Alpha_46</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266F5C17" w14:textId="77777777" w:rsidR="00E56F42" w:rsidRDefault="00000000">
      <w:pPr>
        <w:spacing w:after="774"/>
        <w:ind w:left="-5" w:right="371"/>
      </w:pPr>
      <w:r>
        <w:rPr>
          <w:b/>
        </w:rPr>
        <w:lastRenderedPageBreak/>
        <w:t>Feature 47: Telemetry_Sensor_Node_Alpha_47</w:t>
      </w:r>
      <w:r>
        <w:t xml:space="preserve"> - This metric represents </w:t>
      </w:r>
      <w:proofErr w:type="spellStart"/>
      <w:r>
        <w:t>highfrequency</w:t>
      </w:r>
      <w:proofErr w:type="spellEnd"/>
      <w:r>
        <w:t xml:space="preserve"> polling from the Engine Control Unit. It monitors variances in lambda readings, exhaust gas temperatures (EGT), and knock sensor feedback. Values are logged in precise floats to ensure the algorithm detects pre-ignition conditions before structural failure occurs.</w:t>
      </w:r>
    </w:p>
    <w:p w14:paraId="192C9A3A" w14:textId="77777777" w:rsidR="00E56F42" w:rsidRDefault="00000000">
      <w:pPr>
        <w:pStyle w:val="Heading2"/>
        <w:ind w:left="-5"/>
      </w:pPr>
      <w:r>
        <w:t>4.2 Auxiliary Telemetry and Cost Features</w:t>
      </w:r>
    </w:p>
    <w:p w14:paraId="5F255B91" w14:textId="77777777" w:rsidR="00E56F42" w:rsidRDefault="00000000">
      <w:pPr>
        <w:ind w:left="-5" w:right="371"/>
      </w:pPr>
      <w:r>
        <w:rPr>
          <w:b/>
        </w:rPr>
        <w:t>Feature 48: Financial_and_Material_Index_48</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3736A1DE" w14:textId="77777777" w:rsidR="00E56F42" w:rsidRDefault="00000000">
      <w:pPr>
        <w:ind w:left="-5" w:right="371"/>
      </w:pPr>
      <w:r>
        <w:rPr>
          <w:b/>
        </w:rPr>
        <w:t>Feature 49: Financial_and_Material_Index_49</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45EC9378" w14:textId="77777777" w:rsidR="00E56F42" w:rsidRDefault="00000000">
      <w:pPr>
        <w:ind w:left="-5" w:right="371"/>
      </w:pPr>
      <w:r>
        <w:rPr>
          <w:b/>
        </w:rPr>
        <w:t>Feature 50: Financial_and_Material_Index_50</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1FE249EC" w14:textId="77777777" w:rsidR="00E56F42" w:rsidRDefault="00000000">
      <w:pPr>
        <w:ind w:left="-5" w:right="371"/>
      </w:pPr>
      <w:r>
        <w:rPr>
          <w:b/>
        </w:rPr>
        <w:lastRenderedPageBreak/>
        <w:t>Feature 51: Financial_and_Material_Index_51</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473AA8B8" w14:textId="77777777" w:rsidR="00E56F42" w:rsidRDefault="00000000">
      <w:pPr>
        <w:ind w:left="-5" w:right="371"/>
      </w:pPr>
      <w:r>
        <w:rPr>
          <w:b/>
        </w:rPr>
        <w:t>Feature 52: Financial_and_Material_Index_52</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30676759" w14:textId="77777777" w:rsidR="00E56F42" w:rsidRDefault="00000000">
      <w:pPr>
        <w:ind w:left="-5" w:right="371"/>
      </w:pPr>
      <w:r>
        <w:rPr>
          <w:b/>
        </w:rPr>
        <w:t>Feature 53: Financial_and_Material_Index_53</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9F48645" w14:textId="77777777" w:rsidR="00E56F42" w:rsidRDefault="00000000">
      <w:pPr>
        <w:ind w:left="-5" w:right="371"/>
      </w:pPr>
      <w:r>
        <w:rPr>
          <w:b/>
        </w:rPr>
        <w:t>Feature 54: Financial_and_Material_Index_54</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4CFBCBE" w14:textId="77777777" w:rsidR="00E56F42" w:rsidRDefault="00000000">
      <w:pPr>
        <w:ind w:left="-5" w:right="371"/>
      </w:pPr>
      <w:r>
        <w:rPr>
          <w:b/>
        </w:rPr>
        <w:t>Feature 55: Financial_and_Material_Index_55</w:t>
      </w:r>
      <w:r>
        <w:t xml:space="preserve"> - Represents the intersection of physical material science (e.g., Titanium alloys vs Cast Iron) and its corresponding financial markup in USD. This feature allows the Power BI dashboard to accurately </w:t>
      </w:r>
      <w:r>
        <w:lastRenderedPageBreak/>
        <w:t>plot the Return on Investment curve by weighting component strength against capital expenditure.</w:t>
      </w:r>
    </w:p>
    <w:p w14:paraId="308876ED" w14:textId="77777777" w:rsidR="00E56F42" w:rsidRDefault="00000000">
      <w:pPr>
        <w:ind w:left="-5" w:right="371"/>
      </w:pPr>
      <w:r>
        <w:rPr>
          <w:b/>
        </w:rPr>
        <w:t>Feature 56: Financial_and_Material_Index_56</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E473AE2" w14:textId="77777777" w:rsidR="00E56F42" w:rsidRDefault="00000000">
      <w:pPr>
        <w:ind w:left="-5" w:right="371"/>
      </w:pPr>
      <w:r>
        <w:rPr>
          <w:b/>
        </w:rPr>
        <w:t>Feature 57: Financial_and_Material_Index_57</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DAAF9AC" w14:textId="77777777" w:rsidR="00E56F42" w:rsidRDefault="00000000">
      <w:pPr>
        <w:ind w:left="-5" w:right="371"/>
      </w:pPr>
      <w:r>
        <w:rPr>
          <w:b/>
        </w:rPr>
        <w:t>Feature 58: Financial_and_Material_Index_58</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33901D7" w14:textId="77777777" w:rsidR="00E56F42" w:rsidRDefault="00000000">
      <w:pPr>
        <w:ind w:left="-5" w:right="371"/>
      </w:pPr>
      <w:r>
        <w:rPr>
          <w:b/>
        </w:rPr>
        <w:t>Feature 59: Financial_and_Material_Index_59</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6D088472" w14:textId="77777777" w:rsidR="00E56F42" w:rsidRDefault="00000000">
      <w:pPr>
        <w:ind w:left="-5" w:right="371"/>
      </w:pPr>
      <w:r>
        <w:rPr>
          <w:b/>
        </w:rPr>
        <w:lastRenderedPageBreak/>
        <w:t>Feature 60: Financial_and_Material_Index_60</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ACE069E" w14:textId="77777777" w:rsidR="00E56F42" w:rsidRDefault="00000000">
      <w:pPr>
        <w:ind w:left="-5" w:right="371"/>
      </w:pPr>
      <w:r>
        <w:rPr>
          <w:b/>
        </w:rPr>
        <w:t>Feature 61: Financial_and_Material_Index_61</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4CE0C951" w14:textId="77777777" w:rsidR="00E56F42" w:rsidRDefault="00000000">
      <w:pPr>
        <w:ind w:left="-5" w:right="371"/>
      </w:pPr>
      <w:r>
        <w:rPr>
          <w:b/>
        </w:rPr>
        <w:t>Feature 62: Financial_and_Material_Index_62</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6698143F" w14:textId="77777777" w:rsidR="00E56F42" w:rsidRDefault="00000000">
      <w:pPr>
        <w:ind w:left="-5" w:right="371"/>
      </w:pPr>
      <w:r>
        <w:rPr>
          <w:b/>
        </w:rPr>
        <w:t>Feature 63: Financial_and_Material_Index_63</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34D9D55" w14:textId="77777777" w:rsidR="00E56F42" w:rsidRDefault="00000000">
      <w:pPr>
        <w:ind w:left="-5" w:right="371"/>
      </w:pPr>
      <w:r>
        <w:rPr>
          <w:b/>
        </w:rPr>
        <w:t>Feature 64: Financial_and_Material_Index_64</w:t>
      </w:r>
      <w:r>
        <w:t xml:space="preserve"> - Represents the intersection of physical material science (e.g., Titanium alloys vs Cast Iron) and its corresponding financial markup in USD. This feature allows the Power BI dashboard to accurately </w:t>
      </w:r>
      <w:r>
        <w:lastRenderedPageBreak/>
        <w:t>plot the Return on Investment curve by weighting component strength against capital expenditure.</w:t>
      </w:r>
    </w:p>
    <w:p w14:paraId="0399CE07" w14:textId="77777777" w:rsidR="00E56F42" w:rsidRDefault="00000000">
      <w:pPr>
        <w:ind w:left="-5" w:right="371"/>
      </w:pPr>
      <w:r>
        <w:rPr>
          <w:b/>
        </w:rPr>
        <w:t>Feature 65: Financial_and_Material_Index_65</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3E8197AB" w14:textId="77777777" w:rsidR="00E56F42" w:rsidRDefault="00000000">
      <w:pPr>
        <w:ind w:left="-5" w:right="371"/>
      </w:pPr>
      <w:r>
        <w:rPr>
          <w:b/>
        </w:rPr>
        <w:t>Feature 66: Financial_and_Material_Index_66</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CA44CA6" w14:textId="77777777" w:rsidR="00E56F42" w:rsidRDefault="00000000">
      <w:pPr>
        <w:ind w:left="-5" w:right="371"/>
      </w:pPr>
      <w:r>
        <w:rPr>
          <w:b/>
        </w:rPr>
        <w:t>Feature 67: Financial_and_Material_Index_67</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161D2166" w14:textId="77777777" w:rsidR="00E56F42" w:rsidRDefault="00000000">
      <w:pPr>
        <w:ind w:left="-5" w:right="371"/>
      </w:pPr>
      <w:r>
        <w:rPr>
          <w:b/>
        </w:rPr>
        <w:t>Feature 68: Financial_and_Material_Index_68</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696F628" w14:textId="77777777" w:rsidR="00E56F42" w:rsidRDefault="00000000">
      <w:pPr>
        <w:ind w:left="-5" w:right="371"/>
      </w:pPr>
      <w:r>
        <w:rPr>
          <w:b/>
        </w:rPr>
        <w:lastRenderedPageBreak/>
        <w:t>Feature 69: Financial_and_Material_Index_69</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186E4DE7" w14:textId="77777777" w:rsidR="00E56F42" w:rsidRDefault="00000000">
      <w:pPr>
        <w:ind w:left="-5" w:right="371"/>
      </w:pPr>
      <w:r>
        <w:rPr>
          <w:b/>
        </w:rPr>
        <w:t>Feature 70: Financial_and_Material_Index_70</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5AAF43A6" w14:textId="77777777" w:rsidR="00E56F42" w:rsidRDefault="00000000">
      <w:pPr>
        <w:ind w:left="-5" w:right="371"/>
      </w:pPr>
      <w:r>
        <w:rPr>
          <w:b/>
        </w:rPr>
        <w:t>Feature 71: Financial_and_Material_Index_71</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10C32201" w14:textId="77777777" w:rsidR="00E56F42" w:rsidRDefault="00000000">
      <w:pPr>
        <w:ind w:left="-5" w:right="371"/>
      </w:pPr>
      <w:r>
        <w:rPr>
          <w:b/>
        </w:rPr>
        <w:t>Feature 72: Financial_and_Material_Index_72</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28FC4D04" w14:textId="77777777" w:rsidR="00E56F42" w:rsidRDefault="00000000">
      <w:pPr>
        <w:ind w:left="-5" w:right="371"/>
      </w:pPr>
      <w:r>
        <w:rPr>
          <w:b/>
        </w:rPr>
        <w:t>Feature 73: Financial_and_Material_Index_73</w:t>
      </w:r>
      <w:r>
        <w:t xml:space="preserve"> - Represents the intersection of physical material science (e.g., Titanium alloys vs Cast Iron) and its corresponding financial markup in USD. This feature allows the Power BI dashboard to accurately </w:t>
      </w:r>
      <w:r>
        <w:lastRenderedPageBreak/>
        <w:t>plot the Return on Investment curve by weighting component strength against capital expenditure.</w:t>
      </w:r>
    </w:p>
    <w:p w14:paraId="72236552" w14:textId="77777777" w:rsidR="00E56F42" w:rsidRDefault="00000000">
      <w:pPr>
        <w:ind w:left="-5" w:right="371"/>
      </w:pPr>
      <w:r>
        <w:rPr>
          <w:b/>
        </w:rPr>
        <w:t>Feature 74: Financial_and_Material_Index_74</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52F2F6F2" w14:textId="77777777" w:rsidR="00E56F42" w:rsidRDefault="00000000">
      <w:pPr>
        <w:ind w:left="-5" w:right="371"/>
      </w:pPr>
      <w:r>
        <w:rPr>
          <w:b/>
        </w:rPr>
        <w:t>Feature 75: Financial_and_Material_Index_75</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4DF87B01" w14:textId="77777777" w:rsidR="00E56F42" w:rsidRDefault="00000000">
      <w:pPr>
        <w:ind w:left="-5" w:right="371"/>
      </w:pPr>
      <w:r>
        <w:rPr>
          <w:b/>
        </w:rPr>
        <w:t>Feature 76: Financial_and_Material_Index_76</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5093AE14" w14:textId="77777777" w:rsidR="00E56F42" w:rsidRDefault="00000000">
      <w:pPr>
        <w:ind w:left="-5" w:right="371"/>
      </w:pPr>
      <w:r>
        <w:rPr>
          <w:b/>
        </w:rPr>
        <w:t>Feature 77: Financial_and_Material_Index_77</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4C8A1180" w14:textId="77777777" w:rsidR="00E56F42" w:rsidRDefault="00000000">
      <w:pPr>
        <w:ind w:left="-5" w:right="371"/>
      </w:pPr>
      <w:r>
        <w:rPr>
          <w:b/>
        </w:rPr>
        <w:lastRenderedPageBreak/>
        <w:t>Feature 78: Financial_and_Material_Index_78</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67CE4C57" w14:textId="77777777" w:rsidR="00E56F42" w:rsidRDefault="00000000">
      <w:pPr>
        <w:ind w:left="-5" w:right="371"/>
      </w:pPr>
      <w:r>
        <w:rPr>
          <w:b/>
        </w:rPr>
        <w:t>Feature 79: Financial_and_Material_Index_79</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0539492" w14:textId="77777777" w:rsidR="00E56F42" w:rsidRDefault="00000000">
      <w:pPr>
        <w:ind w:left="-5" w:right="371"/>
      </w:pPr>
      <w:r>
        <w:rPr>
          <w:b/>
        </w:rPr>
        <w:t>Feature 80: Financial_and_Material_Index_80</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5177A59E" w14:textId="77777777" w:rsidR="00E56F42" w:rsidRDefault="00000000">
      <w:pPr>
        <w:ind w:left="-5" w:right="371"/>
      </w:pPr>
      <w:r>
        <w:rPr>
          <w:b/>
        </w:rPr>
        <w:t>Feature 81: Financial_and_Material_Index_81</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6196C8C" w14:textId="77777777" w:rsidR="00E56F42" w:rsidRDefault="00000000">
      <w:pPr>
        <w:ind w:left="-5" w:right="371"/>
      </w:pPr>
      <w:r>
        <w:rPr>
          <w:b/>
        </w:rPr>
        <w:t>Feature 82: Financial_and_Material_Index_82</w:t>
      </w:r>
      <w:r>
        <w:t xml:space="preserve"> - Represents the intersection of physical material science (e.g., Titanium alloys vs Cast Iron) and its corresponding financial markup in USD. This feature allows the Power BI dashboard to accurately </w:t>
      </w:r>
      <w:r>
        <w:lastRenderedPageBreak/>
        <w:t>plot the Return on Investment curve by weighting component strength against capital expenditure.</w:t>
      </w:r>
    </w:p>
    <w:p w14:paraId="48662202" w14:textId="77777777" w:rsidR="00E56F42" w:rsidRDefault="00000000">
      <w:pPr>
        <w:ind w:left="-5" w:right="371"/>
      </w:pPr>
      <w:r>
        <w:rPr>
          <w:b/>
        </w:rPr>
        <w:t>Feature 83: Financial_and_Material_Index_83</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113376FA" w14:textId="77777777" w:rsidR="00E56F42" w:rsidRDefault="00000000">
      <w:pPr>
        <w:ind w:left="-5" w:right="371"/>
      </w:pPr>
      <w:r>
        <w:rPr>
          <w:b/>
        </w:rPr>
        <w:t>Feature 84: Financial_and_Material_Index_84</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E681CE6" w14:textId="77777777" w:rsidR="00E56F42" w:rsidRDefault="00000000">
      <w:pPr>
        <w:ind w:left="-5" w:right="371"/>
      </w:pPr>
      <w:r>
        <w:rPr>
          <w:b/>
        </w:rPr>
        <w:t>Feature 85: Financial_and_Material_Index_85</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B2999B7" w14:textId="77777777" w:rsidR="00E56F42" w:rsidRDefault="00000000">
      <w:pPr>
        <w:ind w:left="-5" w:right="371"/>
      </w:pPr>
      <w:r>
        <w:rPr>
          <w:b/>
        </w:rPr>
        <w:t>Feature 86: Financial_and_Material_Index_86</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5FAEC8F" w14:textId="77777777" w:rsidR="00E56F42" w:rsidRDefault="00000000">
      <w:pPr>
        <w:ind w:left="-5" w:right="371"/>
      </w:pPr>
      <w:r>
        <w:rPr>
          <w:b/>
        </w:rPr>
        <w:lastRenderedPageBreak/>
        <w:t>Feature 87: Financial_and_Material_Index_87</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651CCCB" w14:textId="77777777" w:rsidR="00E56F42" w:rsidRDefault="00000000">
      <w:pPr>
        <w:ind w:left="-5" w:right="371"/>
      </w:pPr>
      <w:r>
        <w:rPr>
          <w:b/>
        </w:rPr>
        <w:t>Feature 88: Financial_and_Material_Index_88</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0B2A4CFC" w14:textId="77777777" w:rsidR="00E56F42" w:rsidRDefault="00000000">
      <w:pPr>
        <w:ind w:left="-5" w:right="371"/>
      </w:pPr>
      <w:r>
        <w:rPr>
          <w:b/>
        </w:rPr>
        <w:t>Feature 89: Financial_and_Material_Index_89</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70D80CBA" w14:textId="77777777" w:rsidR="00E56F42" w:rsidRDefault="00000000">
      <w:pPr>
        <w:ind w:left="-5" w:right="371"/>
      </w:pPr>
      <w:r>
        <w:rPr>
          <w:b/>
        </w:rPr>
        <w:t>Feature 90: Financial_and_Material_Index_90</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2B6D29B7" w14:textId="77777777" w:rsidR="00E56F42" w:rsidRDefault="00000000">
      <w:pPr>
        <w:ind w:left="-5" w:right="371"/>
      </w:pPr>
      <w:r>
        <w:rPr>
          <w:b/>
        </w:rPr>
        <w:t>Feature 91: Financial_and_Material_Index_91</w:t>
      </w:r>
      <w:r>
        <w:t xml:space="preserve"> - Represents the intersection of physical material science (e.g., Titanium alloys vs Cast Iron) and its corresponding financial markup in USD. This feature allows the Power BI dashboard to accurately </w:t>
      </w:r>
      <w:r>
        <w:lastRenderedPageBreak/>
        <w:t>plot the Return on Investment curve by weighting component strength against capital expenditure.</w:t>
      </w:r>
    </w:p>
    <w:p w14:paraId="15E62BEC" w14:textId="77777777" w:rsidR="00E56F42" w:rsidRDefault="00000000">
      <w:pPr>
        <w:ind w:left="-5" w:right="371"/>
      </w:pPr>
      <w:r>
        <w:rPr>
          <w:b/>
        </w:rPr>
        <w:t>Feature 92: Financial_and_Material_Index_92</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3A2FB96D" w14:textId="77777777" w:rsidR="00E56F42" w:rsidRDefault="00000000">
      <w:pPr>
        <w:ind w:left="-5" w:right="371"/>
      </w:pPr>
      <w:r>
        <w:rPr>
          <w:b/>
        </w:rPr>
        <w:t>Feature 93: Financial_and_Material_Index_93</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p>
    <w:p w14:paraId="53E96962" w14:textId="77777777" w:rsidR="00E56F42" w:rsidRDefault="00000000">
      <w:pPr>
        <w:ind w:left="-5" w:right="371"/>
      </w:pPr>
      <w:r>
        <w:rPr>
          <w:b/>
        </w:rPr>
        <w:t>Feature 94: Financial_and_Material_Index_94</w:t>
      </w:r>
      <w:r>
        <w:t xml:space="preserve"> - Represents the intersection of physical material science (e.g., Titanium alloys vs Cast Iron) and its corresponding financial markup in USD. This feature allows the Power BI dashboard to accurately plot the Return on Investment curve by weighting component strength against capital expenditure.</w:t>
      </w:r>
      <w:r>
        <w:br w:type="page"/>
      </w:r>
    </w:p>
    <w:p w14:paraId="3C7CA5D3" w14:textId="77777777" w:rsidR="00E56F42" w:rsidRDefault="00000000">
      <w:pPr>
        <w:pStyle w:val="Heading1"/>
        <w:ind w:left="-5"/>
      </w:pPr>
      <w:r>
        <w:lastRenderedPageBreak/>
        <w:t>Chapter 7: Machine Learning Modeling</w:t>
      </w:r>
    </w:p>
    <w:p w14:paraId="14F26599"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3C1F9F9F" wp14:editId="243B5840">
                <wp:extent cx="6120000" cy="19050"/>
                <wp:effectExtent l="0" t="0" r="0" b="0"/>
                <wp:docPr id="25351" name="Group 25351"/>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10" name="Shape 27610"/>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1190" name="Shape 1190"/>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5351" style="width:481.89pt;height:1.5pt;mso-position-horizontal-relative:char;mso-position-vertical-relative:line" coordsize="61200,190">
                <v:shape id="Shape 27611" style="position:absolute;width:61200;height:190;left:0;top:0;" coordsize="6120000,19050" path="m0,0l6120000,0l6120000,19050l0,19050l0,0">
                  <v:stroke weight="0pt" endcap="flat" joinstyle="miter" miterlimit="10" on="false" color="#000000" opacity="0"/>
                  <v:fill on="true" color="#1e3a8a"/>
                </v:shape>
                <v:shape id="Shape 1190" style="position:absolute;width:0;height:0;left:0;top:0;" coordsize="0,0" path="m0,0l0,0x">
                  <v:stroke weight="0pt" endcap="flat" joinstyle="miter" miterlimit="10" on="false" color="#000000" opacity="0"/>
                  <v:fill on="true" color="#1e3a8a"/>
                </v:shape>
              </v:group>
            </w:pict>
          </mc:Fallback>
        </mc:AlternateContent>
      </w:r>
    </w:p>
    <w:p w14:paraId="32305F2C" w14:textId="77777777" w:rsidR="00E56F42" w:rsidRDefault="00000000">
      <w:pPr>
        <w:pStyle w:val="Heading2"/>
        <w:ind w:left="-5"/>
      </w:pPr>
      <w:r>
        <w:t>7.1 Logistic Regression Baseline</w:t>
      </w:r>
    </w:p>
    <w:p w14:paraId="04BFE47E" w14:textId="77777777" w:rsidR="00E56F42" w:rsidRDefault="00000000">
      <w:pPr>
        <w:spacing w:after="774"/>
        <w:ind w:left="-5" w:right="371"/>
      </w:pPr>
      <w:r>
        <w:t xml:space="preserve">Before deploying complex ensemble methods, a Logistic Regression model was established as a baseline. Logistic Regression is advantageous due to its high interpretability, allowing data scientists to examine the exact weight (coefficient) assigned to each of the 94 features. However, it assumes linear relationships between variables, which is a significant limitation in thermodynamics </w:t>
      </w:r>
      <w:proofErr w:type="gramStart"/>
      <w:r>
        <w:t>where</w:t>
      </w:r>
      <w:proofErr w:type="gramEnd"/>
      <w:r>
        <w:t xml:space="preserve"> boost pressure and heat scale exponentially, not linearly.</w:t>
      </w:r>
    </w:p>
    <w:p w14:paraId="50AD7084" w14:textId="77777777" w:rsidR="00E56F42" w:rsidRDefault="00000000">
      <w:pPr>
        <w:pStyle w:val="Heading2"/>
        <w:ind w:left="-5"/>
      </w:pPr>
      <w:r>
        <w:t>7.2 The Random Forest Algorithm Integration</w:t>
      </w:r>
    </w:p>
    <w:p w14:paraId="28C26161" w14:textId="77777777" w:rsidR="00E56F42" w:rsidRDefault="00000000">
      <w:pPr>
        <w:ind w:left="-5" w:right="371"/>
      </w:pPr>
      <w:r>
        <w:t>The Random Forest Classifier was selected as the optimal predictive engine for this framework. Random Forest operates by constructing a "forest" of decision trees during the training phase. Each tree is trained on a random subset of the data (bootstrapping) and a random subset of the 94 features (feature bagging).</w:t>
      </w:r>
    </w:p>
    <w:p w14:paraId="441E8F85" w14:textId="77777777" w:rsidR="00E56F42" w:rsidRDefault="00000000">
      <w:pPr>
        <w:spacing w:after="10"/>
        <w:ind w:left="-5" w:right="371"/>
      </w:pPr>
      <w:r>
        <w:t>This architecture ensures that the individual trees are de-correlated. When evaluating a new, unseen vehicle build, each tree in the forest outputs a safety classification</w:t>
      </w:r>
    </w:p>
    <w:p w14:paraId="6374AD84" w14:textId="77777777" w:rsidR="00E56F42" w:rsidRDefault="00000000">
      <w:pPr>
        <w:spacing w:after="774"/>
        <w:ind w:left="-5" w:right="371"/>
      </w:pPr>
      <w:r>
        <w:t>(Safe, Risky, or Critical Failure). The forest then aggregates these predictions and outputs the majority vote. This ensemble approach drastically reduces the variance of the model and provides unparalleled resistance to overfitting.</w:t>
      </w:r>
    </w:p>
    <w:p w14:paraId="0E3196BE" w14:textId="77777777" w:rsidR="00E56F42" w:rsidRDefault="00000000">
      <w:pPr>
        <w:pStyle w:val="Heading2"/>
        <w:ind w:left="-5"/>
      </w:pPr>
      <w:r>
        <w:lastRenderedPageBreak/>
        <w:t>7.3 Stratified Dataset Partitioning</w:t>
      </w:r>
    </w:p>
    <w:p w14:paraId="1F70BF2F" w14:textId="77777777" w:rsidR="00E56F42" w:rsidRDefault="00000000">
      <w:pPr>
        <w:ind w:left="-5" w:right="371"/>
      </w:pPr>
      <w:r>
        <w:t>To ensure the integrity of the evaluation metrics, the dataset was subjected to a rigorous 80/20 train-test split. However, because the target variable classes were imbalanced (21k Safe vs. 1.5k Failures), a standard random split could result in a testing set that contained no failures at all.</w:t>
      </w:r>
    </w:p>
    <w:p w14:paraId="43631E7A" w14:textId="77777777" w:rsidR="00E56F42" w:rsidRDefault="00000000">
      <w:pPr>
        <w:spacing w:after="150" w:line="259" w:lineRule="auto"/>
        <w:ind w:left="-5" w:right="371"/>
      </w:pPr>
      <w:r>
        <w:t xml:space="preserve">To prevent this, a </w:t>
      </w:r>
      <w:r>
        <w:rPr>
          <w:b/>
        </w:rPr>
        <w:t>Stratified Split</w:t>
      </w:r>
      <w:r>
        <w:t xml:space="preserve"> was enforced using `stratify=y` parameter in Scikit-Learn. This guarantees that the exact mathematical proportion of Safe, Risky, and Critical classes is preserved across both the training set (20,000 records) and the testing set (5,000 records).</w:t>
      </w:r>
    </w:p>
    <w:tbl>
      <w:tblPr>
        <w:tblStyle w:val="TableGrid"/>
        <w:tblW w:w="9610" w:type="dxa"/>
        <w:tblInd w:w="28" w:type="dxa"/>
        <w:tblCellMar>
          <w:left w:w="347" w:type="dxa"/>
          <w:bottom w:w="297" w:type="dxa"/>
          <w:right w:w="115" w:type="dxa"/>
        </w:tblCellMar>
        <w:tblLook w:val="04A0" w:firstRow="1" w:lastRow="0" w:firstColumn="1" w:lastColumn="0" w:noHBand="0" w:noVBand="1"/>
      </w:tblPr>
      <w:tblGrid>
        <w:gridCol w:w="9610"/>
      </w:tblGrid>
      <w:tr w:rsidR="00E56F42" w14:paraId="49D60864" w14:textId="77777777">
        <w:trPr>
          <w:trHeight w:val="5953"/>
        </w:trPr>
        <w:tc>
          <w:tcPr>
            <w:tcW w:w="9610" w:type="dxa"/>
            <w:tcBorders>
              <w:top w:val="nil"/>
              <w:left w:val="single" w:sz="30" w:space="0" w:color="1E3A8A"/>
              <w:bottom w:val="nil"/>
              <w:right w:val="nil"/>
            </w:tcBorders>
            <w:shd w:val="clear" w:color="auto" w:fill="F1F5F9"/>
            <w:vAlign w:val="bottom"/>
          </w:tcPr>
          <w:p w14:paraId="4C951532" w14:textId="77777777" w:rsidR="00E56F42" w:rsidRDefault="00000000">
            <w:pPr>
              <w:spacing w:after="360" w:line="317" w:lineRule="auto"/>
              <w:ind w:left="0" w:right="3676" w:firstLine="0"/>
              <w:jc w:val="left"/>
            </w:pPr>
            <w:r>
              <w:rPr>
                <w:rFonts w:ascii="Courier New" w:eastAsia="Courier New" w:hAnsi="Courier New" w:cs="Courier New"/>
                <w:sz w:val="24"/>
              </w:rPr>
              <w:t xml:space="preserve"># Machine Learning Implementation Code X = </w:t>
            </w:r>
            <w:proofErr w:type="spellStart"/>
            <w:proofErr w:type="gramStart"/>
            <w:r>
              <w:rPr>
                <w:rFonts w:ascii="Courier New" w:eastAsia="Courier New" w:hAnsi="Courier New" w:cs="Courier New"/>
                <w:sz w:val="24"/>
              </w:rPr>
              <w:t>df.drop</w:t>
            </w:r>
            <w:proofErr w:type="spellEnd"/>
            <w:proofErr w:type="gramEnd"/>
            <w:r>
              <w:rPr>
                <w:rFonts w:ascii="Courier New" w:eastAsia="Courier New" w:hAnsi="Courier New" w:cs="Courier New"/>
                <w:sz w:val="24"/>
              </w:rPr>
              <w:t>('</w:t>
            </w:r>
            <w:proofErr w:type="spellStart"/>
            <w:r>
              <w:rPr>
                <w:rFonts w:ascii="Courier New" w:eastAsia="Courier New" w:hAnsi="Courier New" w:cs="Courier New"/>
                <w:sz w:val="24"/>
              </w:rPr>
              <w:t>Safety_Status</w:t>
            </w:r>
            <w:proofErr w:type="spellEnd"/>
            <w:r>
              <w:rPr>
                <w:rFonts w:ascii="Courier New" w:eastAsia="Courier New" w:hAnsi="Courier New" w:cs="Courier New"/>
                <w:sz w:val="24"/>
              </w:rPr>
              <w:t xml:space="preserve">', axis=1) y = </w:t>
            </w:r>
            <w:proofErr w:type="spellStart"/>
            <w:r>
              <w:rPr>
                <w:rFonts w:ascii="Courier New" w:eastAsia="Courier New" w:hAnsi="Courier New" w:cs="Courier New"/>
                <w:sz w:val="24"/>
              </w:rPr>
              <w:t>df</w:t>
            </w:r>
            <w:proofErr w:type="spellEnd"/>
            <w:r>
              <w:rPr>
                <w:rFonts w:ascii="Courier New" w:eastAsia="Courier New" w:hAnsi="Courier New" w:cs="Courier New"/>
                <w:sz w:val="24"/>
              </w:rPr>
              <w:t>['</w:t>
            </w:r>
            <w:proofErr w:type="spellStart"/>
            <w:r>
              <w:rPr>
                <w:rFonts w:ascii="Courier New" w:eastAsia="Courier New" w:hAnsi="Courier New" w:cs="Courier New"/>
                <w:sz w:val="24"/>
              </w:rPr>
              <w:t>Safety_Status</w:t>
            </w:r>
            <w:proofErr w:type="spellEnd"/>
            <w:r>
              <w:rPr>
                <w:rFonts w:ascii="Courier New" w:eastAsia="Courier New" w:hAnsi="Courier New" w:cs="Courier New"/>
                <w:sz w:val="24"/>
              </w:rPr>
              <w:t>']</w:t>
            </w:r>
          </w:p>
          <w:p w14:paraId="0E5B0811" w14:textId="77777777" w:rsidR="00E56F42" w:rsidRDefault="00000000">
            <w:pPr>
              <w:spacing w:after="360" w:line="317" w:lineRule="auto"/>
              <w:ind w:left="0" w:right="2236" w:firstLine="0"/>
              <w:jc w:val="left"/>
            </w:pPr>
            <w:r>
              <w:rPr>
                <w:rFonts w:ascii="Courier New" w:eastAsia="Courier New" w:hAnsi="Courier New" w:cs="Courier New"/>
                <w:sz w:val="24"/>
              </w:rPr>
              <w:t xml:space="preserve"># Encoding and Scaling Pipeline Executed here... scaler = </w:t>
            </w:r>
            <w:proofErr w:type="spellStart"/>
            <w:proofErr w:type="gramStart"/>
            <w:r>
              <w:rPr>
                <w:rFonts w:ascii="Courier New" w:eastAsia="Courier New" w:hAnsi="Courier New" w:cs="Courier New"/>
                <w:sz w:val="24"/>
              </w:rPr>
              <w:t>MinMaxScaler</w:t>
            </w:r>
            <w:proofErr w:type="spellEnd"/>
            <w:r>
              <w:rPr>
                <w:rFonts w:ascii="Courier New" w:eastAsia="Courier New" w:hAnsi="Courier New" w:cs="Courier New"/>
                <w:sz w:val="24"/>
              </w:rPr>
              <w:t>(</w:t>
            </w:r>
            <w:proofErr w:type="gramEnd"/>
            <w:r>
              <w:rPr>
                <w:rFonts w:ascii="Courier New" w:eastAsia="Courier New" w:hAnsi="Courier New" w:cs="Courier New"/>
                <w:sz w:val="24"/>
              </w:rPr>
              <w:t xml:space="preserve">) </w:t>
            </w:r>
            <w:proofErr w:type="spellStart"/>
            <w:r>
              <w:rPr>
                <w:rFonts w:ascii="Courier New" w:eastAsia="Courier New" w:hAnsi="Courier New" w:cs="Courier New"/>
                <w:sz w:val="24"/>
              </w:rPr>
              <w:t>X_scaled</w:t>
            </w:r>
            <w:proofErr w:type="spellEnd"/>
            <w:r>
              <w:rPr>
                <w:rFonts w:ascii="Courier New" w:eastAsia="Courier New" w:hAnsi="Courier New" w:cs="Courier New"/>
                <w:sz w:val="24"/>
              </w:rPr>
              <w:t xml:space="preserve"> = </w:t>
            </w:r>
            <w:proofErr w:type="spellStart"/>
            <w:r>
              <w:rPr>
                <w:rFonts w:ascii="Courier New" w:eastAsia="Courier New" w:hAnsi="Courier New" w:cs="Courier New"/>
                <w:sz w:val="24"/>
              </w:rPr>
              <w:t>scaler.fit_transform</w:t>
            </w:r>
            <w:proofErr w:type="spellEnd"/>
            <w:r>
              <w:rPr>
                <w:rFonts w:ascii="Courier New" w:eastAsia="Courier New" w:hAnsi="Courier New" w:cs="Courier New"/>
                <w:sz w:val="24"/>
              </w:rPr>
              <w:t>(X)</w:t>
            </w:r>
          </w:p>
          <w:p w14:paraId="5551330A" w14:textId="77777777" w:rsidR="00E56F42" w:rsidRDefault="00000000">
            <w:pPr>
              <w:spacing w:after="66" w:line="259" w:lineRule="auto"/>
              <w:ind w:left="0" w:right="0" w:firstLine="0"/>
              <w:jc w:val="left"/>
            </w:pPr>
            <w:r>
              <w:rPr>
                <w:rFonts w:ascii="Courier New" w:eastAsia="Courier New" w:hAnsi="Courier New" w:cs="Courier New"/>
                <w:sz w:val="24"/>
              </w:rPr>
              <w:t># Stratified 80/20 Split</w:t>
            </w:r>
          </w:p>
          <w:p w14:paraId="271FEFAF" w14:textId="77777777" w:rsidR="00E56F42" w:rsidRDefault="00000000">
            <w:pPr>
              <w:spacing w:after="66" w:line="259" w:lineRule="auto"/>
              <w:ind w:left="0" w:right="0" w:firstLine="0"/>
              <w:jc w:val="left"/>
            </w:pPr>
            <w:proofErr w:type="spellStart"/>
            <w:r>
              <w:rPr>
                <w:rFonts w:ascii="Courier New" w:eastAsia="Courier New" w:hAnsi="Courier New" w:cs="Courier New"/>
                <w:sz w:val="24"/>
              </w:rPr>
              <w:t>X_train</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X_test</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y_train</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y_test</w:t>
            </w:r>
            <w:proofErr w:type="spellEnd"/>
            <w:r>
              <w:rPr>
                <w:rFonts w:ascii="Courier New" w:eastAsia="Courier New" w:hAnsi="Courier New" w:cs="Courier New"/>
                <w:sz w:val="24"/>
              </w:rPr>
              <w:t xml:space="preserve"> = </w:t>
            </w:r>
            <w:proofErr w:type="spellStart"/>
            <w:r>
              <w:rPr>
                <w:rFonts w:ascii="Courier New" w:eastAsia="Courier New" w:hAnsi="Courier New" w:cs="Courier New"/>
                <w:sz w:val="24"/>
              </w:rPr>
              <w:t>train_test_</w:t>
            </w:r>
            <w:proofErr w:type="gramStart"/>
            <w:r>
              <w:rPr>
                <w:rFonts w:ascii="Courier New" w:eastAsia="Courier New" w:hAnsi="Courier New" w:cs="Courier New"/>
                <w:sz w:val="24"/>
              </w:rPr>
              <w:t>split</w:t>
            </w:r>
            <w:proofErr w:type="spellEnd"/>
            <w:r>
              <w:rPr>
                <w:rFonts w:ascii="Courier New" w:eastAsia="Courier New" w:hAnsi="Courier New" w:cs="Courier New"/>
                <w:sz w:val="24"/>
              </w:rPr>
              <w:t>(</w:t>
            </w:r>
            <w:proofErr w:type="gramEnd"/>
          </w:p>
          <w:p w14:paraId="0F3AD961" w14:textId="77777777" w:rsidR="00E56F42" w:rsidRDefault="00000000">
            <w:pPr>
              <w:spacing w:after="66" w:line="259" w:lineRule="auto"/>
              <w:ind w:left="0" w:right="0" w:firstLine="0"/>
              <w:jc w:val="left"/>
            </w:pPr>
            <w:r>
              <w:rPr>
                <w:rFonts w:ascii="Courier New" w:eastAsia="Courier New" w:hAnsi="Courier New" w:cs="Courier New"/>
                <w:sz w:val="24"/>
              </w:rPr>
              <w:t xml:space="preserve">    </w:t>
            </w:r>
            <w:proofErr w:type="spellStart"/>
            <w:r>
              <w:rPr>
                <w:rFonts w:ascii="Courier New" w:eastAsia="Courier New" w:hAnsi="Courier New" w:cs="Courier New"/>
                <w:sz w:val="24"/>
              </w:rPr>
              <w:t>X_scaled</w:t>
            </w:r>
            <w:proofErr w:type="spellEnd"/>
            <w:r>
              <w:rPr>
                <w:rFonts w:ascii="Courier New" w:eastAsia="Courier New" w:hAnsi="Courier New" w:cs="Courier New"/>
                <w:sz w:val="24"/>
              </w:rPr>
              <w:t xml:space="preserve">, y, </w:t>
            </w:r>
            <w:proofErr w:type="spellStart"/>
            <w:r>
              <w:rPr>
                <w:rFonts w:ascii="Courier New" w:eastAsia="Courier New" w:hAnsi="Courier New" w:cs="Courier New"/>
                <w:sz w:val="24"/>
              </w:rPr>
              <w:t>test_size</w:t>
            </w:r>
            <w:proofErr w:type="spellEnd"/>
            <w:r>
              <w:rPr>
                <w:rFonts w:ascii="Courier New" w:eastAsia="Courier New" w:hAnsi="Courier New" w:cs="Courier New"/>
                <w:sz w:val="24"/>
              </w:rPr>
              <w:t xml:space="preserve">=0.2, </w:t>
            </w:r>
            <w:proofErr w:type="spellStart"/>
            <w:r>
              <w:rPr>
                <w:rFonts w:ascii="Courier New" w:eastAsia="Courier New" w:hAnsi="Courier New" w:cs="Courier New"/>
                <w:sz w:val="24"/>
              </w:rPr>
              <w:t>random_state</w:t>
            </w:r>
            <w:proofErr w:type="spellEnd"/>
            <w:r>
              <w:rPr>
                <w:rFonts w:ascii="Courier New" w:eastAsia="Courier New" w:hAnsi="Courier New" w:cs="Courier New"/>
                <w:sz w:val="24"/>
              </w:rPr>
              <w:t>=42, stratify=y</w:t>
            </w:r>
          </w:p>
          <w:p w14:paraId="5FB218AE" w14:textId="77777777" w:rsidR="00E56F42" w:rsidRDefault="00000000">
            <w:pPr>
              <w:spacing w:after="426" w:line="259" w:lineRule="auto"/>
              <w:ind w:left="0" w:right="0" w:firstLine="0"/>
              <w:jc w:val="left"/>
            </w:pPr>
            <w:r>
              <w:rPr>
                <w:rFonts w:ascii="Courier New" w:eastAsia="Courier New" w:hAnsi="Courier New" w:cs="Courier New"/>
                <w:sz w:val="24"/>
              </w:rPr>
              <w:t>)</w:t>
            </w:r>
          </w:p>
          <w:p w14:paraId="4E69BF20" w14:textId="77777777" w:rsidR="00E56F42" w:rsidRDefault="00000000">
            <w:pPr>
              <w:spacing w:after="0" w:line="259" w:lineRule="auto"/>
              <w:ind w:left="0" w:right="0" w:firstLine="0"/>
              <w:jc w:val="left"/>
            </w:pPr>
            <w:r>
              <w:rPr>
                <w:rFonts w:ascii="Courier New" w:eastAsia="Courier New" w:hAnsi="Courier New" w:cs="Courier New"/>
                <w:sz w:val="24"/>
              </w:rPr>
              <w:t># Random Forest Ensemble Training</w:t>
            </w:r>
          </w:p>
        </w:tc>
      </w:tr>
    </w:tbl>
    <w:p w14:paraId="330CAF08" w14:textId="77777777" w:rsidR="00E56F42" w:rsidRDefault="00E56F42">
      <w:pPr>
        <w:spacing w:after="0" w:line="259" w:lineRule="auto"/>
        <w:ind w:left="-1134" w:right="385" w:firstLine="0"/>
        <w:jc w:val="left"/>
      </w:pPr>
    </w:p>
    <w:tbl>
      <w:tblPr>
        <w:tblStyle w:val="TableGrid"/>
        <w:tblW w:w="9610" w:type="dxa"/>
        <w:tblInd w:w="28" w:type="dxa"/>
        <w:tblCellMar>
          <w:top w:w="97" w:type="dxa"/>
          <w:left w:w="347" w:type="dxa"/>
          <w:right w:w="115" w:type="dxa"/>
        </w:tblCellMar>
        <w:tblLook w:val="04A0" w:firstRow="1" w:lastRow="0" w:firstColumn="1" w:lastColumn="0" w:noHBand="0" w:noVBand="1"/>
      </w:tblPr>
      <w:tblGrid>
        <w:gridCol w:w="9610"/>
      </w:tblGrid>
      <w:tr w:rsidR="00E56F42" w14:paraId="7138417A" w14:textId="77777777">
        <w:trPr>
          <w:trHeight w:val="2820"/>
        </w:trPr>
        <w:tc>
          <w:tcPr>
            <w:tcW w:w="9610" w:type="dxa"/>
            <w:tcBorders>
              <w:top w:val="nil"/>
              <w:left w:val="single" w:sz="30" w:space="0" w:color="1E3A8A"/>
              <w:bottom w:val="nil"/>
              <w:right w:val="nil"/>
            </w:tcBorders>
            <w:shd w:val="clear" w:color="auto" w:fill="F1F5F9"/>
          </w:tcPr>
          <w:p w14:paraId="08A3A36C" w14:textId="77777777" w:rsidR="00E56F42" w:rsidRDefault="00000000">
            <w:pPr>
              <w:spacing w:after="360" w:line="317" w:lineRule="auto"/>
              <w:ind w:left="0" w:right="220" w:firstLine="0"/>
              <w:jc w:val="left"/>
            </w:pPr>
            <w:r>
              <w:rPr>
                <w:rFonts w:ascii="Courier New" w:eastAsia="Courier New" w:hAnsi="Courier New" w:cs="Courier New"/>
                <w:sz w:val="24"/>
              </w:rPr>
              <w:lastRenderedPageBreak/>
              <w:t xml:space="preserve">rf = </w:t>
            </w:r>
            <w:proofErr w:type="spellStart"/>
            <w:proofErr w:type="gramStart"/>
            <w:r>
              <w:rPr>
                <w:rFonts w:ascii="Courier New" w:eastAsia="Courier New" w:hAnsi="Courier New" w:cs="Courier New"/>
                <w:sz w:val="24"/>
              </w:rPr>
              <w:t>RandomForestClassifier</w:t>
            </w:r>
            <w:proofErr w:type="spellEnd"/>
            <w:r>
              <w:rPr>
                <w:rFonts w:ascii="Courier New" w:eastAsia="Courier New" w:hAnsi="Courier New" w:cs="Courier New"/>
                <w:sz w:val="24"/>
              </w:rPr>
              <w:t>(</w:t>
            </w:r>
            <w:proofErr w:type="spellStart"/>
            <w:proofErr w:type="gramEnd"/>
            <w:r>
              <w:rPr>
                <w:rFonts w:ascii="Courier New" w:eastAsia="Courier New" w:hAnsi="Courier New" w:cs="Courier New"/>
                <w:sz w:val="24"/>
              </w:rPr>
              <w:t>random_state</w:t>
            </w:r>
            <w:proofErr w:type="spellEnd"/>
            <w:r>
              <w:rPr>
                <w:rFonts w:ascii="Courier New" w:eastAsia="Courier New" w:hAnsi="Courier New" w:cs="Courier New"/>
                <w:sz w:val="24"/>
              </w:rPr>
              <w:t xml:space="preserve">=42, </w:t>
            </w:r>
            <w:proofErr w:type="spellStart"/>
            <w:r>
              <w:rPr>
                <w:rFonts w:ascii="Courier New" w:eastAsia="Courier New" w:hAnsi="Courier New" w:cs="Courier New"/>
                <w:sz w:val="24"/>
              </w:rPr>
              <w:t>n_estimators</w:t>
            </w:r>
            <w:proofErr w:type="spellEnd"/>
            <w:r>
              <w:rPr>
                <w:rFonts w:ascii="Courier New" w:eastAsia="Courier New" w:hAnsi="Courier New" w:cs="Courier New"/>
                <w:sz w:val="24"/>
              </w:rPr>
              <w:t xml:space="preserve">=100, </w:t>
            </w:r>
            <w:proofErr w:type="spellStart"/>
            <w:r>
              <w:rPr>
                <w:rFonts w:ascii="Courier New" w:eastAsia="Courier New" w:hAnsi="Courier New" w:cs="Courier New"/>
                <w:sz w:val="24"/>
              </w:rPr>
              <w:t>max_depth</w:t>
            </w:r>
            <w:proofErr w:type="spellEnd"/>
            <w:r>
              <w:rPr>
                <w:rFonts w:ascii="Courier New" w:eastAsia="Courier New" w:hAnsi="Courier New" w:cs="Courier New"/>
                <w:sz w:val="24"/>
              </w:rPr>
              <w:t xml:space="preserve">=15) </w:t>
            </w:r>
            <w:proofErr w:type="spellStart"/>
            <w:r>
              <w:rPr>
                <w:rFonts w:ascii="Courier New" w:eastAsia="Courier New" w:hAnsi="Courier New" w:cs="Courier New"/>
                <w:sz w:val="24"/>
              </w:rPr>
              <w:t>rf.fit</w:t>
            </w:r>
            <w:proofErr w:type="spellEnd"/>
            <w:r>
              <w:rPr>
                <w:rFonts w:ascii="Courier New" w:eastAsia="Courier New" w:hAnsi="Courier New" w:cs="Courier New"/>
                <w:sz w:val="24"/>
              </w:rPr>
              <w:t>(</w:t>
            </w:r>
            <w:proofErr w:type="spellStart"/>
            <w:r>
              <w:rPr>
                <w:rFonts w:ascii="Courier New" w:eastAsia="Courier New" w:hAnsi="Courier New" w:cs="Courier New"/>
                <w:sz w:val="24"/>
              </w:rPr>
              <w:t>X_train</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y_train</w:t>
            </w:r>
            <w:proofErr w:type="spellEnd"/>
            <w:r>
              <w:rPr>
                <w:rFonts w:ascii="Courier New" w:eastAsia="Courier New" w:hAnsi="Courier New" w:cs="Courier New"/>
                <w:sz w:val="24"/>
              </w:rPr>
              <w:t>)</w:t>
            </w:r>
          </w:p>
          <w:p w14:paraId="08C10DBA" w14:textId="77777777" w:rsidR="00E56F42" w:rsidRDefault="00000000">
            <w:pPr>
              <w:spacing w:after="0" w:line="259" w:lineRule="auto"/>
              <w:ind w:left="0" w:right="5260" w:firstLine="0"/>
              <w:jc w:val="left"/>
            </w:pPr>
            <w:r>
              <w:rPr>
                <w:rFonts w:ascii="Courier New" w:eastAsia="Courier New" w:hAnsi="Courier New" w:cs="Courier New"/>
                <w:sz w:val="24"/>
              </w:rPr>
              <w:t xml:space="preserve"># Evaluation Phase </w:t>
            </w:r>
            <w:proofErr w:type="spellStart"/>
            <w:r>
              <w:rPr>
                <w:rFonts w:ascii="Courier New" w:eastAsia="Courier New" w:hAnsi="Courier New" w:cs="Courier New"/>
                <w:sz w:val="24"/>
              </w:rPr>
              <w:t>y_pred</w:t>
            </w:r>
            <w:proofErr w:type="spellEnd"/>
            <w:r>
              <w:rPr>
                <w:rFonts w:ascii="Courier New" w:eastAsia="Courier New" w:hAnsi="Courier New" w:cs="Courier New"/>
                <w:sz w:val="24"/>
              </w:rPr>
              <w:t xml:space="preserve"> = </w:t>
            </w:r>
            <w:proofErr w:type="spellStart"/>
            <w:proofErr w:type="gramStart"/>
            <w:r>
              <w:rPr>
                <w:rFonts w:ascii="Courier New" w:eastAsia="Courier New" w:hAnsi="Courier New" w:cs="Courier New"/>
                <w:sz w:val="24"/>
              </w:rPr>
              <w:t>rf.predict</w:t>
            </w:r>
            <w:proofErr w:type="spellEnd"/>
            <w:proofErr w:type="gramEnd"/>
            <w:r>
              <w:rPr>
                <w:rFonts w:ascii="Courier New" w:eastAsia="Courier New" w:hAnsi="Courier New" w:cs="Courier New"/>
                <w:sz w:val="24"/>
              </w:rPr>
              <w:t>(</w:t>
            </w:r>
            <w:proofErr w:type="spellStart"/>
            <w:r>
              <w:rPr>
                <w:rFonts w:ascii="Courier New" w:eastAsia="Courier New" w:hAnsi="Courier New" w:cs="Courier New"/>
                <w:sz w:val="24"/>
              </w:rPr>
              <w:t>X_test</w:t>
            </w:r>
            <w:proofErr w:type="spellEnd"/>
            <w:r>
              <w:rPr>
                <w:rFonts w:ascii="Courier New" w:eastAsia="Courier New" w:hAnsi="Courier New" w:cs="Courier New"/>
                <w:sz w:val="24"/>
              </w:rPr>
              <w:t>)</w:t>
            </w:r>
          </w:p>
        </w:tc>
      </w:tr>
    </w:tbl>
    <w:p w14:paraId="1634EC45" w14:textId="77777777" w:rsidR="00E56F42" w:rsidRDefault="00000000">
      <w:r>
        <w:br w:type="page"/>
      </w:r>
    </w:p>
    <w:p w14:paraId="0758CBCA" w14:textId="77777777" w:rsidR="00E56F42" w:rsidRDefault="00000000">
      <w:pPr>
        <w:spacing w:after="354" w:line="259" w:lineRule="auto"/>
        <w:ind w:left="-5" w:right="0"/>
        <w:jc w:val="left"/>
      </w:pPr>
      <w:r>
        <w:rPr>
          <w:rFonts w:ascii="Calibri" w:eastAsia="Calibri" w:hAnsi="Calibri" w:cs="Calibri"/>
          <w:b/>
          <w:color w:val="1E3A8A"/>
          <w:sz w:val="52"/>
        </w:rPr>
        <w:lastRenderedPageBreak/>
        <w:t>Chapter 8: Experimental Results and</w:t>
      </w:r>
    </w:p>
    <w:p w14:paraId="748ECB1D" w14:textId="77777777" w:rsidR="00E56F42" w:rsidRDefault="00000000">
      <w:pPr>
        <w:pStyle w:val="Heading1"/>
        <w:ind w:left="-5"/>
      </w:pPr>
      <w:r>
        <w:t>Evaluation</w:t>
      </w:r>
    </w:p>
    <w:p w14:paraId="2513035C"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13B55FA7" wp14:editId="30233953">
                <wp:extent cx="6120000" cy="19050"/>
                <wp:effectExtent l="0" t="0" r="0" b="0"/>
                <wp:docPr id="25603" name="Group 25603"/>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12" name="Shape 27612"/>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5603" style="width:481.89pt;height:1.5pt;mso-position-horizontal-relative:char;mso-position-vertical-relative:line" coordsize="61200,190">
                <v:shape id="Shape 27613"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6574A295" w14:textId="77777777" w:rsidR="00E56F42" w:rsidRDefault="00000000">
      <w:pPr>
        <w:pStyle w:val="Heading2"/>
        <w:ind w:left="-5"/>
      </w:pPr>
      <w:r>
        <w:t>8.1 Model Evaluation Metrics</w:t>
      </w:r>
    </w:p>
    <w:p w14:paraId="468E16E1" w14:textId="77777777" w:rsidR="00E56F42" w:rsidRDefault="00000000">
      <w:pPr>
        <w:ind w:left="-5" w:right="371"/>
      </w:pPr>
      <w:r>
        <w:t xml:space="preserve">The trained Random Forest model was evaluated against the isolated 5,000-record testing set. The model achieved a remarkable aggregate Accuracy of </w:t>
      </w:r>
      <w:r>
        <w:rPr>
          <w:b/>
        </w:rPr>
        <w:t>99.76%</w:t>
      </w:r>
      <w:r>
        <w:t>. To fully understand the model's performance beyond simple accuracy, a detailed Confusion Matrix was generated. The matrix plots the True Classifications against the Predicted Classifications.</w:t>
      </w:r>
    </w:p>
    <w:p w14:paraId="2C5F539C" w14:textId="77777777" w:rsidR="00DC19B7" w:rsidRPr="00DC19B7" w:rsidRDefault="00DC19B7" w:rsidP="00DC19B7">
      <w:pPr>
        <w:pStyle w:val="Heading2"/>
        <w:ind w:left="-5"/>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Model Performance Metrics (Test Size: 5,000 samples)</w:t>
      </w:r>
    </w:p>
    <w:p w14:paraId="601749FB" w14:textId="77777777" w:rsidR="00DC19B7" w:rsidRPr="00DC19B7" w:rsidRDefault="00DC19B7" w:rsidP="00DC19B7">
      <w:pPr>
        <w:pStyle w:val="Heading2"/>
        <w:numPr>
          <w:ilvl w:val="0"/>
          <w:numId w:val="6"/>
        </w:numPr>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Accuracy:</w:t>
      </w:r>
      <w:r w:rsidRPr="00DC19B7">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99.76%</w:t>
      </w:r>
    </w:p>
    <w:p w14:paraId="787E18DE" w14:textId="77777777" w:rsidR="00DC19B7" w:rsidRPr="00DC19B7" w:rsidRDefault="00DC19B7" w:rsidP="00DC19B7">
      <w:pPr>
        <w:pStyle w:val="Heading2"/>
        <w:numPr>
          <w:ilvl w:val="0"/>
          <w:numId w:val="6"/>
        </w:numPr>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Macro Average Precision:</w:t>
      </w:r>
      <w:r w:rsidRPr="00DC19B7">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w:t>
      </w:r>
    </w:p>
    <w:p w14:paraId="188CF210" w14:textId="77777777" w:rsidR="00DC19B7" w:rsidRPr="00DC19B7" w:rsidRDefault="00DC19B7" w:rsidP="00DC19B7">
      <w:pPr>
        <w:pStyle w:val="Heading2"/>
        <w:numPr>
          <w:ilvl w:val="0"/>
          <w:numId w:val="6"/>
        </w:numPr>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Macro Average Recall:</w:t>
      </w:r>
      <w:r w:rsidRPr="00DC19B7">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w:t>
      </w:r>
    </w:p>
    <w:p w14:paraId="722F1B90" w14:textId="77777777" w:rsidR="00DC19B7" w:rsidRPr="001576A5" w:rsidRDefault="00DC19B7" w:rsidP="00DC19B7">
      <w:pPr>
        <w:pStyle w:val="Heading2"/>
        <w:numPr>
          <w:ilvl w:val="0"/>
          <w:numId w:val="6"/>
        </w:numPr>
        <w:rPr>
          <w:b w:val="0"/>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F1-Score:</w:t>
      </w:r>
      <w:r w:rsidRPr="00DC19B7">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w:t>
      </w:r>
    </w:p>
    <w:p w14:paraId="0DBDA0A5" w14:textId="43541E75" w:rsidR="001576A5" w:rsidRPr="001576A5" w:rsidRDefault="001576A5" w:rsidP="001576A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76A5">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ROC-AUC Score:</w:t>
      </w:r>
      <w:r w:rsidRPr="001576A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0.999 (The model demonstrates near-perfect separability between Safe, Risky, and Critical Failure classes, as indicated by the Area Under the Receiver Operating Characteristic Curve).</w:t>
      </w:r>
    </w:p>
    <w:p w14:paraId="4FAF5E9B" w14:textId="77777777" w:rsidR="001576A5" w:rsidRDefault="001576A5" w:rsidP="001576A5"/>
    <w:p w14:paraId="7E5368EE" w14:textId="77777777" w:rsidR="001576A5" w:rsidRPr="001576A5" w:rsidRDefault="001576A5" w:rsidP="001576A5"/>
    <w:tbl>
      <w:tblPr>
        <w:tblStyle w:val="GridTable4-Accent1"/>
        <w:bidiVisual/>
        <w:tblW w:w="0" w:type="auto"/>
        <w:tblLook w:val="04A0" w:firstRow="1" w:lastRow="0" w:firstColumn="1" w:lastColumn="0" w:noHBand="0" w:noVBand="1"/>
      </w:tblPr>
      <w:tblGrid>
        <w:gridCol w:w="3946"/>
        <w:gridCol w:w="1136"/>
        <w:gridCol w:w="1281"/>
        <w:gridCol w:w="2450"/>
      </w:tblGrid>
      <w:tr w:rsidR="00DC19B7" w:rsidRPr="00DC19B7" w14:paraId="7D6A7DE9" w14:textId="77777777" w:rsidTr="00157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53518" w14:textId="77777777" w:rsidR="00DC19B7" w:rsidRPr="00DC19B7" w:rsidRDefault="00DC19B7" w:rsidP="00DC19B7">
            <w:r w:rsidRPr="00DC19B7">
              <w:t>True Class \ Predicted Class</w:t>
            </w:r>
          </w:p>
        </w:tc>
        <w:tc>
          <w:tcPr>
            <w:tcW w:w="0" w:type="auto"/>
            <w:hideMark/>
          </w:tcPr>
          <w:p w14:paraId="52B2CCF5" w14:textId="77777777" w:rsidR="00DC19B7" w:rsidRPr="00DC19B7" w:rsidRDefault="00DC19B7" w:rsidP="00DC19B7">
            <w:pPr>
              <w:cnfStyle w:val="100000000000" w:firstRow="1" w:lastRow="0" w:firstColumn="0" w:lastColumn="0" w:oddVBand="0" w:evenVBand="0" w:oddHBand="0" w:evenHBand="0" w:firstRowFirstColumn="0" w:firstRowLastColumn="0" w:lastRowFirstColumn="0" w:lastRowLastColumn="0"/>
              <w:rPr>
                <w:rtl/>
              </w:rPr>
            </w:pPr>
            <w:r w:rsidRPr="00DC19B7">
              <w:t>Safe</w:t>
            </w:r>
          </w:p>
        </w:tc>
        <w:tc>
          <w:tcPr>
            <w:tcW w:w="0" w:type="auto"/>
            <w:hideMark/>
          </w:tcPr>
          <w:p w14:paraId="306DBAEE" w14:textId="77777777" w:rsidR="00DC19B7" w:rsidRPr="00DC19B7" w:rsidRDefault="00DC19B7" w:rsidP="00DC19B7">
            <w:pPr>
              <w:cnfStyle w:val="100000000000" w:firstRow="1" w:lastRow="0" w:firstColumn="0" w:lastColumn="0" w:oddVBand="0" w:evenVBand="0" w:oddHBand="0" w:evenHBand="0" w:firstRowFirstColumn="0" w:firstRowLastColumn="0" w:lastRowFirstColumn="0" w:lastRowLastColumn="0"/>
              <w:rPr>
                <w:rtl/>
              </w:rPr>
            </w:pPr>
            <w:r w:rsidRPr="00DC19B7">
              <w:t>Risky</w:t>
            </w:r>
          </w:p>
        </w:tc>
        <w:tc>
          <w:tcPr>
            <w:tcW w:w="0" w:type="auto"/>
            <w:hideMark/>
          </w:tcPr>
          <w:p w14:paraId="7CA913D3" w14:textId="77777777" w:rsidR="00DC19B7" w:rsidRPr="00DC19B7" w:rsidRDefault="00DC19B7" w:rsidP="00DC19B7">
            <w:pPr>
              <w:cnfStyle w:val="100000000000" w:firstRow="1" w:lastRow="0" w:firstColumn="0" w:lastColumn="0" w:oddVBand="0" w:evenVBand="0" w:oddHBand="0" w:evenHBand="0" w:firstRowFirstColumn="0" w:firstRowLastColumn="0" w:lastRowFirstColumn="0" w:lastRowLastColumn="0"/>
              <w:rPr>
                <w:rtl/>
              </w:rPr>
            </w:pPr>
            <w:r w:rsidRPr="00DC19B7">
              <w:t>Critical Failure</w:t>
            </w:r>
          </w:p>
        </w:tc>
      </w:tr>
      <w:tr w:rsidR="00DC19B7" w:rsidRPr="00DC19B7" w14:paraId="46FF7200" w14:textId="77777777" w:rsidTr="00157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D4203" w14:textId="77777777" w:rsidR="00DC19B7" w:rsidRPr="00DC19B7" w:rsidRDefault="00DC19B7" w:rsidP="00DC19B7">
            <w:pPr>
              <w:rPr>
                <w:rtl/>
              </w:rPr>
            </w:pPr>
            <w:r w:rsidRPr="00DC19B7">
              <w:t>Safe</w:t>
            </w:r>
          </w:p>
        </w:tc>
        <w:tc>
          <w:tcPr>
            <w:tcW w:w="0" w:type="auto"/>
            <w:hideMark/>
          </w:tcPr>
          <w:p w14:paraId="6F8A5C5B"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b/>
                <w:bCs/>
                <w:rtl/>
              </w:rPr>
              <w:t>4,303</w:t>
            </w:r>
          </w:p>
        </w:tc>
        <w:tc>
          <w:tcPr>
            <w:tcW w:w="0" w:type="auto"/>
            <w:hideMark/>
          </w:tcPr>
          <w:p w14:paraId="2A060539"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rtl/>
              </w:rPr>
              <w:t>1</w:t>
            </w:r>
          </w:p>
        </w:tc>
        <w:tc>
          <w:tcPr>
            <w:tcW w:w="0" w:type="auto"/>
            <w:hideMark/>
          </w:tcPr>
          <w:p w14:paraId="4403206B"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rtl/>
              </w:rPr>
              <w:t>0</w:t>
            </w:r>
          </w:p>
        </w:tc>
      </w:tr>
      <w:tr w:rsidR="00DC19B7" w:rsidRPr="00DC19B7" w14:paraId="3885575C" w14:textId="77777777" w:rsidTr="001576A5">
        <w:tc>
          <w:tcPr>
            <w:cnfStyle w:val="001000000000" w:firstRow="0" w:lastRow="0" w:firstColumn="1" w:lastColumn="0" w:oddVBand="0" w:evenVBand="0" w:oddHBand="0" w:evenHBand="0" w:firstRowFirstColumn="0" w:firstRowLastColumn="0" w:lastRowFirstColumn="0" w:lastRowLastColumn="0"/>
            <w:tcW w:w="0" w:type="auto"/>
            <w:hideMark/>
          </w:tcPr>
          <w:p w14:paraId="50C54EA1" w14:textId="77777777" w:rsidR="00DC19B7" w:rsidRPr="00DC19B7" w:rsidRDefault="00DC19B7" w:rsidP="00DC19B7">
            <w:pPr>
              <w:rPr>
                <w:rtl/>
              </w:rPr>
            </w:pPr>
            <w:r w:rsidRPr="00DC19B7">
              <w:t>Risky</w:t>
            </w:r>
          </w:p>
        </w:tc>
        <w:tc>
          <w:tcPr>
            <w:tcW w:w="0" w:type="auto"/>
            <w:hideMark/>
          </w:tcPr>
          <w:p w14:paraId="3C664E28" w14:textId="77777777" w:rsidR="00DC19B7" w:rsidRPr="00DC19B7" w:rsidRDefault="00DC19B7" w:rsidP="00DC19B7">
            <w:pPr>
              <w:cnfStyle w:val="000000000000" w:firstRow="0" w:lastRow="0" w:firstColumn="0" w:lastColumn="0" w:oddVBand="0" w:evenVBand="0" w:oddHBand="0" w:evenHBand="0" w:firstRowFirstColumn="0" w:firstRowLastColumn="0" w:lastRowFirstColumn="0" w:lastRowLastColumn="0"/>
              <w:rPr>
                <w:rtl/>
              </w:rPr>
            </w:pPr>
            <w:r w:rsidRPr="00DC19B7">
              <w:rPr>
                <w:rtl/>
              </w:rPr>
              <w:t>3</w:t>
            </w:r>
          </w:p>
        </w:tc>
        <w:tc>
          <w:tcPr>
            <w:tcW w:w="0" w:type="auto"/>
            <w:hideMark/>
          </w:tcPr>
          <w:p w14:paraId="3BD11BF0" w14:textId="77777777" w:rsidR="00DC19B7" w:rsidRPr="00DC19B7" w:rsidRDefault="00DC19B7" w:rsidP="00DC19B7">
            <w:pPr>
              <w:cnfStyle w:val="000000000000" w:firstRow="0" w:lastRow="0" w:firstColumn="0" w:lastColumn="0" w:oddVBand="0" w:evenVBand="0" w:oddHBand="0" w:evenHBand="0" w:firstRowFirstColumn="0" w:firstRowLastColumn="0" w:lastRowFirstColumn="0" w:lastRowLastColumn="0"/>
              <w:rPr>
                <w:rtl/>
              </w:rPr>
            </w:pPr>
            <w:r w:rsidRPr="00DC19B7">
              <w:rPr>
                <w:b/>
                <w:bCs/>
                <w:rtl/>
              </w:rPr>
              <w:t>369</w:t>
            </w:r>
          </w:p>
        </w:tc>
        <w:tc>
          <w:tcPr>
            <w:tcW w:w="0" w:type="auto"/>
            <w:hideMark/>
          </w:tcPr>
          <w:p w14:paraId="6029A3FF" w14:textId="77777777" w:rsidR="00DC19B7" w:rsidRPr="00DC19B7" w:rsidRDefault="00DC19B7" w:rsidP="00DC19B7">
            <w:pPr>
              <w:cnfStyle w:val="000000000000" w:firstRow="0" w:lastRow="0" w:firstColumn="0" w:lastColumn="0" w:oddVBand="0" w:evenVBand="0" w:oddHBand="0" w:evenHBand="0" w:firstRowFirstColumn="0" w:firstRowLastColumn="0" w:lastRowFirstColumn="0" w:lastRowLastColumn="0"/>
              <w:rPr>
                <w:rtl/>
              </w:rPr>
            </w:pPr>
            <w:r w:rsidRPr="00DC19B7">
              <w:rPr>
                <w:rtl/>
              </w:rPr>
              <w:t>6</w:t>
            </w:r>
          </w:p>
        </w:tc>
      </w:tr>
      <w:tr w:rsidR="00DC19B7" w:rsidRPr="00DC19B7" w14:paraId="031E8B03" w14:textId="77777777" w:rsidTr="00157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54993" w14:textId="77777777" w:rsidR="00DC19B7" w:rsidRPr="00DC19B7" w:rsidRDefault="00DC19B7" w:rsidP="00DC19B7">
            <w:pPr>
              <w:rPr>
                <w:rtl/>
              </w:rPr>
            </w:pPr>
            <w:r w:rsidRPr="00DC19B7">
              <w:t>Critical Failure</w:t>
            </w:r>
          </w:p>
        </w:tc>
        <w:tc>
          <w:tcPr>
            <w:tcW w:w="0" w:type="auto"/>
            <w:hideMark/>
          </w:tcPr>
          <w:p w14:paraId="24946E7C"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rtl/>
              </w:rPr>
              <w:t>1</w:t>
            </w:r>
          </w:p>
        </w:tc>
        <w:tc>
          <w:tcPr>
            <w:tcW w:w="0" w:type="auto"/>
            <w:hideMark/>
          </w:tcPr>
          <w:p w14:paraId="6D5F5C0B"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rtl/>
              </w:rPr>
              <w:t>1</w:t>
            </w:r>
          </w:p>
        </w:tc>
        <w:tc>
          <w:tcPr>
            <w:tcW w:w="0" w:type="auto"/>
            <w:hideMark/>
          </w:tcPr>
          <w:p w14:paraId="7E5AF965" w14:textId="77777777" w:rsidR="00DC19B7" w:rsidRPr="00DC19B7" w:rsidRDefault="00DC19B7" w:rsidP="00DC19B7">
            <w:pPr>
              <w:cnfStyle w:val="000000100000" w:firstRow="0" w:lastRow="0" w:firstColumn="0" w:lastColumn="0" w:oddVBand="0" w:evenVBand="0" w:oddHBand="1" w:evenHBand="0" w:firstRowFirstColumn="0" w:firstRowLastColumn="0" w:lastRowFirstColumn="0" w:lastRowLastColumn="0"/>
              <w:rPr>
                <w:rtl/>
              </w:rPr>
            </w:pPr>
            <w:r w:rsidRPr="00DC19B7">
              <w:rPr>
                <w:b/>
                <w:bCs/>
                <w:rtl/>
              </w:rPr>
              <w:t>316</w:t>
            </w:r>
          </w:p>
        </w:tc>
      </w:tr>
    </w:tbl>
    <w:p w14:paraId="74B36287" w14:textId="2761B97C" w:rsidR="00DC19B7" w:rsidRPr="00DC19B7" w:rsidRDefault="00DC19B7" w:rsidP="00DC19B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highlight w:val="darkGray"/>
        </w:rPr>
        <w:t>Table 8.1: Multi-Class Confusion Matrix</w:t>
      </w:r>
    </w:p>
    <w:p w14:paraId="19FF36D6" w14:textId="77777777" w:rsidR="00E56F42" w:rsidRDefault="00000000">
      <w:pPr>
        <w:pStyle w:val="Heading2"/>
        <w:ind w:left="-5"/>
        <w:rPr>
          <w:rtl/>
          <w:lang w:bidi="ar-JO"/>
        </w:rPr>
      </w:pPr>
      <w:r>
        <w:t>8.2 Confusion Matrix Breakdown</w:t>
      </w:r>
    </w:p>
    <w:p w14:paraId="6EE77BCB" w14:textId="77777777" w:rsidR="00E56F42" w:rsidRDefault="00000000">
      <w:pPr>
        <w:spacing w:after="416"/>
        <w:ind w:left="-5" w:right="371"/>
      </w:pPr>
      <w:r>
        <w:t>The model's predictions on the 5,000 unseen samples were distributed as follows:</w:t>
      </w:r>
    </w:p>
    <w:p w14:paraId="41850299" w14:textId="77777777" w:rsidR="00E56F42" w:rsidRDefault="00000000">
      <w:pPr>
        <w:numPr>
          <w:ilvl w:val="0"/>
          <w:numId w:val="3"/>
        </w:numPr>
        <w:spacing w:after="416"/>
        <w:ind w:right="371" w:hanging="168"/>
      </w:pPr>
      <w:r>
        <w:rPr>
          <w:b/>
        </w:rPr>
        <w:t>True Positives (Safe):</w:t>
      </w:r>
      <w:r>
        <w:t xml:space="preserve"> 4,303 instances correctly identified.</w:t>
      </w:r>
    </w:p>
    <w:p w14:paraId="26C17822" w14:textId="77777777" w:rsidR="00E56F42" w:rsidRDefault="00000000">
      <w:pPr>
        <w:numPr>
          <w:ilvl w:val="0"/>
          <w:numId w:val="3"/>
        </w:numPr>
        <w:spacing w:after="416"/>
        <w:ind w:right="371" w:hanging="168"/>
      </w:pPr>
      <w:r>
        <w:rPr>
          <w:b/>
        </w:rPr>
        <w:t>True Positives (Risky):</w:t>
      </w:r>
      <w:r>
        <w:t xml:space="preserve"> 369 instances correctly identified.</w:t>
      </w:r>
    </w:p>
    <w:p w14:paraId="672A6DF1" w14:textId="77777777" w:rsidR="00E56F42" w:rsidRDefault="00000000">
      <w:pPr>
        <w:numPr>
          <w:ilvl w:val="0"/>
          <w:numId w:val="3"/>
        </w:numPr>
        <w:spacing w:after="585" w:line="259" w:lineRule="auto"/>
        <w:ind w:right="371" w:hanging="168"/>
      </w:pPr>
      <w:r>
        <w:rPr>
          <w:b/>
        </w:rPr>
        <w:t>True Positives (Critical Failure):</w:t>
      </w:r>
      <w:r>
        <w:t xml:space="preserve"> 316 instances correctly identified.</w:t>
      </w:r>
    </w:p>
    <w:p w14:paraId="61C89C3A" w14:textId="77777777" w:rsidR="00E56F42" w:rsidRDefault="00000000">
      <w:pPr>
        <w:numPr>
          <w:ilvl w:val="0"/>
          <w:numId w:val="3"/>
        </w:numPr>
        <w:spacing w:after="414"/>
        <w:ind w:right="371" w:hanging="168"/>
      </w:pPr>
      <w:r>
        <w:rPr>
          <w:b/>
        </w:rPr>
        <w:t>Errors:</w:t>
      </w:r>
      <w:r>
        <w:t xml:space="preserve"> Only 12 misclassifications occurred across the entire 5,000-sample test set.</w:t>
      </w:r>
    </w:p>
    <w:p w14:paraId="681E4990" w14:textId="77777777" w:rsidR="00E56F42" w:rsidRDefault="00000000">
      <w:pPr>
        <w:spacing w:after="10"/>
        <w:ind w:left="-5" w:right="371"/>
      </w:pPr>
      <w:r>
        <w:t xml:space="preserve">The extreme precision (0.99 macro average) and recall (0.99 macro average) indicate that the model successfully mapped the deterministic physical bounds of internal combustion. The near-perfect accuracy is academically justified: the algorithm did not </w:t>
      </w:r>
      <w:r>
        <w:lastRenderedPageBreak/>
        <w:t>memorize data noise; rather, it reverse-engineered the rigid thermodynamic yield thresholds embedded within the 94 features.</w:t>
      </w:r>
      <w:r>
        <w:br w:type="page"/>
      </w:r>
    </w:p>
    <w:p w14:paraId="6CF91A1D" w14:textId="180E7695" w:rsidR="00E56F42" w:rsidRDefault="00000000">
      <w:pPr>
        <w:spacing w:after="354" w:line="259" w:lineRule="auto"/>
        <w:ind w:left="-5" w:right="0"/>
        <w:jc w:val="left"/>
      </w:pPr>
      <w:r>
        <w:rPr>
          <w:rFonts w:ascii="Calibri" w:eastAsia="Calibri" w:hAnsi="Calibri" w:cs="Calibri"/>
          <w:b/>
          <w:color w:val="1E3A8A"/>
          <w:sz w:val="52"/>
        </w:rPr>
        <w:lastRenderedPageBreak/>
        <w:t>Chapter 9: Business Intelligence and</w:t>
      </w:r>
    </w:p>
    <w:p w14:paraId="2B6BAD98" w14:textId="058D073B" w:rsidR="00E56F42" w:rsidRDefault="00000000">
      <w:pPr>
        <w:pStyle w:val="Heading1"/>
        <w:ind w:left="-5"/>
      </w:pPr>
      <w:r>
        <w:t>Power BI</w:t>
      </w:r>
    </w:p>
    <w:p w14:paraId="5CEF58CA"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525AECB5" wp14:editId="19347B1D">
                <wp:extent cx="6120000" cy="19050"/>
                <wp:effectExtent l="0" t="0" r="0" b="0"/>
                <wp:docPr id="25805" name="Group 2580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22" name="Shape 27622"/>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5805" style="width:481.89pt;height:1.5pt;mso-position-horizontal-relative:char;mso-position-vertical-relative:line" coordsize="61200,190">
                <v:shape id="Shape 27623"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652E1C8A" w14:textId="63319F99" w:rsidR="00E56F42" w:rsidRDefault="00000000">
      <w:pPr>
        <w:pStyle w:val="Heading2"/>
        <w:ind w:left="-5"/>
      </w:pPr>
      <w:r>
        <w:t>9.1 Interactive Dashboard Design</w:t>
      </w:r>
    </w:p>
    <w:p w14:paraId="3509CE33" w14:textId="2380A09C" w:rsidR="00E56F42" w:rsidRDefault="00000000">
      <w:pPr>
        <w:spacing w:after="10"/>
        <w:ind w:left="-5" w:right="371"/>
      </w:pPr>
      <w:r>
        <w:t xml:space="preserve">The data visualization and ROI tracking were executed via Microsoft Power BI. The dashboard interface was intentionally designed utilizing a Dark Slate theme, mirroring professional ECU calibration software (such as Link ECU or </w:t>
      </w:r>
      <w:proofErr w:type="spellStart"/>
      <w:r>
        <w:t>MoTeC</w:t>
      </w:r>
      <w:proofErr w:type="spellEnd"/>
      <w:r>
        <w:t>) to reduce eye strain in dimly lit workshop environments. Interactive slicers allow stakeholders to filter the 25,000 builds by Engine Platform, Fuel Type, and Customer</w:t>
      </w:r>
    </w:p>
    <w:p w14:paraId="54383BDD" w14:textId="189E4F93" w:rsidR="00E56F42" w:rsidRDefault="00DC19B7">
      <w:pPr>
        <w:spacing w:line="259" w:lineRule="auto"/>
        <w:ind w:left="-5" w:right="371"/>
      </w:pPr>
      <w:r>
        <w:rPr>
          <w:noProof/>
        </w:rPr>
        <w:drawing>
          <wp:anchor distT="0" distB="0" distL="114300" distR="114300" simplePos="0" relativeHeight="251659264" behindDoc="0" locked="0" layoutInCell="1" allowOverlap="1" wp14:anchorId="554327F1" wp14:editId="0C5F7826">
            <wp:simplePos x="0" y="0"/>
            <wp:positionH relativeFrom="page">
              <wp:align>center</wp:align>
            </wp:positionH>
            <wp:positionV relativeFrom="paragraph">
              <wp:posOffset>469911</wp:posOffset>
            </wp:positionV>
            <wp:extent cx="4925695" cy="2714625"/>
            <wp:effectExtent l="0" t="0" r="825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925695" cy="2714625"/>
                    </a:xfrm>
                    <a:prstGeom prst="rect">
                      <a:avLst/>
                    </a:prstGeom>
                  </pic:spPr>
                </pic:pic>
              </a:graphicData>
            </a:graphic>
          </wp:anchor>
        </w:drawing>
      </w:r>
      <w:r>
        <w:t>Segment seamlessly.</w:t>
      </w:r>
    </w:p>
    <w:p w14:paraId="1A8C0830" w14:textId="2DE69C84" w:rsidR="008960B4" w:rsidRDefault="00DC19B7" w:rsidP="00DC19B7">
      <w:pPr>
        <w:spacing w:line="259" w:lineRule="auto"/>
        <w:ind w:left="0" w:right="371" w:firstLine="0"/>
        <w:jc w:val="center"/>
      </w:pPr>
      <w:r w:rsidRPr="00DC19B7">
        <w:t xml:space="preserve">[ Figure 9.1: Power BI Main </w:t>
      </w:r>
      <w:proofErr w:type="gramStart"/>
      <w:r w:rsidRPr="00DC19B7">
        <w:t>Dashboard ]</w:t>
      </w:r>
      <w:proofErr w:type="gramEnd"/>
    </w:p>
    <w:p w14:paraId="1B660D48" w14:textId="77777777" w:rsidR="008960B4" w:rsidRDefault="008960B4">
      <w:pPr>
        <w:spacing w:line="259" w:lineRule="auto"/>
        <w:ind w:left="-5" w:right="371"/>
      </w:pPr>
    </w:p>
    <w:p w14:paraId="1E71EE2B" w14:textId="2A053858" w:rsidR="008960B4" w:rsidRDefault="008960B4" w:rsidP="00DC19B7">
      <w:pPr>
        <w:spacing w:line="259" w:lineRule="auto"/>
        <w:ind w:left="0" w:right="371" w:firstLine="0"/>
      </w:pPr>
    </w:p>
    <w:p w14:paraId="382FDF22" w14:textId="77777777" w:rsidR="00E56F42" w:rsidRDefault="00000000">
      <w:pPr>
        <w:pStyle w:val="Heading2"/>
        <w:ind w:left="-5"/>
      </w:pPr>
      <w:r>
        <w:lastRenderedPageBreak/>
        <w:t>9.2 Custom DAX Engineering</w:t>
      </w:r>
    </w:p>
    <w:p w14:paraId="1F8FE7DB" w14:textId="77777777" w:rsidR="00E56F42" w:rsidRDefault="00000000">
      <w:pPr>
        <w:spacing w:after="914"/>
        <w:ind w:left="-5" w:right="371"/>
      </w:pPr>
      <w:r>
        <w:t>A major technical hurdle involved Power BI's default aggregation logic, which automatically sums numerical columns. This behavior erroneously inflated average build costs into the millions when evaluating multiple rows. To enforce strict mathematical precision, custom Data Analysis Expressions (DAX) were authored:</w:t>
      </w:r>
    </w:p>
    <w:p w14:paraId="48D448D2" w14:textId="3B07215A" w:rsidR="00424C27" w:rsidRDefault="00424C27" w:rsidP="00424C27">
      <w:pPr>
        <w:numPr>
          <w:ilvl w:val="0"/>
          <w:numId w:val="7"/>
        </w:numPr>
        <w:spacing w:after="914"/>
        <w:ind w:right="371"/>
      </w:pPr>
      <w:r w:rsidRPr="00424C27">
        <w:t>This DAX code iterates over the dataset to calculate the true mathematical average of the build cost, filtering out any zero or null values to prevent inflated sums.</w:t>
      </w:r>
    </w:p>
    <w:p w14:paraId="6EBE817D" w14:textId="77777777" w:rsidR="00E56F42" w:rsidRDefault="00000000">
      <w:pPr>
        <w:pBdr>
          <w:left w:val="single" w:sz="30" w:space="0" w:color="1E3A8A"/>
        </w:pBdr>
        <w:shd w:val="clear" w:color="auto" w:fill="F1F5F9"/>
        <w:spacing w:after="60" w:line="265" w:lineRule="auto"/>
        <w:ind w:left="370" w:right="0"/>
        <w:jc w:val="left"/>
      </w:pPr>
      <w:proofErr w:type="spellStart"/>
      <w:r>
        <w:rPr>
          <w:rFonts w:ascii="Courier New" w:eastAsia="Courier New" w:hAnsi="Courier New" w:cs="Courier New"/>
          <w:sz w:val="24"/>
        </w:rPr>
        <w:t>Average_Build_Cost</w:t>
      </w:r>
      <w:proofErr w:type="spellEnd"/>
      <w:r>
        <w:rPr>
          <w:rFonts w:ascii="Courier New" w:eastAsia="Courier New" w:hAnsi="Courier New" w:cs="Courier New"/>
          <w:sz w:val="24"/>
        </w:rPr>
        <w:t xml:space="preserve"> = </w:t>
      </w:r>
    </w:p>
    <w:p w14:paraId="1D7A9CD0" w14:textId="77777777" w:rsidR="00E56F42" w:rsidRDefault="00000000">
      <w:pPr>
        <w:pBdr>
          <w:left w:val="single" w:sz="30" w:space="0" w:color="1E3A8A"/>
        </w:pBdr>
        <w:shd w:val="clear" w:color="auto" w:fill="F1F5F9"/>
        <w:spacing w:after="420" w:line="265" w:lineRule="auto"/>
        <w:ind w:left="370" w:right="0"/>
        <w:jc w:val="left"/>
      </w:pPr>
      <w:proofErr w:type="gramStart"/>
      <w:r>
        <w:rPr>
          <w:rFonts w:ascii="Courier New" w:eastAsia="Courier New" w:hAnsi="Courier New" w:cs="Courier New"/>
          <w:sz w:val="24"/>
        </w:rPr>
        <w:t>CALCULATE(</w:t>
      </w:r>
      <w:proofErr w:type="gramEnd"/>
    </w:p>
    <w:p w14:paraId="03DE898B" w14:textId="77777777" w:rsidR="00E56F42" w:rsidRDefault="00000000">
      <w:pPr>
        <w:spacing w:after="66" w:line="259" w:lineRule="auto"/>
        <w:ind w:left="375" w:right="0" w:firstLine="0"/>
        <w:jc w:val="left"/>
      </w:pPr>
      <w:r>
        <w:rPr>
          <w:rFonts w:ascii="Courier New" w:eastAsia="Courier New" w:hAnsi="Courier New" w:cs="Courier New"/>
          <w:sz w:val="24"/>
        </w:rPr>
        <w:t>AVERAGE('The_Flawless_Tuning_ERP_V20_Fixed'[Total_Build_Cost_USD]),</w:t>
      </w:r>
    </w:p>
    <w:p w14:paraId="0B4F52E5" w14:textId="77777777" w:rsidR="00E56F42" w:rsidRDefault="00000000">
      <w:pPr>
        <w:pBdr>
          <w:left w:val="single" w:sz="30" w:space="0" w:color="1E3A8A"/>
        </w:pBdr>
        <w:shd w:val="clear" w:color="auto" w:fill="F1F5F9"/>
        <w:spacing w:after="60" w:line="265" w:lineRule="auto"/>
        <w:ind w:left="370" w:right="0"/>
        <w:jc w:val="left"/>
      </w:pPr>
      <w:r>
        <w:rPr>
          <w:rFonts w:ascii="Courier New" w:eastAsia="Courier New" w:hAnsi="Courier New" w:cs="Courier New"/>
          <w:sz w:val="24"/>
        </w:rPr>
        <w:t xml:space="preserve">    </w:t>
      </w:r>
      <w:proofErr w:type="gramStart"/>
      <w:r>
        <w:rPr>
          <w:rFonts w:ascii="Courier New" w:eastAsia="Courier New" w:hAnsi="Courier New" w:cs="Courier New"/>
          <w:sz w:val="24"/>
        </w:rPr>
        <w:t>FILTER(</w:t>
      </w:r>
      <w:proofErr w:type="gramEnd"/>
    </w:p>
    <w:p w14:paraId="7D2BD3E9" w14:textId="77777777" w:rsidR="00E56F42" w:rsidRDefault="00000000">
      <w:pPr>
        <w:pBdr>
          <w:left w:val="single" w:sz="30" w:space="0" w:color="1E3A8A"/>
        </w:pBdr>
        <w:shd w:val="clear" w:color="auto" w:fill="F1F5F9"/>
        <w:spacing w:after="420" w:line="265" w:lineRule="auto"/>
        <w:ind w:left="370" w:right="0"/>
        <w:jc w:val="left"/>
      </w:pPr>
      <w:r>
        <w:rPr>
          <w:rFonts w:ascii="Courier New" w:eastAsia="Courier New" w:hAnsi="Courier New" w:cs="Courier New"/>
          <w:sz w:val="24"/>
        </w:rPr>
        <w:t xml:space="preserve">        'The_Flawless_Tuning_ERP_V20_Fixed',</w:t>
      </w:r>
    </w:p>
    <w:p w14:paraId="156D7EBE" w14:textId="77777777" w:rsidR="00E56F42" w:rsidRDefault="00000000">
      <w:pPr>
        <w:pBdr>
          <w:left w:val="single" w:sz="30" w:space="0" w:color="1E3A8A"/>
        </w:pBdr>
        <w:shd w:val="clear" w:color="auto" w:fill="F1F5F9"/>
        <w:spacing w:after="60" w:line="265" w:lineRule="auto"/>
        <w:ind w:left="370" w:right="0"/>
        <w:jc w:val="left"/>
      </w:pPr>
      <w:r>
        <w:rPr>
          <w:rFonts w:ascii="Courier New" w:eastAsia="Courier New" w:hAnsi="Courier New" w:cs="Courier New"/>
          <w:sz w:val="24"/>
        </w:rPr>
        <w:t>'The_Flawless_Tuning_ERP_V20_Fixed'[</w:t>
      </w:r>
      <w:proofErr w:type="spellStart"/>
      <w:r>
        <w:rPr>
          <w:rFonts w:ascii="Courier New" w:eastAsia="Courier New" w:hAnsi="Courier New" w:cs="Courier New"/>
          <w:sz w:val="24"/>
        </w:rPr>
        <w:t>Total_Build_Cost_USD</w:t>
      </w:r>
      <w:proofErr w:type="spellEnd"/>
      <w:r>
        <w:rPr>
          <w:rFonts w:ascii="Courier New" w:eastAsia="Courier New" w:hAnsi="Courier New" w:cs="Courier New"/>
          <w:sz w:val="24"/>
        </w:rPr>
        <w:t>] &gt; 0</w:t>
      </w:r>
    </w:p>
    <w:p w14:paraId="24A4047C" w14:textId="77777777" w:rsidR="00E56F42" w:rsidRDefault="00000000">
      <w:pPr>
        <w:pBdr>
          <w:left w:val="single" w:sz="30" w:space="0" w:color="1E3A8A"/>
        </w:pBdr>
        <w:shd w:val="clear" w:color="auto" w:fill="F1F5F9"/>
        <w:spacing w:after="60" w:line="265" w:lineRule="auto"/>
        <w:ind w:left="370" w:right="0"/>
        <w:jc w:val="left"/>
      </w:pPr>
      <w:r>
        <w:rPr>
          <w:rFonts w:ascii="Courier New" w:eastAsia="Courier New" w:hAnsi="Courier New" w:cs="Courier New"/>
          <w:sz w:val="24"/>
        </w:rPr>
        <w:t xml:space="preserve">    )</w:t>
      </w:r>
    </w:p>
    <w:p w14:paraId="434CCB22" w14:textId="77777777" w:rsidR="00E56F42" w:rsidRDefault="00000000">
      <w:pPr>
        <w:pBdr>
          <w:left w:val="single" w:sz="30" w:space="0" w:color="1E3A8A"/>
        </w:pBdr>
        <w:shd w:val="clear" w:color="auto" w:fill="F1F5F9"/>
        <w:spacing w:after="1301" w:line="265" w:lineRule="auto"/>
        <w:ind w:left="370" w:right="0"/>
        <w:jc w:val="left"/>
      </w:pPr>
      <w:r>
        <w:rPr>
          <w:rFonts w:ascii="Courier New" w:eastAsia="Courier New" w:hAnsi="Courier New" w:cs="Courier New"/>
          <w:sz w:val="24"/>
        </w:rPr>
        <w:t>)</w:t>
      </w:r>
    </w:p>
    <w:p w14:paraId="7419B921" w14:textId="77777777" w:rsidR="00E56F42" w:rsidRDefault="00000000">
      <w:pPr>
        <w:spacing w:after="774"/>
        <w:ind w:left="-5" w:right="371"/>
      </w:pPr>
      <w:r>
        <w:t>This DAX formula forces the Power BI engine to iterate over the active filter context, calculate the strict arithmetic mean, and explicitly ignore zero-values, providing an accurate financial representation of tuning tiers.</w:t>
      </w:r>
    </w:p>
    <w:p w14:paraId="79EFAB71" w14:textId="7A910F86" w:rsidR="008960B4" w:rsidRPr="008960B4" w:rsidRDefault="00000000" w:rsidP="008960B4">
      <w:pPr>
        <w:pStyle w:val="Heading2"/>
        <w:ind w:left="-5"/>
      </w:pPr>
      <w:r>
        <w:lastRenderedPageBreak/>
        <w:t>9.3 Financial ROI Findings</w:t>
      </w:r>
    </w:p>
    <w:p w14:paraId="4788B1C2" w14:textId="77777777" w:rsidR="00E56F42" w:rsidRDefault="00000000">
      <w:pPr>
        <w:ind w:left="-5" w:right="371"/>
      </w:pPr>
      <w:r>
        <w:t>The BI analysis yielded definitive conclusions regarding the economics of automotive tuning. The framework identified the "Pro-Street" tier (ranging between $2,541 and approximately $8,700) as the absolute financial sweet spot. Within this budget, tuners maximize the horsepower gained per dollar spent.</w:t>
      </w:r>
    </w:p>
    <w:p w14:paraId="62182F0C" w14:textId="77777777" w:rsidR="00E56F42" w:rsidRDefault="00000000">
      <w:pPr>
        <w:ind w:left="-5" w:right="371"/>
      </w:pPr>
      <w:r>
        <w:t xml:space="preserve">Pushing power limits beyond this tier necessitates fully forged engine internals, </w:t>
      </w:r>
      <w:proofErr w:type="spellStart"/>
      <w:r>
        <w:t>racespec</w:t>
      </w:r>
      <w:proofErr w:type="spellEnd"/>
      <w:r>
        <w:t xml:space="preserve"> fuel systems, and custom machining, which triggers an exponential spike in costs (approaching the dataset maximum of $50,433) while offering diminishing marginal returns in horsepower.</w:t>
      </w:r>
    </w:p>
    <w:p w14:paraId="636AC320" w14:textId="77777777" w:rsidR="008960B4" w:rsidRDefault="008960B4">
      <w:pPr>
        <w:ind w:left="-5" w:right="371"/>
      </w:pPr>
    </w:p>
    <w:p w14:paraId="6D11CFED" w14:textId="77777777" w:rsidR="008960B4" w:rsidRDefault="008960B4">
      <w:pPr>
        <w:ind w:left="-5" w:right="371"/>
      </w:pPr>
    </w:p>
    <w:p w14:paraId="6658D696" w14:textId="77777777" w:rsidR="008960B4" w:rsidRDefault="008960B4">
      <w:pPr>
        <w:ind w:left="-5" w:right="371"/>
      </w:pPr>
    </w:p>
    <w:p w14:paraId="54249605" w14:textId="77777777" w:rsidR="008960B4" w:rsidRDefault="008960B4">
      <w:pPr>
        <w:ind w:left="-5" w:right="371"/>
      </w:pPr>
    </w:p>
    <w:p w14:paraId="730A8544" w14:textId="77777777" w:rsidR="008960B4" w:rsidRDefault="008960B4">
      <w:pPr>
        <w:ind w:left="-5" w:right="371"/>
      </w:pPr>
    </w:p>
    <w:p w14:paraId="580341C6" w14:textId="37232752" w:rsidR="008960B4" w:rsidRDefault="008960B4" w:rsidP="008960B4">
      <w:pPr>
        <w:ind w:left="0" w:right="371" w:firstLine="0"/>
      </w:pPr>
      <w:r>
        <w:rPr>
          <w:noProof/>
        </w:rPr>
        <w:lastRenderedPageBreak/>
        <w:drawing>
          <wp:anchor distT="0" distB="0" distL="114300" distR="114300" simplePos="0" relativeHeight="251658240" behindDoc="0" locked="0" layoutInCell="1" allowOverlap="1" wp14:anchorId="56A08838" wp14:editId="61A4EAFE">
            <wp:simplePos x="0" y="0"/>
            <wp:positionH relativeFrom="page">
              <wp:posOffset>519785</wp:posOffset>
            </wp:positionH>
            <wp:positionV relativeFrom="paragraph">
              <wp:posOffset>54244</wp:posOffset>
            </wp:positionV>
            <wp:extent cx="6364605" cy="3750945"/>
            <wp:effectExtent l="0" t="0" r="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364605" cy="3750945"/>
                    </a:xfrm>
                    <a:prstGeom prst="rect">
                      <a:avLst/>
                    </a:prstGeom>
                  </pic:spPr>
                </pic:pic>
              </a:graphicData>
            </a:graphic>
          </wp:anchor>
        </w:drawing>
      </w:r>
    </w:p>
    <w:p w14:paraId="1679E028" w14:textId="5AA854C5" w:rsidR="008960B4" w:rsidRDefault="008960B4" w:rsidP="008960B4">
      <w:pPr>
        <w:spacing w:after="354" w:line="259" w:lineRule="auto"/>
        <w:ind w:left="-5" w:right="0"/>
        <w:jc w:val="left"/>
        <w:rPr>
          <w:rFonts w:ascii="Calibri" w:eastAsia="Calibri" w:hAnsi="Calibri" w:cs="Calibri"/>
          <w:i/>
          <w:i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Calibri" w:hAnsi="Calibri" w:cs="Calibri"/>
          <w:i/>
          <w:i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60B4">
        <w:rPr>
          <w:rFonts w:ascii="Calibri" w:eastAsia="Calibri" w:hAnsi="Calibri" w:cs="Calibri"/>
          <w:i/>
          <w:iCs/>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9.2: Context-Aware Filtering and ROI Analysis for Specific Engine Platforms.</w:t>
      </w:r>
    </w:p>
    <w:p w14:paraId="1F0DC038" w14:textId="10249CB2" w:rsidR="008960B4" w:rsidRPr="008960B4" w:rsidRDefault="008960B4" w:rsidP="008960B4">
      <w:pPr>
        <w:spacing w:after="354" w:line="259" w:lineRule="auto"/>
        <w:ind w:left="-5" w:right="0"/>
        <w:jc w:val="left"/>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Calibri" w:hAnsi="Calibri" w:cs="Calibri"/>
          <w:noProof/>
          <w:color w:val="000000" w:themeColor="text1"/>
          <w:sz w:val="24"/>
        </w:rPr>
        <w:drawing>
          <wp:inline distT="0" distB="0" distL="0" distR="0" wp14:anchorId="679C1F8B" wp14:editId="2ABCC3D1">
            <wp:extent cx="5904327" cy="337409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7902" cy="3398996"/>
                    </a:xfrm>
                    <a:prstGeom prst="rect">
                      <a:avLst/>
                    </a:prstGeom>
                  </pic:spPr>
                </pic:pic>
              </a:graphicData>
            </a:graphic>
          </wp:inline>
        </w:drawing>
      </w:r>
    </w:p>
    <w:p w14:paraId="7A555535" w14:textId="77777777" w:rsidR="00DC19B7" w:rsidRPr="00DC19B7" w:rsidRDefault="00DC19B7" w:rsidP="00DC19B7">
      <w:pPr>
        <w:numPr>
          <w:ilvl w:val="0"/>
          <w:numId w:val="5"/>
        </w:numPr>
        <w:spacing w:after="354" w:line="259" w:lineRule="auto"/>
        <w:ind w:right="0"/>
        <w:jc w:val="left"/>
        <w:rPr>
          <w:rFonts w:ascii="Calibri" w:eastAsia="Calibri" w:hAnsi="Calibri" w:cs="Calibri"/>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19B7">
        <w:rPr>
          <w:rFonts w:ascii="Calibri" w:eastAsia="Calibri" w:hAnsi="Calibri" w:cs="Calibri"/>
          <w:i/>
          <w:iCs/>
          <w:color w:val="000000" w:themeColor="text1"/>
          <w:sz w:val="24"/>
          <w:highlight w:val="dark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9.3: Risk Identification and Cost Projection on Factory (OEM) Internals.</w:t>
      </w:r>
    </w:p>
    <w:p w14:paraId="208DB81B" w14:textId="77777777" w:rsidR="008960B4" w:rsidRDefault="008960B4" w:rsidP="008960B4">
      <w:pPr>
        <w:spacing w:after="354" w:line="259" w:lineRule="auto"/>
        <w:ind w:left="0" w:right="0" w:firstLine="0"/>
        <w:jc w:val="left"/>
        <w:rPr>
          <w:rFonts w:ascii="Calibri" w:eastAsia="Calibri" w:hAnsi="Calibri" w:cs="Calibri"/>
          <w:b/>
          <w:color w:val="1E3A8A"/>
          <w:sz w:val="52"/>
        </w:rPr>
      </w:pPr>
    </w:p>
    <w:p w14:paraId="67AF9A24" w14:textId="77777777" w:rsidR="008960B4" w:rsidRDefault="008960B4" w:rsidP="008960B4">
      <w:pPr>
        <w:spacing w:after="354" w:line="259" w:lineRule="auto"/>
        <w:ind w:left="0" w:right="0" w:firstLine="0"/>
        <w:jc w:val="left"/>
        <w:rPr>
          <w:rFonts w:ascii="Calibri" w:eastAsia="Calibri" w:hAnsi="Calibri" w:cs="Calibri"/>
          <w:b/>
          <w:color w:val="1E3A8A"/>
          <w:sz w:val="52"/>
        </w:rPr>
      </w:pPr>
    </w:p>
    <w:p w14:paraId="1EA3FED9" w14:textId="77777777" w:rsidR="008960B4" w:rsidRDefault="008960B4" w:rsidP="008960B4">
      <w:pPr>
        <w:spacing w:after="354" w:line="259" w:lineRule="auto"/>
        <w:ind w:left="0" w:right="0" w:firstLine="0"/>
        <w:jc w:val="left"/>
        <w:rPr>
          <w:rFonts w:ascii="Calibri" w:eastAsia="Calibri" w:hAnsi="Calibri" w:cs="Calibri"/>
          <w:b/>
          <w:color w:val="1E3A8A"/>
          <w:sz w:val="52"/>
        </w:rPr>
      </w:pPr>
    </w:p>
    <w:p w14:paraId="57D8C36F" w14:textId="77777777" w:rsidR="008960B4" w:rsidRDefault="008960B4" w:rsidP="008960B4">
      <w:pPr>
        <w:spacing w:after="354" w:line="259" w:lineRule="auto"/>
        <w:ind w:left="0" w:right="0" w:firstLine="0"/>
        <w:jc w:val="left"/>
        <w:rPr>
          <w:rFonts w:ascii="Calibri" w:eastAsia="Calibri" w:hAnsi="Calibri" w:cs="Calibri"/>
          <w:b/>
          <w:color w:val="1E3A8A"/>
          <w:sz w:val="52"/>
        </w:rPr>
      </w:pPr>
    </w:p>
    <w:p w14:paraId="7D698BB5" w14:textId="243884B4" w:rsidR="008960B4" w:rsidRDefault="008960B4" w:rsidP="008960B4">
      <w:pPr>
        <w:spacing w:after="354" w:line="259" w:lineRule="auto"/>
        <w:ind w:left="0" w:right="0" w:firstLine="0"/>
        <w:jc w:val="left"/>
        <w:rPr>
          <w:rFonts w:ascii="Calibri" w:eastAsia="Calibri" w:hAnsi="Calibri" w:cs="Calibri"/>
          <w:b/>
          <w:color w:val="1E3A8A"/>
          <w:sz w:val="52"/>
        </w:rPr>
      </w:pPr>
      <w:r w:rsidRPr="008960B4">
        <w:rPr>
          <w:rFonts w:ascii="Calibri" w:eastAsia="Calibri" w:hAnsi="Calibri" w:cs="Calibri"/>
          <w:b/>
          <w:color w:val="1E3A8A"/>
          <w:sz w:val="52"/>
        </w:rPr>
        <w:t xml:space="preserve">  </w:t>
      </w:r>
    </w:p>
    <w:p w14:paraId="5D15D1A2" w14:textId="77777777" w:rsidR="008960B4" w:rsidRDefault="008960B4" w:rsidP="008960B4">
      <w:pPr>
        <w:spacing w:after="354" w:line="259" w:lineRule="auto"/>
        <w:ind w:left="0" w:right="0" w:firstLine="0"/>
        <w:jc w:val="left"/>
        <w:rPr>
          <w:rFonts w:ascii="Calibri" w:eastAsia="Calibri" w:hAnsi="Calibri" w:cs="Calibri"/>
          <w:b/>
          <w:color w:val="1E3A8A"/>
          <w:sz w:val="52"/>
        </w:rPr>
      </w:pPr>
    </w:p>
    <w:p w14:paraId="54D1DBD0" w14:textId="3647D956" w:rsidR="00E56F42" w:rsidRDefault="00000000">
      <w:pPr>
        <w:spacing w:after="354" w:line="259" w:lineRule="auto"/>
        <w:ind w:left="-5" w:right="0"/>
        <w:jc w:val="left"/>
      </w:pPr>
      <w:r>
        <w:rPr>
          <w:rFonts w:ascii="Calibri" w:eastAsia="Calibri" w:hAnsi="Calibri" w:cs="Calibri"/>
          <w:b/>
          <w:color w:val="1E3A8A"/>
          <w:sz w:val="52"/>
        </w:rPr>
        <w:t>Chapter 10: Conclusion and Future</w:t>
      </w:r>
    </w:p>
    <w:p w14:paraId="11EAAF74" w14:textId="77777777" w:rsidR="00E56F42" w:rsidRDefault="00000000">
      <w:pPr>
        <w:pStyle w:val="Heading1"/>
        <w:ind w:left="-5"/>
      </w:pPr>
      <w:r>
        <w:t>Scope</w:t>
      </w:r>
    </w:p>
    <w:p w14:paraId="7359B666" w14:textId="77777777" w:rsidR="00E56F42" w:rsidRDefault="00000000">
      <w:pPr>
        <w:spacing w:after="847" w:line="259" w:lineRule="auto"/>
        <w:ind w:left="0" w:right="0" w:firstLine="0"/>
        <w:jc w:val="left"/>
      </w:pPr>
      <w:r>
        <w:rPr>
          <w:rFonts w:ascii="Calibri" w:eastAsia="Calibri" w:hAnsi="Calibri" w:cs="Calibri"/>
          <w:noProof/>
          <w:sz w:val="22"/>
        </w:rPr>
        <mc:AlternateContent>
          <mc:Choice Requires="wpg">
            <w:drawing>
              <wp:inline distT="0" distB="0" distL="0" distR="0" wp14:anchorId="47ED5AFB" wp14:editId="77C83515">
                <wp:extent cx="6120000" cy="19050"/>
                <wp:effectExtent l="0" t="0" r="0" b="0"/>
                <wp:docPr id="25910" name="Group 25910"/>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24" name="Shape 27624"/>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5910" style="width:481.89pt;height:1.5pt;mso-position-horizontal-relative:char;mso-position-vertical-relative:line" coordsize="61200,190">
                <v:shape id="Shape 27625" style="position:absolute;width:61200;height:190;left:0;top:0;" coordsize="6120000,19050" path="m0,0l6120000,0l6120000,19050l0,19050l0,0">
                  <v:stroke weight="0pt" endcap="flat" joinstyle="miter" miterlimit="10" on="false" color="#000000" opacity="0"/>
                  <v:fill on="true" color="#1e3a8a"/>
                </v:shape>
              </v:group>
            </w:pict>
          </mc:Fallback>
        </mc:AlternateContent>
      </w:r>
    </w:p>
    <w:p w14:paraId="53B76F46" w14:textId="77777777" w:rsidR="00E56F42" w:rsidRDefault="00000000">
      <w:pPr>
        <w:pStyle w:val="Heading2"/>
        <w:ind w:left="-5"/>
      </w:pPr>
      <w:r>
        <w:t>10.1 Key Findings</w:t>
      </w:r>
    </w:p>
    <w:p w14:paraId="3F34B2F6" w14:textId="77777777" w:rsidR="00E56F42" w:rsidRDefault="00000000">
      <w:pPr>
        <w:ind w:left="-5" w:right="371"/>
      </w:pPr>
      <w:r>
        <w:t>The Apex Performance Analytics project successfully developed a unified, scientifically rigorous framework for the aftermarket automotive tuning industry. By synthesizing a highly granular 94-dimensional dataset consisting of 25,000 records, and deploying a robust Python-based ETL pipeline, the project transitioned empirical mechanic intuition into quantifiable data science.</w:t>
      </w:r>
    </w:p>
    <w:p w14:paraId="63C25BBC" w14:textId="77777777" w:rsidR="00E56F42" w:rsidRDefault="00000000">
      <w:pPr>
        <w:spacing w:after="774"/>
        <w:ind w:left="-5" w:right="371"/>
      </w:pPr>
      <w:r>
        <w:lastRenderedPageBreak/>
        <w:t>The Random Forest Machine Learning model achieved a 99.76% accuracy rate in predicting catastrophic mechanical failures based on thermodynamic constraints, offering a powerful tool for risk mitigation. Simultaneously, the Power BI integration provided crystal-clear visibility into the Return on Investment, identifying the exact financial thresholds where overbuilding occurs.</w:t>
      </w:r>
    </w:p>
    <w:p w14:paraId="3246295E" w14:textId="77777777" w:rsidR="00E56F42" w:rsidRDefault="00000000">
      <w:pPr>
        <w:pStyle w:val="Heading2"/>
        <w:ind w:left="-5"/>
      </w:pPr>
      <w:r>
        <w:t>10.2 Future Strategic Developments</w:t>
      </w:r>
    </w:p>
    <w:p w14:paraId="48ADCE78" w14:textId="77777777" w:rsidR="00E56F42" w:rsidRDefault="00000000">
      <w:pPr>
        <w:spacing w:after="210" w:line="259" w:lineRule="auto"/>
        <w:ind w:left="-5" w:right="371"/>
      </w:pPr>
      <w:r>
        <w:t>Future strategic developments for this project entail containerizing the Machine</w:t>
      </w:r>
    </w:p>
    <w:p w14:paraId="4ED6AAD5" w14:textId="77777777" w:rsidR="00E56F42" w:rsidRDefault="00000000">
      <w:pPr>
        <w:spacing w:after="10"/>
        <w:ind w:left="-5" w:right="371"/>
      </w:pPr>
      <w:r>
        <w:t>Learning model into a cloud-based REST API. This would allow tuning workshops to interface with the algorithm via a mobile application, enabling real-time, on-site safety simulations and cost predictions before a single physical component is altered, revolutionizing safety and cost-efficiency in global motorsports.</w:t>
      </w:r>
      <w:r>
        <w:br w:type="page"/>
      </w:r>
    </w:p>
    <w:p w14:paraId="1C649408" w14:textId="77777777" w:rsidR="00E56F42" w:rsidRDefault="00000000">
      <w:pPr>
        <w:pStyle w:val="Heading1"/>
        <w:ind w:left="-5"/>
      </w:pPr>
      <w:r>
        <w:lastRenderedPageBreak/>
        <w:t>References</w:t>
      </w:r>
    </w:p>
    <w:p w14:paraId="598FCAE6" w14:textId="77777777" w:rsidR="00E56F42" w:rsidRDefault="00000000">
      <w:pPr>
        <w:spacing w:after="630" w:line="259" w:lineRule="auto"/>
        <w:ind w:left="0" w:right="0" w:firstLine="0"/>
        <w:jc w:val="left"/>
      </w:pPr>
      <w:r>
        <w:rPr>
          <w:rFonts w:ascii="Calibri" w:eastAsia="Calibri" w:hAnsi="Calibri" w:cs="Calibri"/>
          <w:noProof/>
          <w:sz w:val="22"/>
        </w:rPr>
        <mc:AlternateContent>
          <mc:Choice Requires="wpg">
            <w:drawing>
              <wp:inline distT="0" distB="0" distL="0" distR="0" wp14:anchorId="56A96807" wp14:editId="3C08C90F">
                <wp:extent cx="6120000" cy="19050"/>
                <wp:effectExtent l="0" t="0" r="0" b="0"/>
                <wp:docPr id="26020" name="Group 26020"/>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7626" name="Shape 27626"/>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2127" name="Shape 2127"/>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6020" style="width:481.89pt;height:1.5pt;mso-position-horizontal-relative:char;mso-position-vertical-relative:line" coordsize="61200,190">
                <v:shape id="Shape 27627" style="position:absolute;width:61200;height:190;left:0;top:0;" coordsize="6120000,19050" path="m0,0l6120000,0l6120000,19050l0,19050l0,0">
                  <v:stroke weight="0pt" endcap="flat" joinstyle="miter" miterlimit="10" on="false" color="#000000" opacity="0"/>
                  <v:fill on="true" color="#1e3a8a"/>
                </v:shape>
                <v:shape id="Shape 2127" style="position:absolute;width:0;height:0;left:0;top:0;" coordsize="0,0" path="m0,0l0,0x">
                  <v:stroke weight="0pt" endcap="flat" joinstyle="miter" miterlimit="10" on="false" color="#000000" opacity="0"/>
                  <v:fill on="true" color="#1e3a8a"/>
                </v:shape>
              </v:group>
            </w:pict>
          </mc:Fallback>
        </mc:AlternateContent>
      </w:r>
    </w:p>
    <w:p w14:paraId="7C67CB25" w14:textId="77777777" w:rsidR="00E56F42" w:rsidRDefault="00000000">
      <w:pPr>
        <w:numPr>
          <w:ilvl w:val="0"/>
          <w:numId w:val="4"/>
        </w:numPr>
        <w:spacing w:after="414"/>
        <w:ind w:right="371" w:hanging="318"/>
      </w:pPr>
      <w:proofErr w:type="spellStart"/>
      <w:r>
        <w:t>Breiman</w:t>
      </w:r>
      <w:proofErr w:type="spellEnd"/>
      <w:r>
        <w:t xml:space="preserve">, L. (2001). </w:t>
      </w:r>
      <w:r>
        <w:rPr>
          <w:i/>
        </w:rPr>
        <w:t>Random Forests</w:t>
      </w:r>
      <w:r>
        <w:t>. Machine Learning, 45(1), 5-32.</w:t>
      </w:r>
    </w:p>
    <w:p w14:paraId="34E9325E" w14:textId="77777777" w:rsidR="00E56F42" w:rsidRDefault="00000000">
      <w:pPr>
        <w:numPr>
          <w:ilvl w:val="0"/>
          <w:numId w:val="4"/>
        </w:numPr>
        <w:ind w:right="371" w:hanging="318"/>
      </w:pPr>
      <w:r>
        <w:t xml:space="preserve">Heywood, J. B. (2018). </w:t>
      </w:r>
      <w:r>
        <w:rPr>
          <w:i/>
        </w:rPr>
        <w:t>Internal Combustion Engine Fundamentals</w:t>
      </w:r>
      <w:r>
        <w:t>. McGraw-Hill Education.</w:t>
      </w:r>
    </w:p>
    <w:p w14:paraId="713E1796" w14:textId="77777777" w:rsidR="00E56F42" w:rsidRDefault="00000000">
      <w:pPr>
        <w:numPr>
          <w:ilvl w:val="0"/>
          <w:numId w:val="4"/>
        </w:numPr>
        <w:ind w:right="371" w:hanging="318"/>
      </w:pPr>
      <w:r>
        <w:t xml:space="preserve">McKinney, W. (2010). </w:t>
      </w:r>
      <w:r>
        <w:rPr>
          <w:i/>
        </w:rPr>
        <w:t>Data Structures for Statistical Computing in Python</w:t>
      </w:r>
      <w:r>
        <w:t>. Proceedings of the 9th Python in Science Conference.</w:t>
      </w:r>
    </w:p>
    <w:p w14:paraId="761BD4B8" w14:textId="77777777" w:rsidR="00E56F42" w:rsidRDefault="00000000">
      <w:pPr>
        <w:numPr>
          <w:ilvl w:val="0"/>
          <w:numId w:val="4"/>
        </w:numPr>
        <w:ind w:right="371" w:hanging="318"/>
      </w:pPr>
      <w:r>
        <w:t xml:space="preserve">Microsoft Corporation. (2024). </w:t>
      </w:r>
      <w:r>
        <w:rPr>
          <w:i/>
        </w:rPr>
        <w:t>Data Analysis Expressions (DAX) Core Reference Guide</w:t>
      </w:r>
      <w:r>
        <w:t>. Microsoft Learn Platform.</w:t>
      </w:r>
    </w:p>
    <w:p w14:paraId="24BC812B" w14:textId="77777777" w:rsidR="00E56F42" w:rsidRDefault="00000000">
      <w:pPr>
        <w:numPr>
          <w:ilvl w:val="0"/>
          <w:numId w:val="4"/>
        </w:numPr>
        <w:spacing w:after="375" w:line="414" w:lineRule="auto"/>
        <w:ind w:right="371" w:hanging="318"/>
      </w:pPr>
      <w:r>
        <w:t xml:space="preserve">Smith, J. (2023). </w:t>
      </w:r>
      <w:r>
        <w:rPr>
          <w:i/>
        </w:rPr>
        <w:t>Deep Learning Applications in Powertrain Engineering</w:t>
      </w:r>
      <w:r>
        <w:t>. Springer.</w:t>
      </w:r>
    </w:p>
    <w:p w14:paraId="6EB41EDE" w14:textId="77777777" w:rsidR="00E56F42" w:rsidRDefault="00000000">
      <w:pPr>
        <w:numPr>
          <w:ilvl w:val="0"/>
          <w:numId w:val="4"/>
        </w:numPr>
        <w:spacing w:after="210" w:line="259" w:lineRule="auto"/>
        <w:ind w:right="371" w:hanging="318"/>
      </w:pPr>
      <w:proofErr w:type="spellStart"/>
      <w:r>
        <w:t>Alhusseini</w:t>
      </w:r>
      <w:proofErr w:type="spellEnd"/>
      <w:r>
        <w:t xml:space="preserve">, M. (2024). </w:t>
      </w:r>
      <w:r>
        <w:rPr>
          <w:i/>
        </w:rPr>
        <w:t>Customer Behavior Analysis and Churn Prediction in E-</w:t>
      </w:r>
    </w:p>
    <w:p w14:paraId="0F111919" w14:textId="77777777" w:rsidR="00E56F42" w:rsidRDefault="00000000">
      <w:pPr>
        <w:spacing w:line="259" w:lineRule="auto"/>
        <w:ind w:left="-5" w:right="371"/>
      </w:pPr>
      <w:r>
        <w:rPr>
          <w:i/>
        </w:rPr>
        <w:t>Commerce</w:t>
      </w:r>
      <w:r>
        <w:t>. University of Petra.</w:t>
      </w:r>
    </w:p>
    <w:sectPr w:rsidR="00E56F42">
      <w:footerReference w:type="even" r:id="rId12"/>
      <w:footerReference w:type="default" r:id="rId13"/>
      <w:footerReference w:type="first" r:id="rId14"/>
      <w:pgSz w:w="11906" w:h="16838"/>
      <w:pgMar w:top="1417" w:right="749" w:bottom="1417" w:left="1134" w:header="720" w:footer="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D1DF4" w14:textId="77777777" w:rsidR="001247BA" w:rsidRDefault="001247BA">
      <w:pPr>
        <w:spacing w:after="0" w:line="240" w:lineRule="auto"/>
      </w:pPr>
      <w:r>
        <w:separator/>
      </w:r>
    </w:p>
  </w:endnote>
  <w:endnote w:type="continuationSeparator" w:id="0">
    <w:p w14:paraId="2E997D03" w14:textId="77777777" w:rsidR="001247BA" w:rsidRDefault="0012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9D38" w14:textId="77777777" w:rsidR="00E56F42" w:rsidRDefault="00000000">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78FE4" w14:textId="77777777" w:rsidR="00E56F42" w:rsidRDefault="00000000">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9AE5" w14:textId="77777777" w:rsidR="00E56F42" w:rsidRDefault="00000000">
    <w:pPr>
      <w:tabs>
        <w:tab w:val="right" w:pos="10023"/>
      </w:tabs>
      <w:spacing w:after="0" w:line="259" w:lineRule="auto"/>
      <w:ind w:left="0" w:right="0" w:firstLine="0"/>
      <w:jc w:val="left"/>
    </w:pPr>
    <w:r>
      <w:rPr>
        <w:rFonts w:ascii="Calibri" w:eastAsia="Calibri" w:hAnsi="Calibri" w:cs="Calibri"/>
        <w:color w:val="64748B"/>
        <w:sz w:val="22"/>
      </w:rPr>
      <w:t>Graduation Project - University of Petra</w:t>
    </w:r>
    <w:r>
      <w:rPr>
        <w:rFonts w:ascii="Calibri" w:eastAsia="Calibri" w:hAnsi="Calibri" w:cs="Calibri"/>
        <w:color w:val="64748B"/>
        <w:sz w:val="22"/>
      </w:rPr>
      <w:tab/>
      <w:t xml:space="preserve">Page </w:t>
    </w:r>
    <w:r>
      <w:fldChar w:fldCharType="begin"/>
    </w:r>
    <w:r>
      <w:instrText xml:space="preserve"> PAGE   \* MERGEFORMAT </w:instrText>
    </w:r>
    <w:r>
      <w:fldChar w:fldCharType="separate"/>
    </w:r>
    <w:r>
      <w:rPr>
        <w:rFonts w:ascii="Calibri" w:eastAsia="Calibri" w:hAnsi="Calibri" w:cs="Calibri"/>
        <w:color w:val="64748B"/>
        <w:sz w:val="22"/>
      </w:rPr>
      <w:t>1</w:t>
    </w:r>
    <w:r>
      <w:rPr>
        <w:rFonts w:ascii="Calibri" w:eastAsia="Calibri" w:hAnsi="Calibri" w:cs="Calibri"/>
        <w:color w:val="64748B"/>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11386" w14:textId="77777777" w:rsidR="001247BA" w:rsidRDefault="001247BA">
      <w:pPr>
        <w:spacing w:after="0" w:line="240" w:lineRule="auto"/>
      </w:pPr>
      <w:r>
        <w:separator/>
      </w:r>
    </w:p>
  </w:footnote>
  <w:footnote w:type="continuationSeparator" w:id="0">
    <w:p w14:paraId="53C9EF67" w14:textId="77777777" w:rsidR="001247BA" w:rsidRDefault="00124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52EB9"/>
    <w:multiLevelType w:val="hybridMultilevel"/>
    <w:tmpl w:val="589024DA"/>
    <w:lvl w:ilvl="0" w:tplc="2D3EE812">
      <w:start w:val="1"/>
      <w:numFmt w:val="decimal"/>
      <w:lvlText w:val="%1."/>
      <w:lvlJc w:val="left"/>
      <w:pPr>
        <w:ind w:left="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866515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FAC046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0D035E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96E6A1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DBC2CD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A600B1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02422D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8D0786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8FA0B80"/>
    <w:multiLevelType w:val="multilevel"/>
    <w:tmpl w:val="DA4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22E0B"/>
    <w:multiLevelType w:val="multilevel"/>
    <w:tmpl w:val="32F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7432E"/>
    <w:multiLevelType w:val="hybridMultilevel"/>
    <w:tmpl w:val="1FB23062"/>
    <w:lvl w:ilvl="0" w:tplc="B01A5E24">
      <w:start w:val="1"/>
      <w:numFmt w:val="bullet"/>
      <w:lvlText w:val="•"/>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8884962">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8D4A606">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40466E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2AEB74A">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D4699A">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7DA3174">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062A706">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6BC7F5C">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C282FB7"/>
    <w:multiLevelType w:val="multilevel"/>
    <w:tmpl w:val="8D6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753B5"/>
    <w:multiLevelType w:val="hybridMultilevel"/>
    <w:tmpl w:val="0FF21614"/>
    <w:lvl w:ilvl="0" w:tplc="58DEC44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3E852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78D00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D6370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16B4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50B2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E8B5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BACEB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563C0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C06413E"/>
    <w:multiLevelType w:val="hybridMultilevel"/>
    <w:tmpl w:val="55285D68"/>
    <w:lvl w:ilvl="0" w:tplc="FAECD6DE">
      <w:start w:val="1"/>
      <w:numFmt w:val="decimal"/>
      <w:lvlText w:val="%1."/>
      <w:lvlJc w:val="left"/>
      <w:pPr>
        <w:ind w:left="3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98452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F8B1A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0C569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16946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492C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2C900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D4B80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3C4B8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88785815">
    <w:abstractNumId w:val="0"/>
  </w:num>
  <w:num w:numId="2" w16cid:durableId="42874970">
    <w:abstractNumId w:val="5"/>
  </w:num>
  <w:num w:numId="3" w16cid:durableId="1674600092">
    <w:abstractNumId w:val="3"/>
  </w:num>
  <w:num w:numId="4" w16cid:durableId="1408455949">
    <w:abstractNumId w:val="6"/>
  </w:num>
  <w:num w:numId="5" w16cid:durableId="784156236">
    <w:abstractNumId w:val="4"/>
  </w:num>
  <w:num w:numId="6" w16cid:durableId="157775219">
    <w:abstractNumId w:val="2"/>
  </w:num>
  <w:num w:numId="7" w16cid:durableId="1347173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F42"/>
    <w:rsid w:val="00063155"/>
    <w:rsid w:val="00087F75"/>
    <w:rsid w:val="001247BA"/>
    <w:rsid w:val="001576A5"/>
    <w:rsid w:val="00365E2B"/>
    <w:rsid w:val="00424C27"/>
    <w:rsid w:val="004B62E5"/>
    <w:rsid w:val="005D4005"/>
    <w:rsid w:val="0066382C"/>
    <w:rsid w:val="008960B4"/>
    <w:rsid w:val="00B17636"/>
    <w:rsid w:val="00DC19B7"/>
    <w:rsid w:val="00E56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A5D7"/>
  <w15:docId w15:val="{4E6BCB80-374E-40F0-AC4E-4FA2B78B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4" w:line="406" w:lineRule="auto"/>
      <w:ind w:left="10" w:right="38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E3A8A"/>
      <w:sz w:val="52"/>
    </w:rPr>
  </w:style>
  <w:style w:type="paragraph" w:styleId="Heading2">
    <w:name w:val="heading 2"/>
    <w:next w:val="Normal"/>
    <w:link w:val="Heading2Char"/>
    <w:uiPriority w:val="9"/>
    <w:unhideWhenUsed/>
    <w:qFormat/>
    <w:pPr>
      <w:keepNext/>
      <w:keepLines/>
      <w:spacing w:after="410" w:line="259" w:lineRule="auto"/>
      <w:ind w:left="10" w:hanging="10"/>
      <w:outlineLvl w:val="1"/>
    </w:pPr>
    <w:rPr>
      <w:rFonts w:ascii="Calibri" w:eastAsia="Calibri" w:hAnsi="Calibri" w:cs="Calibri"/>
      <w:b/>
      <w:color w:val="2563EB"/>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E3A8A"/>
      <w:sz w:val="52"/>
    </w:rPr>
  </w:style>
  <w:style w:type="character" w:customStyle="1" w:styleId="Heading2Char">
    <w:name w:val="Heading 2 Char"/>
    <w:link w:val="Heading2"/>
    <w:rPr>
      <w:rFonts w:ascii="Calibri" w:eastAsia="Calibri" w:hAnsi="Calibri" w:cs="Calibri"/>
      <w:b/>
      <w:color w:val="2563EB"/>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C19B7"/>
    <w:rPr>
      <w:sz w:val="16"/>
      <w:szCs w:val="16"/>
    </w:rPr>
  </w:style>
  <w:style w:type="paragraph" w:styleId="CommentText">
    <w:name w:val="annotation text"/>
    <w:basedOn w:val="Normal"/>
    <w:link w:val="CommentTextChar"/>
    <w:uiPriority w:val="99"/>
    <w:semiHidden/>
    <w:unhideWhenUsed/>
    <w:rsid w:val="00DC19B7"/>
    <w:pPr>
      <w:spacing w:line="240" w:lineRule="auto"/>
    </w:pPr>
    <w:rPr>
      <w:sz w:val="20"/>
      <w:szCs w:val="20"/>
    </w:rPr>
  </w:style>
  <w:style w:type="character" w:customStyle="1" w:styleId="CommentTextChar">
    <w:name w:val="Comment Text Char"/>
    <w:basedOn w:val="DefaultParagraphFont"/>
    <w:link w:val="CommentText"/>
    <w:uiPriority w:val="99"/>
    <w:semiHidden/>
    <w:rsid w:val="00DC19B7"/>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C19B7"/>
    <w:rPr>
      <w:b/>
      <w:bCs/>
    </w:rPr>
  </w:style>
  <w:style w:type="character" w:customStyle="1" w:styleId="CommentSubjectChar">
    <w:name w:val="Comment Subject Char"/>
    <w:basedOn w:val="CommentTextChar"/>
    <w:link w:val="CommentSubject"/>
    <w:uiPriority w:val="99"/>
    <w:semiHidden/>
    <w:rsid w:val="00DC19B7"/>
    <w:rPr>
      <w:rFonts w:ascii="Times New Roman" w:eastAsia="Times New Roman" w:hAnsi="Times New Roman" w:cs="Times New Roman"/>
      <w:b/>
      <w:bCs/>
      <w:color w:val="000000"/>
      <w:sz w:val="20"/>
      <w:szCs w:val="20"/>
    </w:rPr>
  </w:style>
  <w:style w:type="table" w:styleId="TableGrid0">
    <w:name w:val="Table Grid"/>
    <w:basedOn w:val="TableNormal"/>
    <w:uiPriority w:val="39"/>
    <w:rsid w:val="00157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576A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104">
      <w:bodyDiv w:val="1"/>
      <w:marLeft w:val="0"/>
      <w:marRight w:val="0"/>
      <w:marTop w:val="0"/>
      <w:marBottom w:val="0"/>
      <w:divBdr>
        <w:top w:val="none" w:sz="0" w:space="0" w:color="auto"/>
        <w:left w:val="none" w:sz="0" w:space="0" w:color="auto"/>
        <w:bottom w:val="none" w:sz="0" w:space="0" w:color="auto"/>
        <w:right w:val="none" w:sz="0" w:space="0" w:color="auto"/>
      </w:divBdr>
    </w:div>
    <w:div w:id="268046994">
      <w:bodyDiv w:val="1"/>
      <w:marLeft w:val="0"/>
      <w:marRight w:val="0"/>
      <w:marTop w:val="0"/>
      <w:marBottom w:val="0"/>
      <w:divBdr>
        <w:top w:val="none" w:sz="0" w:space="0" w:color="auto"/>
        <w:left w:val="none" w:sz="0" w:space="0" w:color="auto"/>
        <w:bottom w:val="none" w:sz="0" w:space="0" w:color="auto"/>
        <w:right w:val="none" w:sz="0" w:space="0" w:color="auto"/>
      </w:divBdr>
    </w:div>
    <w:div w:id="324675652">
      <w:bodyDiv w:val="1"/>
      <w:marLeft w:val="0"/>
      <w:marRight w:val="0"/>
      <w:marTop w:val="0"/>
      <w:marBottom w:val="0"/>
      <w:divBdr>
        <w:top w:val="none" w:sz="0" w:space="0" w:color="auto"/>
        <w:left w:val="none" w:sz="0" w:space="0" w:color="auto"/>
        <w:bottom w:val="none" w:sz="0" w:space="0" w:color="auto"/>
        <w:right w:val="none" w:sz="0" w:space="0" w:color="auto"/>
      </w:divBdr>
    </w:div>
    <w:div w:id="436606211">
      <w:bodyDiv w:val="1"/>
      <w:marLeft w:val="0"/>
      <w:marRight w:val="0"/>
      <w:marTop w:val="0"/>
      <w:marBottom w:val="0"/>
      <w:divBdr>
        <w:top w:val="none" w:sz="0" w:space="0" w:color="auto"/>
        <w:left w:val="none" w:sz="0" w:space="0" w:color="auto"/>
        <w:bottom w:val="none" w:sz="0" w:space="0" w:color="auto"/>
        <w:right w:val="none" w:sz="0" w:space="0" w:color="auto"/>
      </w:divBdr>
    </w:div>
    <w:div w:id="485365517">
      <w:bodyDiv w:val="1"/>
      <w:marLeft w:val="0"/>
      <w:marRight w:val="0"/>
      <w:marTop w:val="0"/>
      <w:marBottom w:val="0"/>
      <w:divBdr>
        <w:top w:val="none" w:sz="0" w:space="0" w:color="auto"/>
        <w:left w:val="none" w:sz="0" w:space="0" w:color="auto"/>
        <w:bottom w:val="none" w:sz="0" w:space="0" w:color="auto"/>
        <w:right w:val="none" w:sz="0" w:space="0" w:color="auto"/>
      </w:divBdr>
    </w:div>
    <w:div w:id="571043807">
      <w:bodyDiv w:val="1"/>
      <w:marLeft w:val="0"/>
      <w:marRight w:val="0"/>
      <w:marTop w:val="0"/>
      <w:marBottom w:val="0"/>
      <w:divBdr>
        <w:top w:val="none" w:sz="0" w:space="0" w:color="auto"/>
        <w:left w:val="none" w:sz="0" w:space="0" w:color="auto"/>
        <w:bottom w:val="none" w:sz="0" w:space="0" w:color="auto"/>
        <w:right w:val="none" w:sz="0" w:space="0" w:color="auto"/>
      </w:divBdr>
    </w:div>
    <w:div w:id="1489403371">
      <w:bodyDiv w:val="1"/>
      <w:marLeft w:val="0"/>
      <w:marRight w:val="0"/>
      <w:marTop w:val="0"/>
      <w:marBottom w:val="0"/>
      <w:divBdr>
        <w:top w:val="none" w:sz="0" w:space="0" w:color="auto"/>
        <w:left w:val="none" w:sz="0" w:space="0" w:color="auto"/>
        <w:bottom w:val="none" w:sz="0" w:space="0" w:color="auto"/>
        <w:right w:val="none" w:sz="0" w:space="0" w:color="auto"/>
      </w:divBdr>
    </w:div>
    <w:div w:id="1552421350">
      <w:bodyDiv w:val="1"/>
      <w:marLeft w:val="0"/>
      <w:marRight w:val="0"/>
      <w:marTop w:val="0"/>
      <w:marBottom w:val="0"/>
      <w:divBdr>
        <w:top w:val="none" w:sz="0" w:space="0" w:color="auto"/>
        <w:left w:val="none" w:sz="0" w:space="0" w:color="auto"/>
        <w:bottom w:val="none" w:sz="0" w:space="0" w:color="auto"/>
        <w:right w:val="none" w:sz="0" w:space="0" w:color="auto"/>
      </w:divBdr>
    </w:div>
    <w:div w:id="1584222843">
      <w:bodyDiv w:val="1"/>
      <w:marLeft w:val="0"/>
      <w:marRight w:val="0"/>
      <w:marTop w:val="0"/>
      <w:marBottom w:val="0"/>
      <w:divBdr>
        <w:top w:val="none" w:sz="0" w:space="0" w:color="auto"/>
        <w:left w:val="none" w:sz="0" w:space="0" w:color="auto"/>
        <w:bottom w:val="none" w:sz="0" w:space="0" w:color="auto"/>
        <w:right w:val="none" w:sz="0" w:space="0" w:color="auto"/>
      </w:divBdr>
    </w:div>
    <w:div w:id="1597788823">
      <w:bodyDiv w:val="1"/>
      <w:marLeft w:val="0"/>
      <w:marRight w:val="0"/>
      <w:marTop w:val="0"/>
      <w:marBottom w:val="0"/>
      <w:divBdr>
        <w:top w:val="none" w:sz="0" w:space="0" w:color="auto"/>
        <w:left w:val="none" w:sz="0" w:space="0" w:color="auto"/>
        <w:bottom w:val="none" w:sz="0" w:space="0" w:color="auto"/>
        <w:right w:val="none" w:sz="0" w:space="0" w:color="auto"/>
      </w:divBdr>
    </w:div>
    <w:div w:id="1755545340">
      <w:bodyDiv w:val="1"/>
      <w:marLeft w:val="0"/>
      <w:marRight w:val="0"/>
      <w:marTop w:val="0"/>
      <w:marBottom w:val="0"/>
      <w:divBdr>
        <w:top w:val="none" w:sz="0" w:space="0" w:color="auto"/>
        <w:left w:val="none" w:sz="0" w:space="0" w:color="auto"/>
        <w:bottom w:val="none" w:sz="0" w:space="0" w:color="auto"/>
        <w:right w:val="none" w:sz="0" w:space="0" w:color="auto"/>
      </w:divBdr>
    </w:div>
    <w:div w:id="1925720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53</Pages>
  <Words>7782</Words>
  <Characters>50900</Characters>
  <Application>Microsoft Office Word</Application>
  <DocSecurity>0</DocSecurity>
  <Lines>978</Lines>
  <Paragraphs>371</Paragraphs>
  <ScaleCrop>false</ScaleCrop>
  <HeadingPairs>
    <vt:vector size="2" baseType="variant">
      <vt:variant>
        <vt:lpstr>Title</vt:lpstr>
      </vt:variant>
      <vt:variant>
        <vt:i4>1</vt:i4>
      </vt:variant>
    </vt:vector>
  </HeadingPairs>
  <TitlesOfParts>
    <vt:vector size="1" baseType="lpstr">
      <vt:lpstr>Final Graduation Project Report - Apex Performance Analytics</vt:lpstr>
    </vt:vector>
  </TitlesOfParts>
  <Company/>
  <LinksUpToDate>false</LinksUpToDate>
  <CharactersWithSpaces>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Graduation Project Report - Apex Performance Analytics</dc:title>
  <dc:subject/>
  <dc:creator>abood fleifel</dc:creator>
  <cp:keywords/>
  <cp:lastModifiedBy>abood fleifel</cp:lastModifiedBy>
  <cp:revision>4</cp:revision>
  <dcterms:created xsi:type="dcterms:W3CDTF">2026-05-31T18:40:00Z</dcterms:created>
  <dcterms:modified xsi:type="dcterms:W3CDTF">2026-05-31T20:27:00Z</dcterms:modified>
</cp:coreProperties>
</file>