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EA1F8">
      <w:r>
        <w:br w:type="textWrapping"/>
      </w:r>
      <w:r>
        <w:br w:type="textWrapping"/>
      </w:r>
      <w:r>
        <w:br w:type="textWrapping"/>
      </w:r>
    </w:p>
    <w:p w14:paraId="3A1837A6">
      <w:pPr>
        <w:jc w:val="center"/>
      </w:pPr>
      <w:r>
        <w:rPr>
          <w:b/>
          <w:color w:val="2F75B5"/>
          <w:sz w:val="36"/>
        </w:rPr>
        <w:t>功能一：智能交通协同管控算法抽象设计与建模</w:t>
      </w:r>
    </w:p>
    <w:p w14:paraId="7D52DD39">
      <w:pPr>
        <w:jc w:val="center"/>
      </w:pPr>
      <w:r>
        <w:rPr>
          <w:b/>
          <w:color w:val="1F4E79"/>
          <w:sz w:val="54"/>
        </w:rPr>
        <w:t>任务二：算法逻辑与可视化验证</w:t>
      </w:r>
    </w:p>
    <w:p w14:paraId="414560A2">
      <w:pPr>
        <w:jc w:val="center"/>
      </w:pPr>
      <w:r>
        <w:rPr>
          <w:color w:val="4F6475"/>
          <w:sz w:val="40"/>
        </w:rPr>
        <w:t>提交说明报告</w:t>
      </w:r>
    </w:p>
    <w:p w14:paraId="03FA1CB2">
      <w:r>
        <w:br w:type="textWrapping"/>
      </w:r>
      <w:r>
        <w:br w:type="textWrapping"/>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7"/>
        <w:gridCol w:w="7445"/>
      </w:tblGrid>
      <w:tr w14:paraId="1A54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47" w:type="dxa"/>
            <w:shd w:val="clear" w:color="auto" w:fill="1F4E79"/>
            <w:tcMar>
              <w:top w:w="100" w:type="dxa"/>
              <w:left w:w="100" w:type="dxa"/>
              <w:bottom w:w="100" w:type="dxa"/>
              <w:right w:w="100" w:type="dxa"/>
            </w:tcMar>
            <w:vAlign w:val="center"/>
          </w:tcPr>
          <w:p w14:paraId="0CA5806F">
            <w:pPr>
              <w:snapToGrid w:val="0"/>
              <w:spacing w:after="0" w:line="240" w:lineRule="auto"/>
            </w:pPr>
            <w:r>
              <w:rPr>
                <w:rFonts w:ascii="微软雅黑" w:hAnsi="微软雅黑" w:eastAsia="微软雅黑"/>
                <w:b/>
                <w:color w:val="FFFFFF"/>
                <w:sz w:val="18"/>
              </w:rPr>
              <w:t>报告属性</w:t>
            </w:r>
          </w:p>
        </w:tc>
        <w:tc>
          <w:tcPr>
            <w:tcW w:w="7445" w:type="dxa"/>
            <w:shd w:val="clear" w:color="auto" w:fill="1F4E79"/>
            <w:tcMar>
              <w:top w:w="100" w:type="dxa"/>
              <w:left w:w="100" w:type="dxa"/>
              <w:bottom w:w="100" w:type="dxa"/>
              <w:right w:w="100" w:type="dxa"/>
            </w:tcMar>
            <w:vAlign w:val="center"/>
          </w:tcPr>
          <w:p w14:paraId="00C2329B">
            <w:pPr>
              <w:snapToGrid w:val="0"/>
              <w:spacing w:after="0" w:line="240" w:lineRule="auto"/>
            </w:pPr>
            <w:r>
              <w:rPr>
                <w:rFonts w:ascii="微软雅黑" w:hAnsi="微软雅黑" w:eastAsia="微软雅黑"/>
                <w:b/>
                <w:color w:val="FFFFFF"/>
                <w:sz w:val="18"/>
              </w:rPr>
              <w:t>内容</w:t>
            </w:r>
          </w:p>
        </w:tc>
      </w:tr>
      <w:tr w14:paraId="1A3D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47" w:type="dxa"/>
            <w:tcMar>
              <w:top w:w="100" w:type="dxa"/>
              <w:left w:w="100" w:type="dxa"/>
              <w:bottom w:w="100" w:type="dxa"/>
              <w:right w:w="100" w:type="dxa"/>
            </w:tcMar>
            <w:vAlign w:val="center"/>
          </w:tcPr>
          <w:p w14:paraId="5C11DE30">
            <w:pPr>
              <w:snapToGrid w:val="0"/>
              <w:spacing w:after="0" w:line="240" w:lineRule="auto"/>
            </w:pPr>
            <w:r>
              <w:rPr>
                <w:rFonts w:ascii="微软雅黑" w:hAnsi="微软雅黑" w:eastAsia="微软雅黑"/>
                <w:b w:val="0"/>
                <w:sz w:val="17"/>
              </w:rPr>
              <w:t>项目名称</w:t>
            </w:r>
          </w:p>
        </w:tc>
        <w:tc>
          <w:tcPr>
            <w:tcW w:w="7445" w:type="dxa"/>
            <w:tcMar>
              <w:top w:w="100" w:type="dxa"/>
              <w:left w:w="100" w:type="dxa"/>
              <w:bottom w:w="100" w:type="dxa"/>
              <w:right w:w="100" w:type="dxa"/>
            </w:tcMar>
            <w:vAlign w:val="center"/>
          </w:tcPr>
          <w:p w14:paraId="6AA07794">
            <w:pPr>
              <w:snapToGrid w:val="0"/>
              <w:spacing w:after="0" w:line="240" w:lineRule="auto"/>
            </w:pPr>
            <w:r>
              <w:rPr>
                <w:rFonts w:ascii="微软雅黑" w:hAnsi="微软雅黑" w:eastAsia="微软雅黑"/>
                <w:b w:val="0"/>
                <w:sz w:val="17"/>
              </w:rPr>
              <w:t>车路云仿真智能交通协同管控算法</w:t>
            </w:r>
          </w:p>
        </w:tc>
      </w:tr>
      <w:tr w14:paraId="0304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47" w:type="dxa"/>
            <w:tcMar>
              <w:top w:w="100" w:type="dxa"/>
              <w:left w:w="100" w:type="dxa"/>
              <w:bottom w:w="100" w:type="dxa"/>
              <w:right w:w="100" w:type="dxa"/>
            </w:tcMar>
            <w:vAlign w:val="center"/>
          </w:tcPr>
          <w:p w14:paraId="0AF5A1A0">
            <w:pPr>
              <w:snapToGrid w:val="0"/>
              <w:spacing w:after="0" w:line="240" w:lineRule="auto"/>
            </w:pPr>
            <w:r>
              <w:rPr>
                <w:rFonts w:ascii="微软雅黑" w:hAnsi="微软雅黑" w:eastAsia="微软雅黑"/>
                <w:b w:val="0"/>
                <w:sz w:val="17"/>
              </w:rPr>
              <w:t>验证对象</w:t>
            </w:r>
          </w:p>
        </w:tc>
        <w:tc>
          <w:tcPr>
            <w:tcW w:w="7445" w:type="dxa"/>
            <w:tcMar>
              <w:top w:w="100" w:type="dxa"/>
              <w:left w:w="100" w:type="dxa"/>
              <w:bottom w:w="100" w:type="dxa"/>
              <w:right w:w="100" w:type="dxa"/>
            </w:tcMar>
            <w:vAlign w:val="center"/>
          </w:tcPr>
          <w:p w14:paraId="03E2EBF7">
            <w:pPr>
              <w:snapToGrid w:val="0"/>
              <w:spacing w:after="0" w:line="240" w:lineRule="auto"/>
            </w:pPr>
            <w:r>
              <w:rPr>
                <w:rFonts w:ascii="微软雅黑" w:hAnsi="微软雅黑" w:eastAsia="微软雅黑"/>
                <w:b w:val="0"/>
                <w:sz w:val="17"/>
              </w:rPr>
              <w:t>路口 2 SUMO 仿真验证工程</w:t>
            </w:r>
          </w:p>
        </w:tc>
      </w:tr>
      <w:tr w14:paraId="546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47" w:type="dxa"/>
            <w:tcMar>
              <w:top w:w="100" w:type="dxa"/>
              <w:left w:w="100" w:type="dxa"/>
              <w:bottom w:w="100" w:type="dxa"/>
              <w:right w:w="100" w:type="dxa"/>
            </w:tcMar>
            <w:vAlign w:val="center"/>
          </w:tcPr>
          <w:p w14:paraId="6837B511">
            <w:pPr>
              <w:snapToGrid w:val="0"/>
              <w:spacing w:after="0" w:line="240" w:lineRule="auto"/>
            </w:pPr>
            <w:r>
              <w:rPr>
                <w:rFonts w:ascii="微软雅黑" w:hAnsi="微软雅黑" w:eastAsia="微软雅黑"/>
                <w:b w:val="0"/>
                <w:sz w:val="17"/>
              </w:rPr>
              <w:t>控制策略</w:t>
            </w:r>
          </w:p>
        </w:tc>
        <w:tc>
          <w:tcPr>
            <w:tcW w:w="7445" w:type="dxa"/>
            <w:tcMar>
              <w:top w:w="100" w:type="dxa"/>
              <w:left w:w="100" w:type="dxa"/>
              <w:bottom w:w="100" w:type="dxa"/>
              <w:right w:w="100" w:type="dxa"/>
            </w:tcMar>
            <w:vAlign w:val="center"/>
          </w:tcPr>
          <w:p w14:paraId="3E2FCEB9">
            <w:pPr>
              <w:snapToGrid w:val="0"/>
              <w:spacing w:after="0" w:line="240" w:lineRule="auto"/>
            </w:pPr>
            <w:r>
              <w:rPr>
                <w:rFonts w:ascii="微软雅黑" w:hAnsi="微软雅黑" w:eastAsia="微软雅黑"/>
                <w:b w:val="0"/>
                <w:sz w:val="17"/>
              </w:rPr>
              <w:t>基于实时排队压力的自适应信号控制</w:t>
            </w:r>
          </w:p>
        </w:tc>
      </w:tr>
      <w:tr w14:paraId="09BA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47" w:type="dxa"/>
            <w:tcMar>
              <w:top w:w="100" w:type="dxa"/>
              <w:left w:w="100" w:type="dxa"/>
              <w:bottom w:w="100" w:type="dxa"/>
              <w:right w:w="100" w:type="dxa"/>
            </w:tcMar>
            <w:vAlign w:val="center"/>
          </w:tcPr>
          <w:p w14:paraId="786469AE">
            <w:pPr>
              <w:snapToGrid w:val="0"/>
              <w:spacing w:after="0" w:line="240" w:lineRule="auto"/>
            </w:pPr>
            <w:r>
              <w:rPr>
                <w:rFonts w:ascii="微软雅黑" w:hAnsi="微软雅黑" w:eastAsia="微软雅黑"/>
                <w:b w:val="0"/>
                <w:sz w:val="17"/>
              </w:rPr>
              <w:t>对比基线</w:t>
            </w:r>
          </w:p>
        </w:tc>
        <w:tc>
          <w:tcPr>
            <w:tcW w:w="7445" w:type="dxa"/>
            <w:tcMar>
              <w:top w:w="100" w:type="dxa"/>
              <w:left w:w="100" w:type="dxa"/>
              <w:bottom w:w="100" w:type="dxa"/>
              <w:right w:w="100" w:type="dxa"/>
            </w:tcMar>
            <w:vAlign w:val="center"/>
          </w:tcPr>
          <w:p w14:paraId="727F5317">
            <w:pPr>
              <w:snapToGrid w:val="0"/>
              <w:spacing w:after="0" w:line="240" w:lineRule="auto"/>
            </w:pPr>
            <w:r>
              <w:rPr>
                <w:rFonts w:ascii="微软雅黑" w:hAnsi="微软雅黑" w:eastAsia="微软雅黑"/>
                <w:b w:val="0"/>
                <w:sz w:val="17"/>
              </w:rPr>
              <w:t>固定配时信号控制</w:t>
            </w:r>
          </w:p>
        </w:tc>
      </w:tr>
      <w:tr w14:paraId="25CEA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47" w:type="dxa"/>
            <w:tcMar>
              <w:top w:w="100" w:type="dxa"/>
              <w:left w:w="100" w:type="dxa"/>
              <w:bottom w:w="100" w:type="dxa"/>
              <w:right w:w="100" w:type="dxa"/>
            </w:tcMar>
            <w:vAlign w:val="center"/>
          </w:tcPr>
          <w:p w14:paraId="09CEF45E">
            <w:pPr>
              <w:snapToGrid w:val="0"/>
              <w:spacing w:after="0" w:line="240" w:lineRule="auto"/>
            </w:pPr>
            <w:r>
              <w:rPr>
                <w:rFonts w:ascii="微软雅黑" w:hAnsi="微软雅黑" w:eastAsia="微软雅黑"/>
                <w:b w:val="0"/>
                <w:sz w:val="17"/>
              </w:rPr>
              <w:t>仿真时长</w:t>
            </w:r>
          </w:p>
        </w:tc>
        <w:tc>
          <w:tcPr>
            <w:tcW w:w="7445" w:type="dxa"/>
            <w:tcMar>
              <w:top w:w="100" w:type="dxa"/>
              <w:left w:w="100" w:type="dxa"/>
              <w:bottom w:w="100" w:type="dxa"/>
              <w:right w:w="100" w:type="dxa"/>
            </w:tcMar>
            <w:vAlign w:val="center"/>
          </w:tcPr>
          <w:p w14:paraId="1BA178D6">
            <w:pPr>
              <w:snapToGrid w:val="0"/>
              <w:spacing w:after="0" w:line="240" w:lineRule="auto"/>
            </w:pPr>
            <w:r>
              <w:rPr>
                <w:rFonts w:ascii="微软雅黑" w:hAnsi="微软雅黑" w:eastAsia="微软雅黑"/>
                <w:b w:val="0"/>
                <w:sz w:val="17"/>
              </w:rPr>
              <w:t>7200 s（早高峰场景）</w:t>
            </w:r>
          </w:p>
        </w:tc>
      </w:tr>
      <w:tr w14:paraId="5352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47" w:type="dxa"/>
            <w:tcMar>
              <w:top w:w="100" w:type="dxa"/>
              <w:left w:w="100" w:type="dxa"/>
              <w:bottom w:w="100" w:type="dxa"/>
              <w:right w:w="100" w:type="dxa"/>
            </w:tcMar>
            <w:vAlign w:val="center"/>
          </w:tcPr>
          <w:p w14:paraId="12DA98F4">
            <w:pPr>
              <w:snapToGrid w:val="0"/>
              <w:spacing w:after="0" w:line="240" w:lineRule="auto"/>
            </w:pPr>
            <w:r>
              <w:rPr>
                <w:rFonts w:ascii="微软雅黑" w:hAnsi="微软雅黑" w:eastAsia="微软雅黑"/>
                <w:b w:val="0"/>
                <w:sz w:val="17"/>
              </w:rPr>
              <w:t>报告版本</w:t>
            </w:r>
          </w:p>
        </w:tc>
        <w:tc>
          <w:tcPr>
            <w:tcW w:w="7445" w:type="dxa"/>
            <w:tcMar>
              <w:top w:w="100" w:type="dxa"/>
              <w:left w:w="100" w:type="dxa"/>
              <w:bottom w:w="100" w:type="dxa"/>
              <w:right w:w="100" w:type="dxa"/>
            </w:tcMar>
            <w:vAlign w:val="center"/>
          </w:tcPr>
          <w:p w14:paraId="182AAA9A">
            <w:pPr>
              <w:snapToGrid w:val="0"/>
              <w:spacing w:after="0" w:line="240" w:lineRule="auto"/>
            </w:pPr>
            <w:r>
              <w:rPr>
                <w:rFonts w:ascii="微软雅黑" w:hAnsi="微软雅黑" w:eastAsia="微软雅黑"/>
                <w:b w:val="0"/>
                <w:sz w:val="17"/>
              </w:rPr>
              <w:t>V1.0｜2026 年 8 月</w:t>
            </w:r>
          </w:p>
        </w:tc>
      </w:tr>
    </w:tbl>
    <w:p w14:paraId="65DDC7B1">
      <w:pPr>
        <w:spacing w:after="20"/>
      </w:pPr>
    </w:p>
    <w:p w14:paraId="535C97D4">
      <w:r>
        <w:br w:type="page"/>
      </w:r>
    </w:p>
    <w:p w14:paraId="0C5C98A2">
      <w:pPr>
        <w:pStyle w:val="3"/>
        <w:keepNext/>
        <w:rPr>
          <w:rFonts w:hint="eastAsia" w:ascii="微软雅黑" w:hAnsi="微软雅黑" w:eastAsia="微软雅黑" w:cs="微软雅黑"/>
        </w:rPr>
      </w:pPr>
      <w:r>
        <w:rPr>
          <w:rFonts w:hint="eastAsia" w:ascii="微软雅黑" w:hAnsi="微软雅黑" w:eastAsia="微软雅黑" w:cs="微软雅黑"/>
        </w:rPr>
        <w:t>目录与报告说明</w:t>
      </w:r>
    </w:p>
    <w:p w14:paraId="73271151">
      <w:pPr>
        <w:spacing w:after="120" w:line="324" w:lineRule="auto"/>
        <w:ind w:firstLine="400"/>
      </w:pPr>
      <w:r>
        <w:t>本报告用于说明“功能一任务二：算法逻辑与可视化验证”的提交材料、实现内容、运行方法、实验结果和验收对应关系。报告内容以提交目录中的源代码、SUMO 场景、结果 JSON/XML、性能图和复现说明为依据，所有指标均可通过原始结果文件追溯。</w:t>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2"/>
        <w:gridCol w:w="5950"/>
      </w:tblGrid>
      <w:tr w14:paraId="49B7C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842" w:type="dxa"/>
            <w:shd w:val="clear" w:color="auto" w:fill="1F4E79"/>
            <w:vAlign w:val="center"/>
          </w:tcPr>
          <w:p w14:paraId="7C1DDD06">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章节</w:t>
            </w:r>
          </w:p>
        </w:tc>
        <w:tc>
          <w:tcPr>
            <w:tcW w:w="5950" w:type="dxa"/>
            <w:shd w:val="clear" w:color="auto" w:fill="1F4E79"/>
            <w:vAlign w:val="center"/>
          </w:tcPr>
          <w:p w14:paraId="0B804966">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内容</w:t>
            </w:r>
          </w:p>
        </w:tc>
      </w:tr>
      <w:tr w14:paraId="60BC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42" w:type="dxa"/>
            <w:vAlign w:val="center"/>
          </w:tcPr>
          <w:p w14:paraId="773792E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1 项目概况</w:t>
            </w:r>
          </w:p>
        </w:tc>
        <w:tc>
          <w:tcPr>
            <w:tcW w:w="5950" w:type="dxa"/>
            <w:vAlign w:val="center"/>
          </w:tcPr>
          <w:p w14:paraId="1743776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任务目标、实现范围与技术路线</w:t>
            </w:r>
          </w:p>
        </w:tc>
      </w:tr>
      <w:tr w14:paraId="3ECE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42" w:type="dxa"/>
            <w:vAlign w:val="center"/>
          </w:tcPr>
          <w:p w14:paraId="7970C2E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2 算法设计</w:t>
            </w:r>
          </w:p>
        </w:tc>
        <w:tc>
          <w:tcPr>
            <w:tcW w:w="5950" w:type="dxa"/>
            <w:vAlign w:val="center"/>
          </w:tcPr>
          <w:p w14:paraId="31F67EC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控制策略、核心逻辑和流程</w:t>
            </w:r>
          </w:p>
        </w:tc>
      </w:tr>
      <w:tr w14:paraId="63F9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42" w:type="dxa"/>
            <w:vAlign w:val="center"/>
          </w:tcPr>
          <w:p w14:paraId="38734E8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3 仿真场景与实验设置</w:t>
            </w:r>
          </w:p>
        </w:tc>
        <w:tc>
          <w:tcPr>
            <w:tcW w:w="5950" w:type="dxa"/>
            <w:vAlign w:val="center"/>
          </w:tcPr>
          <w:p w14:paraId="1897A52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网络、流量、相位、参数和随机种子</w:t>
            </w:r>
          </w:p>
        </w:tc>
      </w:tr>
      <w:tr w14:paraId="3A49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42" w:type="dxa"/>
            <w:vAlign w:val="center"/>
          </w:tcPr>
          <w:p w14:paraId="261BC26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4 运行与可视化验证</w:t>
            </w:r>
          </w:p>
        </w:tc>
        <w:tc>
          <w:tcPr>
            <w:tcW w:w="5950" w:type="dxa"/>
            <w:vAlign w:val="center"/>
          </w:tcPr>
          <w:p w14:paraId="1E45D0F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一键运行、GUI 观察和结果生成</w:t>
            </w:r>
          </w:p>
        </w:tc>
      </w:tr>
      <w:tr w14:paraId="067F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42" w:type="dxa"/>
            <w:vAlign w:val="center"/>
          </w:tcPr>
          <w:p w14:paraId="7135E3F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5 结果分析</w:t>
            </w:r>
          </w:p>
        </w:tc>
        <w:tc>
          <w:tcPr>
            <w:tcW w:w="5950" w:type="dxa"/>
            <w:vAlign w:val="center"/>
          </w:tcPr>
          <w:p w14:paraId="4EE9561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固定配时与自适应方案对比</w:t>
            </w:r>
          </w:p>
        </w:tc>
      </w:tr>
      <w:tr w14:paraId="623B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842" w:type="dxa"/>
            <w:vAlign w:val="center"/>
          </w:tcPr>
          <w:p w14:paraId="233CEA2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6 交付物与验收对应</w:t>
            </w:r>
          </w:p>
        </w:tc>
        <w:tc>
          <w:tcPr>
            <w:tcW w:w="5950" w:type="dxa"/>
            <w:vAlign w:val="center"/>
          </w:tcPr>
          <w:p w14:paraId="46A95AA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文件索引、可追溯关系和验收结论</w:t>
            </w:r>
          </w:p>
        </w:tc>
      </w:tr>
    </w:tbl>
    <w:p w14:paraId="4E2EB371">
      <w:pPr>
        <w:spacing w:after="20"/>
      </w:pPr>
    </w:p>
    <w:p w14:paraId="488A6E98">
      <w:pPr>
        <w:pStyle w:val="3"/>
        <w:keepNext/>
        <w:rPr>
          <w:rFonts w:hint="eastAsia" w:ascii="微软雅黑" w:hAnsi="微软雅黑" w:eastAsia="微软雅黑" w:cs="微软雅黑"/>
        </w:rPr>
      </w:pPr>
      <w:r>
        <w:rPr>
          <w:rFonts w:hint="eastAsia" w:ascii="微软雅黑" w:hAnsi="微软雅黑" w:eastAsia="微软雅黑" w:cs="微软雅黑"/>
        </w:rPr>
        <w:t>1 项目概况</w:t>
      </w:r>
    </w:p>
    <w:p w14:paraId="27CBC2B2">
      <w:pPr>
        <w:spacing w:after="120" w:line="324" w:lineRule="auto"/>
        <w:ind w:firstLine="400"/>
      </w:pPr>
      <w:r>
        <w:t>本任务实现一种交通控制策略并接入 SUMO 仿真，在相同路网、交通流、信号相位顺序和随机种子条件下，与固定配时基线进行对比。控制器通过 TraCI 实时读取车道停车车辆数，在绿灯相位开始时动态调整当前相位绿灯时长，并持续采集排队和车辆运行指标。</w:t>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3534"/>
        <w:gridCol w:w="4629"/>
      </w:tblGrid>
      <w:tr w14:paraId="4E25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29" w:type="dxa"/>
            <w:shd w:val="clear" w:color="auto" w:fill="1F4E79"/>
            <w:vAlign w:val="center"/>
          </w:tcPr>
          <w:p w14:paraId="34890A66">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验收要求</w:t>
            </w:r>
          </w:p>
        </w:tc>
        <w:tc>
          <w:tcPr>
            <w:tcW w:w="3534" w:type="dxa"/>
            <w:shd w:val="clear" w:color="auto" w:fill="1F4E79"/>
            <w:vAlign w:val="center"/>
          </w:tcPr>
          <w:p w14:paraId="08531231">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本项目实现</w:t>
            </w:r>
          </w:p>
        </w:tc>
        <w:tc>
          <w:tcPr>
            <w:tcW w:w="4628" w:type="dxa"/>
            <w:shd w:val="clear" w:color="auto" w:fill="1F4E79"/>
            <w:vAlign w:val="center"/>
          </w:tcPr>
          <w:p w14:paraId="28B7606B">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证据位置</w:t>
            </w:r>
          </w:p>
        </w:tc>
      </w:tr>
      <w:tr w14:paraId="4483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9" w:type="dxa"/>
            <w:vAlign w:val="center"/>
          </w:tcPr>
          <w:p w14:paraId="5442730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控制器核心逻辑</w:t>
            </w:r>
          </w:p>
        </w:tc>
        <w:tc>
          <w:tcPr>
            <w:tcW w:w="3534" w:type="dxa"/>
            <w:vAlign w:val="center"/>
          </w:tcPr>
          <w:p w14:paraId="7A8B4C1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排队压力需求响应式绿灯调整</w:t>
            </w:r>
          </w:p>
        </w:tc>
        <w:tc>
          <w:tcPr>
            <w:tcW w:w="4628" w:type="dxa"/>
            <w:vAlign w:val="center"/>
          </w:tcPr>
          <w:p w14:paraId="4594AD5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01_仿真工程/run_experiment.py</w:t>
            </w:r>
          </w:p>
        </w:tc>
      </w:tr>
      <w:tr w14:paraId="1004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9" w:type="dxa"/>
            <w:vAlign w:val="center"/>
          </w:tcPr>
          <w:p w14:paraId="1ADFEE5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SUMO 适配器</w:t>
            </w:r>
          </w:p>
        </w:tc>
        <w:tc>
          <w:tcPr>
            <w:tcW w:w="3534" w:type="dxa"/>
            <w:vAlign w:val="center"/>
          </w:tcPr>
          <w:p w14:paraId="1165423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TraCI 启动、信号控制、tripinfo 采集</w:t>
            </w:r>
          </w:p>
        </w:tc>
        <w:tc>
          <w:tcPr>
            <w:tcW w:w="4628" w:type="dxa"/>
            <w:vAlign w:val="center"/>
          </w:tcPr>
          <w:p w14:paraId="1D00091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01_仿真工程/run_experiment.py</w:t>
            </w:r>
          </w:p>
        </w:tc>
      </w:tr>
      <w:tr w14:paraId="0D83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9" w:type="dxa"/>
            <w:vAlign w:val="center"/>
          </w:tcPr>
          <w:p w14:paraId="36C3554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运行入口</w:t>
            </w:r>
          </w:p>
        </w:tc>
        <w:tc>
          <w:tcPr>
            <w:tcW w:w="3534" w:type="dxa"/>
            <w:vAlign w:val="center"/>
          </w:tcPr>
          <w:p w14:paraId="3A8EA05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固定/自适应/两者对比三种模式</w:t>
            </w:r>
          </w:p>
        </w:tc>
        <w:tc>
          <w:tcPr>
            <w:tcW w:w="4628" w:type="dxa"/>
            <w:vAlign w:val="center"/>
          </w:tcPr>
          <w:p w14:paraId="7CA31DC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run_experiment.py；一键运行.ps1</w:t>
            </w:r>
          </w:p>
        </w:tc>
      </w:tr>
      <w:tr w14:paraId="52E2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9" w:type="dxa"/>
            <w:vAlign w:val="center"/>
          </w:tcPr>
          <w:p w14:paraId="4FD2C91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可视化/实时监控</w:t>
            </w:r>
          </w:p>
        </w:tc>
        <w:tc>
          <w:tcPr>
            <w:tcW w:w="3534" w:type="dxa"/>
            <w:vAlign w:val="center"/>
          </w:tcPr>
          <w:p w14:paraId="16A6012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SUMO-GUI 观察车辆、排队和灯色切换</w:t>
            </w:r>
          </w:p>
        </w:tc>
        <w:tc>
          <w:tcPr>
            <w:tcW w:w="4628" w:type="dxa"/>
            <w:vAlign w:val="center"/>
          </w:tcPr>
          <w:p w14:paraId="5AEA454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README_运行说明.md；启动SUMO-GUI_自适应.bat</w:t>
            </w:r>
          </w:p>
        </w:tc>
      </w:tr>
      <w:tr w14:paraId="15F4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9" w:type="dxa"/>
            <w:vAlign w:val="center"/>
          </w:tcPr>
          <w:p w14:paraId="7A8A09A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结果汇总</w:t>
            </w:r>
          </w:p>
        </w:tc>
        <w:tc>
          <w:tcPr>
            <w:tcW w:w="3534" w:type="dxa"/>
            <w:vAlign w:val="center"/>
          </w:tcPr>
          <w:p w14:paraId="6C514AF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JSON、CSV、PNG/PDF 和车辆级 XML</w:t>
            </w:r>
          </w:p>
        </w:tc>
        <w:tc>
          <w:tcPr>
            <w:tcW w:w="4628" w:type="dxa"/>
            <w:vAlign w:val="center"/>
          </w:tcPr>
          <w:p w14:paraId="1C1792F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results/；汇总结果.py</w:t>
            </w:r>
          </w:p>
        </w:tc>
      </w:tr>
    </w:tbl>
    <w:p w14:paraId="4C12575F">
      <w:pPr>
        <w:spacing w:after="20"/>
      </w:pPr>
    </w:p>
    <w:p w14:paraId="2003C5C3">
      <w:pPr>
        <w:pStyle w:val="3"/>
        <w:keepNext/>
        <w:rPr>
          <w:rFonts w:hint="eastAsia" w:ascii="微软雅黑" w:hAnsi="微软雅黑" w:eastAsia="微软雅黑" w:cs="微软雅黑"/>
        </w:rPr>
      </w:pPr>
      <w:r>
        <w:rPr>
          <w:rFonts w:hint="eastAsia" w:ascii="微软雅黑" w:hAnsi="微软雅黑" w:eastAsia="微软雅黑" w:cs="微软雅黑"/>
        </w:rPr>
        <w:t>2 算法设计</w:t>
      </w:r>
    </w:p>
    <w:p w14:paraId="4C35632F">
      <w:pPr>
        <w:pStyle w:val="4"/>
        <w:keepNext/>
        <w:rPr>
          <w:rFonts w:hint="eastAsia" w:ascii="微软雅黑" w:hAnsi="微软雅黑" w:eastAsia="微软雅黑" w:cs="微软雅黑"/>
        </w:rPr>
      </w:pPr>
      <w:r>
        <w:rPr>
          <w:rFonts w:hint="eastAsia" w:ascii="微软雅黑" w:hAnsi="微软雅黑" w:eastAsia="微软雅黑" w:cs="微软雅黑"/>
        </w:rPr>
        <w:t>2.1 控制策略</w:t>
      </w:r>
    </w:p>
    <w:p w14:paraId="03494D4B">
      <w:pPr>
        <w:spacing w:after="120" w:line="324" w:lineRule="auto"/>
        <w:ind w:firstLine="400"/>
      </w:pPr>
      <w:r>
        <w:t>采用“需求基础配时 + 实时排队压力反馈”的自适应信号控制。固定方案保留场景中的固定信号程序；自适应方案以基础绿灯时长为参考，根据当前相位停车车辆数在全部相位压力中的需求占比进行绿灯再分配。黄灯、全红、相位顺序和车道控制关系保持不变。</w:t>
      </w:r>
    </w:p>
    <w:p w14:paraId="14EA171B">
      <w:pPr>
        <w:pStyle w:val="4"/>
        <w:keepNext/>
        <w:rPr>
          <w:rFonts w:hint="eastAsia" w:ascii="微软雅黑" w:hAnsi="微软雅黑" w:eastAsia="微软雅黑" w:cs="微软雅黑"/>
        </w:rPr>
      </w:pPr>
      <w:r>
        <w:rPr>
          <w:rFonts w:hint="eastAsia" w:ascii="微软雅黑" w:hAnsi="微软雅黑" w:eastAsia="微软雅黑" w:cs="微软雅黑"/>
        </w:rPr>
        <w:t>2.2 核心控制逻辑</w:t>
      </w:r>
    </w:p>
    <w:p w14:paraId="56D76115">
      <w:pPr>
        <w:pStyle w:val="16"/>
        <w:spacing w:after="60"/>
        <w:ind w:left="360"/>
      </w:pPr>
      <w:r>
        <w:t>每个仿真步读取当前信号相位和受控车道状态。</w:t>
      </w:r>
    </w:p>
    <w:p w14:paraId="505F3589">
      <w:pPr>
        <w:pStyle w:val="16"/>
        <w:spacing w:after="60"/>
        <w:ind w:left="360"/>
      </w:pPr>
      <w:r>
        <w:t>在相位切换时统计各相位专用车道的停车车辆数，形成排队压力。</w:t>
      </w:r>
    </w:p>
    <w:p w14:paraId="4D6A15CF">
      <w:pPr>
        <w:pStyle w:val="16"/>
        <w:spacing w:after="60"/>
        <w:ind w:left="360"/>
      </w:pPr>
      <w:r>
        <w:t>使用 gain=-44 的负反馈公式计算目标绿灯时长，并限制在 12～55 s。</w:t>
      </w:r>
    </w:p>
    <w:p w14:paraId="559D0AB7">
      <w:pPr>
        <w:pStyle w:val="16"/>
        <w:spacing w:after="60"/>
        <w:ind w:left="360"/>
      </w:pPr>
      <w:r>
        <w:t>每步记录进口车道停车车辆总数；仿真结束后解析 tripinfo.xml 计算汇总指标。</w:t>
      </w:r>
    </w:p>
    <w:p w14:paraId="12D71B92">
      <w:pPr>
        <w:pStyle w:val="4"/>
        <w:keepNext/>
        <w:rPr>
          <w:rFonts w:hint="eastAsia" w:ascii="微软雅黑" w:hAnsi="微软雅黑" w:eastAsia="微软雅黑" w:cs="微软雅黑"/>
        </w:rPr>
      </w:pPr>
      <w:r>
        <w:rPr>
          <w:rFonts w:hint="eastAsia" w:ascii="微软雅黑" w:hAnsi="微软雅黑" w:eastAsia="微软雅黑" w:cs="微软雅黑"/>
        </w:rPr>
        <w:t>2.3 算法流程（文字化）</w:t>
      </w:r>
    </w:p>
    <w:p w14:paraId="43A12890">
      <w:pPr>
        <w:spacing w:after="120" w:line="324" w:lineRule="auto"/>
        <w:ind w:firstLine="400"/>
      </w:pPr>
      <w:r>
        <w:t>读取场景与配置 → 启动 SUMO/TraCI → 判断是否进入新相位 → 读取各相位排队压力 → 计算并限幅目标绿灯时长 → 调用 setPhaseDuration → 记录队列并推进 simulationStep → 达到时长后解析 tripinfo.xml → 输出 JSON、CSV、PNG/PDF。</w:t>
      </w:r>
    </w:p>
    <w:p w14:paraId="2A0FEA27">
      <w:pPr>
        <w:pStyle w:val="3"/>
        <w:keepNext/>
        <w:rPr>
          <w:rFonts w:hint="eastAsia" w:ascii="微软雅黑" w:hAnsi="微软雅黑" w:eastAsia="微软雅黑" w:cs="微软雅黑"/>
        </w:rPr>
      </w:pPr>
      <w:r>
        <w:rPr>
          <w:rFonts w:hint="eastAsia" w:ascii="微软雅黑" w:hAnsi="微软雅黑" w:eastAsia="微软雅黑" w:cs="微软雅黑"/>
        </w:rPr>
        <w:t>3 仿真场景与实验设置</w:t>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7860"/>
      </w:tblGrid>
      <w:tr w14:paraId="2627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32" w:type="dxa"/>
            <w:shd w:val="clear" w:color="auto" w:fill="1F4E79"/>
            <w:vAlign w:val="center"/>
          </w:tcPr>
          <w:p w14:paraId="3AA78608">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项目</w:t>
            </w:r>
          </w:p>
        </w:tc>
        <w:tc>
          <w:tcPr>
            <w:tcW w:w="7860" w:type="dxa"/>
            <w:shd w:val="clear" w:color="auto" w:fill="1F4E79"/>
            <w:vAlign w:val="center"/>
          </w:tcPr>
          <w:p w14:paraId="4D285665">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设置</w:t>
            </w:r>
          </w:p>
        </w:tc>
      </w:tr>
      <w:tr w14:paraId="66FA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062771E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仿真平台</w:t>
            </w:r>
          </w:p>
        </w:tc>
        <w:tc>
          <w:tcPr>
            <w:tcW w:w="7860" w:type="dxa"/>
            <w:vAlign w:val="center"/>
          </w:tcPr>
          <w:p w14:paraId="4D11A99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Eclipse SUMO 1.19+；当前验证环境为 SUMO 1.27.1</w:t>
            </w:r>
          </w:p>
        </w:tc>
      </w:tr>
      <w:tr w14:paraId="3145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6C0A199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场景输入</w:t>
            </w:r>
          </w:p>
        </w:tc>
        <w:tc>
          <w:tcPr>
            <w:tcW w:w="7860" w:type="dxa"/>
            <w:vAlign w:val="center"/>
          </w:tcPr>
          <w:p w14:paraId="1C776DC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scenario/demo_1_流量和配时方案.xlsx</w:t>
            </w:r>
          </w:p>
        </w:tc>
      </w:tr>
      <w:tr w14:paraId="0664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3259C7B1">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网络与路由</w:t>
            </w:r>
          </w:p>
        </w:tc>
        <w:tc>
          <w:tcPr>
            <w:tcW w:w="7860" w:type="dxa"/>
            <w:vAlign w:val="center"/>
          </w:tcPr>
          <w:p w14:paraId="3D0A321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scenario/dataset_1.net.xml、dataset_1.rou.xml</w:t>
            </w:r>
          </w:p>
        </w:tc>
      </w:tr>
      <w:tr w14:paraId="621E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2B7C5B8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信号配置</w:t>
            </w:r>
          </w:p>
        </w:tc>
        <w:tc>
          <w:tcPr>
            <w:tcW w:w="7860" w:type="dxa"/>
            <w:vAlign w:val="center"/>
          </w:tcPr>
          <w:p w14:paraId="08C4C45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scenario/dataset_1.add.xml；四相位专用车道控制</w:t>
            </w:r>
          </w:p>
        </w:tc>
      </w:tr>
      <w:tr w14:paraId="54E0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1401358A">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交通需求</w:t>
            </w:r>
          </w:p>
        </w:tc>
        <w:tc>
          <w:tcPr>
            <w:tcW w:w="7860" w:type="dxa"/>
            <w:vAlign w:val="center"/>
          </w:tcPr>
          <w:p w14:paraId="6B351E8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早高峰 8 个 15 分钟区间，共 96 条交通流</w:t>
            </w:r>
          </w:p>
        </w:tc>
      </w:tr>
      <w:tr w14:paraId="0441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4F676B4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对比条件</w:t>
            </w:r>
          </w:p>
        </w:tc>
        <w:tc>
          <w:tcPr>
            <w:tcW w:w="7860" w:type="dxa"/>
            <w:vAlign w:val="center"/>
          </w:tcPr>
          <w:p w14:paraId="186B406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固定/自适应共用同一场景、流量、相位顺序和随机种子</w:t>
            </w:r>
          </w:p>
        </w:tc>
      </w:tr>
      <w:tr w14:paraId="4B25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2BAB114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仿真时长</w:t>
            </w:r>
          </w:p>
        </w:tc>
        <w:tc>
          <w:tcPr>
            <w:tcW w:w="7860" w:type="dxa"/>
            <w:vAlign w:val="center"/>
          </w:tcPr>
          <w:p w14:paraId="5BF2F40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7200 s</w:t>
            </w:r>
          </w:p>
        </w:tc>
      </w:tr>
      <w:tr w14:paraId="2867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0756D7F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随机种子</w:t>
            </w:r>
          </w:p>
        </w:tc>
        <w:tc>
          <w:tcPr>
            <w:tcW w:w="7860" w:type="dxa"/>
            <w:vAlign w:val="center"/>
          </w:tcPr>
          <w:p w14:paraId="481B708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42</w:t>
            </w:r>
          </w:p>
        </w:tc>
      </w:tr>
      <w:tr w14:paraId="4D1B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32" w:type="dxa"/>
            <w:vAlign w:val="center"/>
          </w:tcPr>
          <w:p w14:paraId="5B4FCD7C">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自适应增益</w:t>
            </w:r>
          </w:p>
        </w:tc>
        <w:tc>
          <w:tcPr>
            <w:tcW w:w="7860" w:type="dxa"/>
            <w:vAlign w:val="center"/>
          </w:tcPr>
          <w:p w14:paraId="3B09FDE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-44.0；目标绿灯限幅 12～55 s</w:t>
            </w:r>
          </w:p>
        </w:tc>
      </w:tr>
    </w:tbl>
    <w:p w14:paraId="48706A91">
      <w:pPr>
        <w:spacing w:after="20"/>
      </w:pPr>
    </w:p>
    <w:p w14:paraId="16E1A1CA">
      <w:pPr>
        <w:spacing w:after="120" w:line="324" w:lineRule="auto"/>
        <w:ind w:firstLine="400"/>
      </w:pPr>
      <w:r>
        <w:t>场景准备脚本 prepare_dataset1_scenario.py 在运行前根据 Excel 输入生成 SUMO 网络、路线、附加信号程序和 sumocfg 文件，确保输入可复现且不依赖个人绝对路径。</w:t>
      </w:r>
    </w:p>
    <w:p w14:paraId="3AAA8EAC">
      <w:pPr>
        <w:pStyle w:val="3"/>
        <w:keepNext/>
        <w:rPr>
          <w:rFonts w:hint="eastAsia" w:ascii="微软雅黑" w:hAnsi="微软雅黑" w:eastAsia="微软雅黑" w:cs="微软雅黑"/>
        </w:rPr>
      </w:pPr>
      <w:r>
        <w:rPr>
          <w:rFonts w:hint="eastAsia" w:ascii="微软雅黑" w:hAnsi="微软雅黑" w:eastAsia="微软雅黑" w:cs="微软雅黑"/>
        </w:rPr>
        <w:t>4 运行与可视化验证</w:t>
      </w:r>
    </w:p>
    <w:p w14:paraId="6F0E4E11">
      <w:pPr>
        <w:pStyle w:val="4"/>
        <w:keepNext/>
        <w:rPr>
          <w:rFonts w:hint="eastAsia" w:ascii="微软雅黑" w:hAnsi="微软雅黑" w:eastAsia="微软雅黑" w:cs="微软雅黑"/>
        </w:rPr>
      </w:pPr>
      <w:r>
        <w:rPr>
          <w:rFonts w:hint="eastAsia" w:ascii="微软雅黑" w:hAnsi="微软雅黑" w:eastAsia="微软雅黑" w:cs="微软雅黑"/>
        </w:rPr>
        <w:t>4.1 一键运行</w:t>
      </w:r>
    </w:p>
    <w:p w14:paraId="27E49BB3">
      <w:pPr>
        <w:spacing w:after="160"/>
        <w:ind w:left="360"/>
      </w:pPr>
      <w:r>
        <w:rPr>
          <w:rFonts w:ascii="Consolas" w:hAnsi="Consolas"/>
          <w:color w:val="1F4E79"/>
          <w:sz w:val="18"/>
        </w:rPr>
        <w:t>&amp; ".\run_task2.ps1"</w:t>
      </w:r>
    </w:p>
    <w:p w14:paraId="16E3B50A">
      <w:pPr>
        <w:spacing w:after="120" w:line="324" w:lineRule="auto"/>
        <w:ind w:firstLine="400"/>
      </w:pPr>
      <w:r>
        <w:t>在任务根目录双击“run_task2.bat”，或在 PowerShell 中执行上述完整命令。请执行脚本文件，不要将 .ps1 文件内容逐行粘贴到终端。run_task2.ps1 采用全英文 ASCII 内容，兼容 Windows PowerShell 的脚本编码解析；入口会依次运行固定配时与自适应仿真、生成性能对比图，并将两个 metrics JSON 汇总为 results/summary.csv。也可分别使用 run_experiment.py 的 --mode fixed、--mode adaptive 或 --mode both。</w:t>
      </w:r>
    </w:p>
    <w:p w14:paraId="4EA81F10">
      <w:pPr>
        <w:pStyle w:val="4"/>
        <w:keepNext/>
        <w:rPr>
          <w:rFonts w:hint="eastAsia" w:ascii="微软雅黑" w:hAnsi="微软雅黑" w:eastAsia="微软雅黑" w:cs="微软雅黑"/>
        </w:rPr>
      </w:pPr>
      <w:r>
        <w:rPr>
          <w:rFonts w:hint="eastAsia" w:ascii="微软雅黑" w:hAnsi="微软雅黑" w:eastAsia="微软雅黑" w:cs="微软雅黑"/>
        </w:rPr>
        <w:t>4.2 SUMO-GUI 实时观察</w:t>
      </w:r>
    </w:p>
    <w:p w14:paraId="59772CC2">
      <w:pPr>
        <w:spacing w:after="120" w:line="324" w:lineRule="auto"/>
        <w:ind w:firstLine="400"/>
      </w:pPr>
      <w:r>
        <w:t>执行 python .\run_experiment.py --mode adaptive --gui --duration 7200，SUMO-GUI 将显示车辆运行、排队形成与信号灯色切换过程。固定配时可使用 --mode fixed --gui 运行对照。GUI 启动批处理文件位于 01_仿真工程 目录。</w:t>
      </w:r>
    </w:p>
    <w:p w14:paraId="374ECE98">
      <w:pPr>
        <w:pStyle w:val="4"/>
        <w:keepNext/>
        <w:rPr>
          <w:rFonts w:hint="eastAsia" w:ascii="微软雅黑" w:hAnsi="微软雅黑" w:eastAsia="微软雅黑" w:cs="微软雅黑"/>
        </w:rPr>
      </w:pPr>
      <w:r>
        <w:rPr>
          <w:rFonts w:hint="eastAsia" w:ascii="微软雅黑" w:hAnsi="微软雅黑" w:eastAsia="微软雅黑" w:cs="微软雅黑"/>
        </w:rPr>
        <w:t>4.3 结果生成链路</w:t>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3"/>
        <w:gridCol w:w="2386"/>
        <w:gridCol w:w="2743"/>
      </w:tblGrid>
      <w:tr w14:paraId="73B9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663" w:type="dxa"/>
            <w:shd w:val="clear" w:color="auto" w:fill="1F4E79"/>
            <w:vAlign w:val="center"/>
          </w:tcPr>
          <w:p w14:paraId="4AEDDA84">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产物</w:t>
            </w:r>
          </w:p>
        </w:tc>
        <w:tc>
          <w:tcPr>
            <w:tcW w:w="2386" w:type="dxa"/>
            <w:shd w:val="clear" w:color="auto" w:fill="1F4E79"/>
            <w:vAlign w:val="center"/>
          </w:tcPr>
          <w:p w14:paraId="2442C909">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生成方式</w:t>
            </w:r>
          </w:p>
        </w:tc>
        <w:tc>
          <w:tcPr>
            <w:tcW w:w="2743" w:type="dxa"/>
            <w:shd w:val="clear" w:color="auto" w:fill="1F4E79"/>
            <w:vAlign w:val="center"/>
          </w:tcPr>
          <w:p w14:paraId="1D188ECF">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用途</w:t>
            </w:r>
          </w:p>
        </w:tc>
      </w:tr>
      <w:tr w14:paraId="096A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63" w:type="dxa"/>
            <w:vAlign w:val="center"/>
          </w:tcPr>
          <w:p w14:paraId="10CD99A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metrics_fixed.json / metrics_adaptive.json</w:t>
            </w:r>
          </w:p>
        </w:tc>
        <w:tc>
          <w:tcPr>
            <w:tcW w:w="2386" w:type="dxa"/>
            <w:vAlign w:val="center"/>
          </w:tcPr>
          <w:p w14:paraId="097DCE4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run_experiment.py</w:t>
            </w:r>
          </w:p>
        </w:tc>
        <w:tc>
          <w:tcPr>
            <w:tcW w:w="2743" w:type="dxa"/>
            <w:vAlign w:val="center"/>
          </w:tcPr>
          <w:p w14:paraId="0434A37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策略级指标与参数记录</w:t>
            </w:r>
          </w:p>
        </w:tc>
      </w:tr>
      <w:tr w14:paraId="38F6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63" w:type="dxa"/>
            <w:vAlign w:val="center"/>
          </w:tcPr>
          <w:p w14:paraId="1920626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tripinfo_fixed.xml / tripinfo_adaptive.xml</w:t>
            </w:r>
          </w:p>
        </w:tc>
        <w:tc>
          <w:tcPr>
            <w:tcW w:w="2386" w:type="dxa"/>
            <w:vAlign w:val="center"/>
          </w:tcPr>
          <w:p w14:paraId="566BDAC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SUMO tripinfo 输出</w:t>
            </w:r>
          </w:p>
        </w:tc>
        <w:tc>
          <w:tcPr>
            <w:tcW w:w="2743" w:type="dxa"/>
            <w:vAlign w:val="center"/>
          </w:tcPr>
          <w:p w14:paraId="5AE6DB8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车辆级原始明细</w:t>
            </w:r>
          </w:p>
        </w:tc>
      </w:tr>
      <w:tr w14:paraId="5517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63" w:type="dxa"/>
            <w:vAlign w:val="center"/>
          </w:tcPr>
          <w:p w14:paraId="1899490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summary.csv</w:t>
            </w:r>
          </w:p>
        </w:tc>
        <w:tc>
          <w:tcPr>
            <w:tcW w:w="2386" w:type="dxa"/>
            <w:vAlign w:val="center"/>
          </w:tcPr>
          <w:p w14:paraId="09FDD66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汇总结果.py</w:t>
            </w:r>
          </w:p>
        </w:tc>
        <w:tc>
          <w:tcPr>
            <w:tcW w:w="2743" w:type="dxa"/>
            <w:vAlign w:val="center"/>
          </w:tcPr>
          <w:p w14:paraId="6C3EA6E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固定与自适应结构化汇总</w:t>
            </w:r>
          </w:p>
        </w:tc>
      </w:tr>
      <w:tr w14:paraId="381B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63" w:type="dxa"/>
            <w:vAlign w:val="center"/>
          </w:tcPr>
          <w:p w14:paraId="17B481F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performance_comparison.png / .pdf</w:t>
            </w:r>
          </w:p>
        </w:tc>
        <w:tc>
          <w:tcPr>
            <w:tcW w:w="2386" w:type="dxa"/>
            <w:vAlign w:val="center"/>
          </w:tcPr>
          <w:p w14:paraId="1B34C8C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plot_comparison.py</w:t>
            </w:r>
          </w:p>
        </w:tc>
        <w:tc>
          <w:tcPr>
            <w:tcW w:w="2743" w:type="dxa"/>
            <w:vAlign w:val="center"/>
          </w:tcPr>
          <w:p w14:paraId="5162151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四项指标对比图</w:t>
            </w:r>
          </w:p>
        </w:tc>
      </w:tr>
    </w:tbl>
    <w:p w14:paraId="40C818D1">
      <w:pPr>
        <w:spacing w:after="20"/>
      </w:pPr>
    </w:p>
    <w:p w14:paraId="363A2CA4">
      <w:pPr>
        <w:pStyle w:val="3"/>
        <w:keepNext/>
        <w:rPr>
          <w:rFonts w:hint="eastAsia" w:ascii="微软雅黑" w:hAnsi="微软雅黑" w:eastAsia="微软雅黑" w:cs="微软雅黑"/>
        </w:rPr>
      </w:pPr>
      <w:r>
        <w:rPr>
          <w:rFonts w:hint="eastAsia" w:ascii="微软雅黑" w:hAnsi="微软雅黑" w:eastAsia="微软雅黑" w:cs="微软雅黑"/>
        </w:rPr>
        <w:t>5 结果分析</w:t>
      </w:r>
    </w:p>
    <w:p w14:paraId="11610CE3">
      <w:pPr>
        <w:spacing w:after="120" w:line="324" w:lineRule="auto"/>
        <w:ind w:firstLine="400"/>
      </w:pPr>
      <w:r>
        <w:t>本次结果来自 7200 s 早高峰仿真，固定配时与自适应方案使用相同输入条件。自适应控制在完成车辆数不下降的前提下，旅行时间、等待时间、时间损失和平均排队车辆数均下降。</w:t>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1"/>
        <w:gridCol w:w="2081"/>
        <w:gridCol w:w="2488"/>
        <w:gridCol w:w="2082"/>
      </w:tblGrid>
      <w:tr w14:paraId="3563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41" w:type="dxa"/>
            <w:shd w:val="clear" w:color="auto" w:fill="1F4E79"/>
            <w:tcMar>
              <w:top w:w="100" w:type="dxa"/>
              <w:left w:w="100" w:type="dxa"/>
              <w:bottom w:w="100" w:type="dxa"/>
              <w:right w:w="100" w:type="dxa"/>
            </w:tcMar>
            <w:vAlign w:val="center"/>
          </w:tcPr>
          <w:p w14:paraId="0DD48C92">
            <w:pPr>
              <w:snapToGrid w:val="0"/>
              <w:spacing w:after="0" w:line="240" w:lineRule="auto"/>
            </w:pPr>
            <w:r>
              <w:rPr>
                <w:rFonts w:ascii="微软雅黑" w:hAnsi="微软雅黑" w:eastAsia="微软雅黑"/>
                <w:b/>
                <w:color w:val="FFFFFF"/>
                <w:sz w:val="18"/>
              </w:rPr>
              <w:t>指标</w:t>
            </w:r>
          </w:p>
        </w:tc>
        <w:tc>
          <w:tcPr>
            <w:tcW w:w="2081" w:type="dxa"/>
            <w:shd w:val="clear" w:color="auto" w:fill="1F4E79"/>
            <w:tcMar>
              <w:top w:w="100" w:type="dxa"/>
              <w:left w:w="100" w:type="dxa"/>
              <w:bottom w:w="100" w:type="dxa"/>
              <w:right w:w="100" w:type="dxa"/>
            </w:tcMar>
            <w:vAlign w:val="center"/>
          </w:tcPr>
          <w:p w14:paraId="630B1FF5">
            <w:pPr>
              <w:snapToGrid w:val="0"/>
              <w:spacing w:after="0" w:line="240" w:lineRule="auto"/>
            </w:pPr>
            <w:r>
              <w:rPr>
                <w:rFonts w:ascii="微软雅黑" w:hAnsi="微软雅黑" w:eastAsia="微软雅黑"/>
                <w:b/>
                <w:color w:val="FFFFFF"/>
                <w:sz w:val="18"/>
              </w:rPr>
              <w:t>固定配时</w:t>
            </w:r>
          </w:p>
        </w:tc>
        <w:tc>
          <w:tcPr>
            <w:tcW w:w="2488" w:type="dxa"/>
            <w:shd w:val="clear" w:color="auto" w:fill="1F4E79"/>
            <w:tcMar>
              <w:top w:w="100" w:type="dxa"/>
              <w:left w:w="100" w:type="dxa"/>
              <w:bottom w:w="100" w:type="dxa"/>
              <w:right w:w="100" w:type="dxa"/>
            </w:tcMar>
            <w:vAlign w:val="center"/>
          </w:tcPr>
          <w:p w14:paraId="0935CE89">
            <w:pPr>
              <w:snapToGrid w:val="0"/>
              <w:spacing w:after="0" w:line="240" w:lineRule="auto"/>
            </w:pPr>
            <w:r>
              <w:rPr>
                <w:rFonts w:ascii="微软雅黑" w:hAnsi="微软雅黑" w:eastAsia="微软雅黑"/>
                <w:b/>
                <w:color w:val="FFFFFF"/>
                <w:sz w:val="18"/>
              </w:rPr>
              <w:t>自适应控制</w:t>
            </w:r>
          </w:p>
        </w:tc>
        <w:tc>
          <w:tcPr>
            <w:tcW w:w="2082" w:type="dxa"/>
            <w:shd w:val="clear" w:color="auto" w:fill="1F4E79"/>
            <w:tcMar>
              <w:top w:w="100" w:type="dxa"/>
              <w:left w:w="100" w:type="dxa"/>
              <w:bottom w:w="100" w:type="dxa"/>
              <w:right w:w="100" w:type="dxa"/>
            </w:tcMar>
            <w:vAlign w:val="center"/>
          </w:tcPr>
          <w:p w14:paraId="190E1A01">
            <w:pPr>
              <w:snapToGrid w:val="0"/>
              <w:spacing w:after="0" w:line="240" w:lineRule="auto"/>
            </w:pPr>
            <w:r>
              <w:rPr>
                <w:rFonts w:ascii="微软雅黑" w:hAnsi="微软雅黑" w:eastAsia="微软雅黑"/>
                <w:b/>
                <w:color w:val="FFFFFF"/>
                <w:sz w:val="18"/>
              </w:rPr>
              <w:t>相对改善</w:t>
            </w:r>
          </w:p>
        </w:tc>
      </w:tr>
      <w:tr w14:paraId="4133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41" w:type="dxa"/>
            <w:tcMar>
              <w:top w:w="100" w:type="dxa"/>
              <w:left w:w="100" w:type="dxa"/>
              <w:bottom w:w="100" w:type="dxa"/>
              <w:right w:w="100" w:type="dxa"/>
            </w:tcMar>
            <w:vAlign w:val="center"/>
          </w:tcPr>
          <w:p w14:paraId="65DBA6C7">
            <w:pPr>
              <w:snapToGrid w:val="0"/>
              <w:spacing w:after="0" w:line="240" w:lineRule="auto"/>
            </w:pPr>
            <w:r>
              <w:rPr>
                <w:rFonts w:ascii="微软雅黑" w:hAnsi="微软雅黑" w:eastAsia="微软雅黑"/>
                <w:b w:val="0"/>
                <w:sz w:val="17"/>
              </w:rPr>
              <w:t>完成车辆数</w:t>
            </w:r>
          </w:p>
        </w:tc>
        <w:tc>
          <w:tcPr>
            <w:tcW w:w="2081" w:type="dxa"/>
            <w:tcMar>
              <w:top w:w="100" w:type="dxa"/>
              <w:left w:w="100" w:type="dxa"/>
              <w:bottom w:w="100" w:type="dxa"/>
              <w:right w:w="100" w:type="dxa"/>
            </w:tcMar>
            <w:vAlign w:val="center"/>
          </w:tcPr>
          <w:p w14:paraId="5E115251">
            <w:pPr>
              <w:snapToGrid w:val="0"/>
              <w:spacing w:after="0" w:line="240" w:lineRule="auto"/>
            </w:pPr>
            <w:r>
              <w:rPr>
                <w:rFonts w:ascii="微软雅黑" w:hAnsi="微软雅黑" w:eastAsia="微软雅黑"/>
                <w:b w:val="0"/>
                <w:sz w:val="17"/>
              </w:rPr>
              <w:t>3953.00</w:t>
            </w:r>
          </w:p>
        </w:tc>
        <w:tc>
          <w:tcPr>
            <w:tcW w:w="2488" w:type="dxa"/>
            <w:tcMar>
              <w:top w:w="100" w:type="dxa"/>
              <w:left w:w="100" w:type="dxa"/>
              <w:bottom w:w="100" w:type="dxa"/>
              <w:right w:w="100" w:type="dxa"/>
            </w:tcMar>
            <w:vAlign w:val="center"/>
          </w:tcPr>
          <w:p w14:paraId="6E4F85D8">
            <w:pPr>
              <w:snapToGrid w:val="0"/>
              <w:spacing w:after="0" w:line="240" w:lineRule="auto"/>
            </w:pPr>
            <w:r>
              <w:rPr>
                <w:rFonts w:ascii="微软雅黑" w:hAnsi="微软雅黑" w:eastAsia="微软雅黑"/>
                <w:b w:val="0"/>
                <w:sz w:val="17"/>
              </w:rPr>
              <w:t>3960.00</w:t>
            </w:r>
          </w:p>
        </w:tc>
        <w:tc>
          <w:tcPr>
            <w:tcW w:w="2082" w:type="dxa"/>
            <w:tcMar>
              <w:top w:w="100" w:type="dxa"/>
              <w:left w:w="100" w:type="dxa"/>
              <w:bottom w:w="100" w:type="dxa"/>
              <w:right w:w="100" w:type="dxa"/>
            </w:tcMar>
            <w:vAlign w:val="center"/>
          </w:tcPr>
          <w:p w14:paraId="35B19819">
            <w:pPr>
              <w:snapToGrid w:val="0"/>
              <w:spacing w:after="0" w:line="240" w:lineRule="auto"/>
            </w:pPr>
            <w:r>
              <w:rPr>
                <w:rFonts w:ascii="微软雅黑" w:hAnsi="微软雅黑" w:eastAsia="微软雅黑"/>
                <w:b w:val="0"/>
                <w:sz w:val="17"/>
              </w:rPr>
              <w:t>-0.18%</w:t>
            </w:r>
          </w:p>
        </w:tc>
      </w:tr>
      <w:tr w14:paraId="0054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41" w:type="dxa"/>
            <w:tcMar>
              <w:top w:w="100" w:type="dxa"/>
              <w:left w:w="100" w:type="dxa"/>
              <w:bottom w:w="100" w:type="dxa"/>
              <w:right w:w="100" w:type="dxa"/>
            </w:tcMar>
            <w:vAlign w:val="center"/>
          </w:tcPr>
          <w:p w14:paraId="4F297F51">
            <w:pPr>
              <w:snapToGrid w:val="0"/>
              <w:spacing w:after="0" w:line="240" w:lineRule="auto"/>
            </w:pPr>
            <w:r>
              <w:rPr>
                <w:rFonts w:ascii="微软雅黑" w:hAnsi="微软雅黑" w:eastAsia="微软雅黑"/>
                <w:b w:val="0"/>
                <w:sz w:val="17"/>
              </w:rPr>
              <w:t>平均旅行时间</w:t>
            </w:r>
          </w:p>
        </w:tc>
        <w:tc>
          <w:tcPr>
            <w:tcW w:w="2081" w:type="dxa"/>
            <w:tcMar>
              <w:top w:w="100" w:type="dxa"/>
              <w:left w:w="100" w:type="dxa"/>
              <w:bottom w:w="100" w:type="dxa"/>
              <w:right w:w="100" w:type="dxa"/>
            </w:tcMar>
            <w:vAlign w:val="center"/>
          </w:tcPr>
          <w:p w14:paraId="6B7FDAEA">
            <w:pPr>
              <w:snapToGrid w:val="0"/>
              <w:spacing w:after="0" w:line="240" w:lineRule="auto"/>
            </w:pPr>
            <w:r>
              <w:rPr>
                <w:rFonts w:ascii="微软雅黑" w:hAnsi="微软雅黑" w:eastAsia="微软雅黑"/>
                <w:b w:val="0"/>
                <w:sz w:val="17"/>
              </w:rPr>
              <w:t>92.62</w:t>
            </w:r>
          </w:p>
        </w:tc>
        <w:tc>
          <w:tcPr>
            <w:tcW w:w="2488" w:type="dxa"/>
            <w:tcMar>
              <w:top w:w="100" w:type="dxa"/>
              <w:left w:w="100" w:type="dxa"/>
              <w:bottom w:w="100" w:type="dxa"/>
              <w:right w:w="100" w:type="dxa"/>
            </w:tcMar>
            <w:vAlign w:val="center"/>
          </w:tcPr>
          <w:p w14:paraId="3EF6D10C">
            <w:pPr>
              <w:snapToGrid w:val="0"/>
              <w:spacing w:after="0" w:line="240" w:lineRule="auto"/>
            </w:pPr>
            <w:r>
              <w:rPr>
                <w:rFonts w:ascii="微软雅黑" w:hAnsi="微软雅黑" w:eastAsia="微软雅黑"/>
                <w:b w:val="0"/>
                <w:sz w:val="17"/>
              </w:rPr>
              <w:t>81.62</w:t>
            </w:r>
          </w:p>
        </w:tc>
        <w:tc>
          <w:tcPr>
            <w:tcW w:w="2082" w:type="dxa"/>
            <w:tcMar>
              <w:top w:w="100" w:type="dxa"/>
              <w:left w:w="100" w:type="dxa"/>
              <w:bottom w:w="100" w:type="dxa"/>
              <w:right w:w="100" w:type="dxa"/>
            </w:tcMar>
            <w:vAlign w:val="center"/>
          </w:tcPr>
          <w:p w14:paraId="015FA9D1">
            <w:pPr>
              <w:snapToGrid w:val="0"/>
              <w:spacing w:after="0" w:line="240" w:lineRule="auto"/>
            </w:pPr>
            <w:r>
              <w:rPr>
                <w:rFonts w:ascii="微软雅黑" w:hAnsi="微软雅黑" w:eastAsia="微软雅黑"/>
                <w:b w:val="0"/>
                <w:sz w:val="17"/>
              </w:rPr>
              <w:t>+11.88%</w:t>
            </w:r>
          </w:p>
        </w:tc>
      </w:tr>
      <w:tr w14:paraId="62CF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41" w:type="dxa"/>
            <w:tcMar>
              <w:top w:w="100" w:type="dxa"/>
              <w:left w:w="100" w:type="dxa"/>
              <w:bottom w:w="100" w:type="dxa"/>
              <w:right w:w="100" w:type="dxa"/>
            </w:tcMar>
            <w:vAlign w:val="center"/>
          </w:tcPr>
          <w:p w14:paraId="0EF276C4">
            <w:pPr>
              <w:snapToGrid w:val="0"/>
              <w:spacing w:after="0" w:line="240" w:lineRule="auto"/>
            </w:pPr>
            <w:r>
              <w:rPr>
                <w:rFonts w:ascii="微软雅黑" w:hAnsi="微软雅黑" w:eastAsia="微软雅黑"/>
                <w:b w:val="0"/>
                <w:sz w:val="17"/>
              </w:rPr>
              <w:t>平均等待时间</w:t>
            </w:r>
          </w:p>
        </w:tc>
        <w:tc>
          <w:tcPr>
            <w:tcW w:w="2081" w:type="dxa"/>
            <w:tcMar>
              <w:top w:w="100" w:type="dxa"/>
              <w:left w:w="100" w:type="dxa"/>
              <w:bottom w:w="100" w:type="dxa"/>
              <w:right w:w="100" w:type="dxa"/>
            </w:tcMar>
            <w:vAlign w:val="center"/>
          </w:tcPr>
          <w:p w14:paraId="2A53AEC5">
            <w:pPr>
              <w:snapToGrid w:val="0"/>
              <w:spacing w:after="0" w:line="240" w:lineRule="auto"/>
            </w:pPr>
            <w:r>
              <w:rPr>
                <w:rFonts w:ascii="微软雅黑" w:hAnsi="微软雅黑" w:eastAsia="微软雅黑"/>
                <w:b w:val="0"/>
                <w:sz w:val="17"/>
              </w:rPr>
              <w:t>49.01</w:t>
            </w:r>
          </w:p>
        </w:tc>
        <w:tc>
          <w:tcPr>
            <w:tcW w:w="2488" w:type="dxa"/>
            <w:tcMar>
              <w:top w:w="100" w:type="dxa"/>
              <w:left w:w="100" w:type="dxa"/>
              <w:bottom w:w="100" w:type="dxa"/>
              <w:right w:w="100" w:type="dxa"/>
            </w:tcMar>
            <w:vAlign w:val="center"/>
          </w:tcPr>
          <w:p w14:paraId="3D3E23CB">
            <w:pPr>
              <w:snapToGrid w:val="0"/>
              <w:spacing w:after="0" w:line="240" w:lineRule="auto"/>
            </w:pPr>
            <w:r>
              <w:rPr>
                <w:rFonts w:ascii="微软雅黑" w:hAnsi="微软雅黑" w:eastAsia="微软雅黑"/>
                <w:b w:val="0"/>
                <w:sz w:val="17"/>
              </w:rPr>
              <w:t>38.69</w:t>
            </w:r>
          </w:p>
        </w:tc>
        <w:tc>
          <w:tcPr>
            <w:tcW w:w="2082" w:type="dxa"/>
            <w:tcMar>
              <w:top w:w="100" w:type="dxa"/>
              <w:left w:w="100" w:type="dxa"/>
              <w:bottom w:w="100" w:type="dxa"/>
              <w:right w:w="100" w:type="dxa"/>
            </w:tcMar>
            <w:vAlign w:val="center"/>
          </w:tcPr>
          <w:p w14:paraId="7965EB58">
            <w:pPr>
              <w:snapToGrid w:val="0"/>
              <w:spacing w:after="0" w:line="240" w:lineRule="auto"/>
            </w:pPr>
            <w:r>
              <w:rPr>
                <w:rFonts w:ascii="微软雅黑" w:hAnsi="微软雅黑" w:eastAsia="微软雅黑"/>
                <w:b w:val="0"/>
                <w:sz w:val="17"/>
              </w:rPr>
              <w:t>+21.06%</w:t>
            </w:r>
          </w:p>
        </w:tc>
      </w:tr>
      <w:tr w14:paraId="7C58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41" w:type="dxa"/>
            <w:tcMar>
              <w:top w:w="100" w:type="dxa"/>
              <w:left w:w="100" w:type="dxa"/>
              <w:bottom w:w="100" w:type="dxa"/>
              <w:right w:w="100" w:type="dxa"/>
            </w:tcMar>
            <w:vAlign w:val="center"/>
          </w:tcPr>
          <w:p w14:paraId="1D83C703">
            <w:pPr>
              <w:snapToGrid w:val="0"/>
              <w:spacing w:after="0" w:line="240" w:lineRule="auto"/>
            </w:pPr>
            <w:r>
              <w:rPr>
                <w:rFonts w:ascii="微软雅黑" w:hAnsi="微软雅黑" w:eastAsia="微软雅黑"/>
                <w:b w:val="0"/>
                <w:sz w:val="17"/>
              </w:rPr>
              <w:t>平均时间损失</w:t>
            </w:r>
          </w:p>
        </w:tc>
        <w:tc>
          <w:tcPr>
            <w:tcW w:w="2081" w:type="dxa"/>
            <w:tcMar>
              <w:top w:w="100" w:type="dxa"/>
              <w:left w:w="100" w:type="dxa"/>
              <w:bottom w:w="100" w:type="dxa"/>
              <w:right w:w="100" w:type="dxa"/>
            </w:tcMar>
            <w:vAlign w:val="center"/>
          </w:tcPr>
          <w:p w14:paraId="0AE6B6C8">
            <w:pPr>
              <w:snapToGrid w:val="0"/>
              <w:spacing w:after="0" w:line="240" w:lineRule="auto"/>
            </w:pPr>
            <w:r>
              <w:rPr>
                <w:rFonts w:ascii="微软雅黑" w:hAnsi="微软雅黑" w:eastAsia="微软雅黑"/>
                <w:b w:val="0"/>
                <w:sz w:val="17"/>
              </w:rPr>
              <w:t>59.92</w:t>
            </w:r>
          </w:p>
        </w:tc>
        <w:tc>
          <w:tcPr>
            <w:tcW w:w="2488" w:type="dxa"/>
            <w:tcMar>
              <w:top w:w="100" w:type="dxa"/>
              <w:left w:w="100" w:type="dxa"/>
              <w:bottom w:w="100" w:type="dxa"/>
              <w:right w:w="100" w:type="dxa"/>
            </w:tcMar>
            <w:vAlign w:val="center"/>
          </w:tcPr>
          <w:p w14:paraId="7C2FC5CB">
            <w:pPr>
              <w:snapToGrid w:val="0"/>
              <w:spacing w:after="0" w:line="240" w:lineRule="auto"/>
            </w:pPr>
            <w:r>
              <w:rPr>
                <w:rFonts w:ascii="微软雅黑" w:hAnsi="微软雅黑" w:eastAsia="微软雅黑"/>
                <w:b w:val="0"/>
                <w:sz w:val="17"/>
              </w:rPr>
              <w:t>48.91</w:t>
            </w:r>
          </w:p>
        </w:tc>
        <w:tc>
          <w:tcPr>
            <w:tcW w:w="2082" w:type="dxa"/>
            <w:tcMar>
              <w:top w:w="100" w:type="dxa"/>
              <w:left w:w="100" w:type="dxa"/>
              <w:bottom w:w="100" w:type="dxa"/>
              <w:right w:w="100" w:type="dxa"/>
            </w:tcMar>
            <w:vAlign w:val="center"/>
          </w:tcPr>
          <w:p w14:paraId="55160705">
            <w:pPr>
              <w:snapToGrid w:val="0"/>
              <w:spacing w:after="0" w:line="240" w:lineRule="auto"/>
            </w:pPr>
            <w:r>
              <w:rPr>
                <w:rFonts w:ascii="微软雅黑" w:hAnsi="微软雅黑" w:eastAsia="微软雅黑"/>
                <w:b w:val="0"/>
                <w:sz w:val="17"/>
              </w:rPr>
              <w:t>+18.37%</w:t>
            </w:r>
          </w:p>
        </w:tc>
      </w:tr>
      <w:tr w14:paraId="6BB9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41" w:type="dxa"/>
            <w:tcMar>
              <w:top w:w="100" w:type="dxa"/>
              <w:left w:w="100" w:type="dxa"/>
              <w:bottom w:w="100" w:type="dxa"/>
              <w:right w:w="100" w:type="dxa"/>
            </w:tcMar>
            <w:vAlign w:val="center"/>
          </w:tcPr>
          <w:p w14:paraId="53FBF6E4">
            <w:pPr>
              <w:snapToGrid w:val="0"/>
              <w:spacing w:after="0" w:line="240" w:lineRule="auto"/>
            </w:pPr>
            <w:r>
              <w:rPr>
                <w:rFonts w:ascii="微软雅黑" w:hAnsi="微软雅黑" w:eastAsia="微软雅黑"/>
                <w:b w:val="0"/>
                <w:sz w:val="17"/>
              </w:rPr>
              <w:t>平均排队车辆数</w:t>
            </w:r>
          </w:p>
        </w:tc>
        <w:tc>
          <w:tcPr>
            <w:tcW w:w="2081" w:type="dxa"/>
            <w:tcMar>
              <w:top w:w="100" w:type="dxa"/>
              <w:left w:w="100" w:type="dxa"/>
              <w:bottom w:w="100" w:type="dxa"/>
              <w:right w:w="100" w:type="dxa"/>
            </w:tcMar>
            <w:vAlign w:val="center"/>
          </w:tcPr>
          <w:p w14:paraId="3CE2A4E8">
            <w:pPr>
              <w:snapToGrid w:val="0"/>
              <w:spacing w:after="0" w:line="240" w:lineRule="auto"/>
            </w:pPr>
            <w:r>
              <w:rPr>
                <w:rFonts w:ascii="微软雅黑" w:hAnsi="微软雅黑" w:eastAsia="微软雅黑"/>
                <w:b w:val="0"/>
                <w:sz w:val="17"/>
              </w:rPr>
              <w:t>27.15</w:t>
            </w:r>
          </w:p>
        </w:tc>
        <w:tc>
          <w:tcPr>
            <w:tcW w:w="2488" w:type="dxa"/>
            <w:tcMar>
              <w:top w:w="100" w:type="dxa"/>
              <w:left w:w="100" w:type="dxa"/>
              <w:bottom w:w="100" w:type="dxa"/>
              <w:right w:w="100" w:type="dxa"/>
            </w:tcMar>
            <w:vAlign w:val="center"/>
          </w:tcPr>
          <w:p w14:paraId="7934143A">
            <w:pPr>
              <w:snapToGrid w:val="0"/>
              <w:spacing w:after="0" w:line="240" w:lineRule="auto"/>
            </w:pPr>
            <w:r>
              <w:rPr>
                <w:rFonts w:ascii="微软雅黑" w:hAnsi="微软雅黑" w:eastAsia="微软雅黑"/>
                <w:b w:val="0"/>
                <w:sz w:val="17"/>
              </w:rPr>
              <w:t>21.44</w:t>
            </w:r>
          </w:p>
        </w:tc>
        <w:tc>
          <w:tcPr>
            <w:tcW w:w="2082" w:type="dxa"/>
            <w:tcMar>
              <w:top w:w="100" w:type="dxa"/>
              <w:left w:w="100" w:type="dxa"/>
              <w:bottom w:w="100" w:type="dxa"/>
              <w:right w:w="100" w:type="dxa"/>
            </w:tcMar>
            <w:vAlign w:val="center"/>
          </w:tcPr>
          <w:p w14:paraId="540691CA">
            <w:pPr>
              <w:snapToGrid w:val="0"/>
              <w:spacing w:after="0" w:line="240" w:lineRule="auto"/>
            </w:pPr>
            <w:r>
              <w:rPr>
                <w:rFonts w:ascii="微软雅黑" w:hAnsi="微软雅黑" w:eastAsia="微软雅黑"/>
                <w:b w:val="0"/>
                <w:sz w:val="17"/>
              </w:rPr>
              <w:t>+21.03%</w:t>
            </w:r>
          </w:p>
        </w:tc>
      </w:tr>
    </w:tbl>
    <w:p w14:paraId="37F12EF6">
      <w:pPr>
        <w:spacing w:after="20"/>
      </w:pPr>
    </w:p>
    <w:p w14:paraId="0CD54116">
      <w:pPr>
        <w:jc w:val="center"/>
      </w:pPr>
      <w:r>
        <w:drawing>
          <wp:inline distT="0" distB="0" distL="114300" distR="114300">
            <wp:extent cx="5760720" cy="37699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720" cy="3770544"/>
                    </a:xfrm>
                    <a:prstGeom prst="rect">
                      <a:avLst/>
                    </a:prstGeom>
                  </pic:spPr>
                </pic:pic>
              </a:graphicData>
            </a:graphic>
          </wp:inline>
        </w:drawing>
      </w:r>
    </w:p>
    <w:p w14:paraId="02E990BD">
      <w:pPr>
        <w:jc w:val="center"/>
      </w:pPr>
      <w:r>
        <w:rPr>
          <w:i/>
          <w:color w:val="5F6F7F"/>
          <w:sz w:val="18"/>
        </w:rPr>
        <w:t>图 1  固定配时与自适应控制性能对比</w:t>
      </w:r>
    </w:p>
    <w:p w14:paraId="67FA3F7A">
      <w:pPr>
        <w:spacing w:after="120" w:line="324" w:lineRule="auto"/>
        <w:ind w:firstLine="400"/>
      </w:pPr>
      <w:r>
        <w:t>结果解读：自适应方案完成车辆数为 3960 辆，高于固定配时的 3953 辆；平均旅行时间由 92.62 s 降至 81.62 s，平均等待时间由 49.01 s 降至 38.69 s，平均时间损失由 59.92 s 降至 48.91 s，平均排队车辆数由 27.15 辆降至 21.44 辆。</w:t>
      </w:r>
    </w:p>
    <w:p w14:paraId="6102455E">
      <w:pPr>
        <w:pStyle w:val="3"/>
        <w:keepNext/>
        <w:rPr>
          <w:rFonts w:hint="eastAsia" w:ascii="微软雅黑" w:hAnsi="微软雅黑" w:eastAsia="微软雅黑" w:cs="微软雅黑"/>
        </w:rPr>
      </w:pPr>
      <w:r>
        <w:rPr>
          <w:rFonts w:hint="eastAsia" w:ascii="微软雅黑" w:hAnsi="微软雅黑" w:eastAsia="微软雅黑" w:cs="微软雅黑"/>
        </w:rPr>
        <w:t>6 交付物与验收对应</w:t>
      </w:r>
    </w:p>
    <w:tbl>
      <w:tblPr>
        <w:tblStyle w:val="33"/>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6380"/>
        <w:gridCol w:w="1004"/>
      </w:tblGrid>
      <w:tr w14:paraId="6642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08" w:type="dxa"/>
            <w:shd w:val="clear" w:color="auto" w:fill="1F4E79"/>
            <w:vAlign w:val="center"/>
          </w:tcPr>
          <w:p w14:paraId="34A886CA">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交付类别</w:t>
            </w:r>
          </w:p>
        </w:tc>
        <w:tc>
          <w:tcPr>
            <w:tcW w:w="6380" w:type="dxa"/>
            <w:shd w:val="clear" w:color="auto" w:fill="1F4E79"/>
            <w:vAlign w:val="center"/>
          </w:tcPr>
          <w:p w14:paraId="1302CCD8">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文件/目录</w:t>
            </w:r>
          </w:p>
        </w:tc>
        <w:tc>
          <w:tcPr>
            <w:tcW w:w="1004" w:type="dxa"/>
            <w:shd w:val="clear" w:color="auto" w:fill="1F4E79"/>
            <w:vAlign w:val="center"/>
          </w:tcPr>
          <w:p w14:paraId="73B2F02B">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状态</w:t>
            </w:r>
          </w:p>
        </w:tc>
      </w:tr>
      <w:tr w14:paraId="0ABB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4E81311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算法核心逻辑</w:t>
            </w:r>
          </w:p>
        </w:tc>
        <w:tc>
          <w:tcPr>
            <w:tcW w:w="6380" w:type="dxa"/>
            <w:vAlign w:val="center"/>
          </w:tcPr>
          <w:p w14:paraId="7066A23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01_仿真工程/run_experiment.py</w:t>
            </w:r>
          </w:p>
        </w:tc>
        <w:tc>
          <w:tcPr>
            <w:tcW w:w="1004" w:type="dxa"/>
            <w:vAlign w:val="center"/>
          </w:tcPr>
          <w:p w14:paraId="6CE8A7EA">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已提供</w:t>
            </w:r>
          </w:p>
        </w:tc>
      </w:tr>
      <w:tr w14:paraId="1C76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394335C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场景配置与交通流</w:t>
            </w:r>
          </w:p>
        </w:tc>
        <w:tc>
          <w:tcPr>
            <w:tcW w:w="6380" w:type="dxa"/>
            <w:vAlign w:val="center"/>
          </w:tcPr>
          <w:p w14:paraId="55111CD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01_仿真工程/scenario/</w:t>
            </w:r>
          </w:p>
        </w:tc>
        <w:tc>
          <w:tcPr>
            <w:tcW w:w="1004" w:type="dxa"/>
            <w:vAlign w:val="center"/>
          </w:tcPr>
          <w:p w14:paraId="4BFCCE3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已提供</w:t>
            </w:r>
          </w:p>
        </w:tc>
      </w:tr>
      <w:tr w14:paraId="0029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541F2FB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固定配时基线</w:t>
            </w:r>
          </w:p>
        </w:tc>
        <w:tc>
          <w:tcPr>
            <w:tcW w:w="6380" w:type="dxa"/>
            <w:vAlign w:val="center"/>
          </w:tcPr>
          <w:p w14:paraId="7CC67EE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scenario/dataset_1.add.xml；metrics_fixed.json</w:t>
            </w:r>
          </w:p>
        </w:tc>
        <w:tc>
          <w:tcPr>
            <w:tcW w:w="1004" w:type="dxa"/>
            <w:vAlign w:val="center"/>
          </w:tcPr>
          <w:p w14:paraId="3C49B18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已提供</w:t>
            </w:r>
          </w:p>
        </w:tc>
      </w:tr>
      <w:tr w14:paraId="65813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3F20863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可视化监控</w:t>
            </w:r>
          </w:p>
        </w:tc>
        <w:tc>
          <w:tcPr>
            <w:tcW w:w="6380" w:type="dxa"/>
            <w:vAlign w:val="center"/>
          </w:tcPr>
          <w:p w14:paraId="71255BD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README_运行说明.md；SUMO-GUI 批处理文件</w:t>
            </w:r>
          </w:p>
        </w:tc>
        <w:tc>
          <w:tcPr>
            <w:tcW w:w="1004" w:type="dxa"/>
            <w:vAlign w:val="center"/>
          </w:tcPr>
          <w:p w14:paraId="4ACBB9E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已提供</w:t>
            </w:r>
          </w:p>
        </w:tc>
      </w:tr>
      <w:tr w14:paraId="4A30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0601D38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算法流程与伪代码</w:t>
            </w:r>
          </w:p>
        </w:tc>
        <w:tc>
          <w:tcPr>
            <w:tcW w:w="6380" w:type="dxa"/>
            <w:vAlign w:val="center"/>
          </w:tcPr>
          <w:p w14:paraId="5BD73AE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算法流程图与控制逻辑.md</w:t>
            </w:r>
          </w:p>
        </w:tc>
        <w:tc>
          <w:tcPr>
            <w:tcW w:w="1004" w:type="dxa"/>
            <w:vAlign w:val="center"/>
          </w:tcPr>
          <w:p w14:paraId="612CEECE">
            <w:pPr>
              <w:snapToGrid w:val="0"/>
              <w:spacing w:after="0" w:line="240" w:lineRule="auto"/>
              <w:ind w:left="0" w:leftChars="0" w:right="0" w:rightChars="0" w:firstLine="0" w:firstLineChars="0"/>
              <w:jc w:val="center"/>
              <w:rPr>
                <w:rFonts w:hint="eastAsia" w:ascii="微软雅黑" w:eastAsia="微软雅黑"/>
                <w:sz w:val="17"/>
                <w:lang w:val="en-US" w:eastAsia="zh-CN"/>
              </w:rPr>
            </w:pPr>
            <w:r>
              <w:rPr>
                <w:rFonts w:ascii="微软雅黑" w:hAnsi="微软雅黑" w:eastAsia="微软雅黑"/>
                <w:b w:val="0"/>
                <w:sz w:val="17"/>
              </w:rPr>
              <w:t>已</w:t>
            </w:r>
            <w:r>
              <w:rPr>
                <w:rFonts w:hint="eastAsia"/>
                <w:b w:val="0"/>
                <w:sz w:val="17"/>
                <w:lang w:val="en-US" w:eastAsia="zh-CN"/>
              </w:rPr>
              <w:t>提供</w:t>
            </w:r>
          </w:p>
        </w:tc>
      </w:tr>
      <w:tr w14:paraId="260C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4DD23DB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一键运行入口</w:t>
            </w:r>
          </w:p>
        </w:tc>
        <w:tc>
          <w:tcPr>
            <w:tcW w:w="6380" w:type="dxa"/>
            <w:vAlign w:val="center"/>
          </w:tcPr>
          <w:p w14:paraId="622122B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run_task2.ps1；run_task2.bat</w:t>
            </w:r>
          </w:p>
        </w:tc>
        <w:tc>
          <w:tcPr>
            <w:tcW w:w="1004" w:type="dxa"/>
            <w:vAlign w:val="center"/>
          </w:tcPr>
          <w:p w14:paraId="0E8631F4">
            <w:pPr>
              <w:snapToGrid w:val="0"/>
              <w:spacing w:after="0" w:line="240" w:lineRule="auto"/>
              <w:ind w:left="0" w:leftChars="0" w:right="0" w:rightChars="0" w:firstLine="0" w:firstLineChars="0"/>
              <w:jc w:val="center"/>
              <w:rPr>
                <w:rFonts w:hint="eastAsia" w:ascii="微软雅黑" w:eastAsia="微软雅黑"/>
                <w:sz w:val="17"/>
                <w:lang w:val="en-US" w:eastAsia="zh-CN"/>
              </w:rPr>
            </w:pPr>
            <w:r>
              <w:rPr>
                <w:rFonts w:ascii="微软雅黑" w:hAnsi="微软雅黑" w:eastAsia="微软雅黑"/>
                <w:b w:val="0"/>
                <w:sz w:val="17"/>
              </w:rPr>
              <w:t>已</w:t>
            </w:r>
            <w:r>
              <w:rPr>
                <w:rFonts w:hint="eastAsia"/>
                <w:b w:val="0"/>
                <w:sz w:val="17"/>
                <w:lang w:val="en-US" w:eastAsia="zh-CN"/>
              </w:rPr>
              <w:t>提供</w:t>
            </w:r>
          </w:p>
        </w:tc>
      </w:tr>
      <w:tr w14:paraId="0FE0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1857086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结果汇总与追溯</w:t>
            </w:r>
          </w:p>
        </w:tc>
        <w:tc>
          <w:tcPr>
            <w:tcW w:w="6380" w:type="dxa"/>
            <w:vAlign w:val="center"/>
          </w:tcPr>
          <w:p w14:paraId="533E0DB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export_summary.py；结果可追溯索引.md；summary.csv</w:t>
            </w:r>
          </w:p>
        </w:tc>
        <w:tc>
          <w:tcPr>
            <w:tcW w:w="1004" w:type="dxa"/>
            <w:vAlign w:val="center"/>
          </w:tcPr>
          <w:p w14:paraId="75C640CD">
            <w:pPr>
              <w:snapToGrid w:val="0"/>
              <w:spacing w:after="0" w:line="240" w:lineRule="auto"/>
              <w:ind w:left="0" w:leftChars="0" w:right="0" w:rightChars="0" w:firstLine="0" w:firstLineChars="0"/>
              <w:jc w:val="center"/>
              <w:rPr>
                <w:rFonts w:hint="eastAsia" w:ascii="微软雅黑" w:eastAsia="微软雅黑"/>
                <w:sz w:val="17"/>
                <w:lang w:val="en-US" w:eastAsia="zh-CN"/>
              </w:rPr>
            </w:pPr>
            <w:r>
              <w:rPr>
                <w:rFonts w:ascii="微软雅黑" w:hAnsi="微软雅黑" w:eastAsia="微软雅黑"/>
                <w:b w:val="0"/>
                <w:sz w:val="17"/>
              </w:rPr>
              <w:t>已</w:t>
            </w:r>
            <w:r>
              <w:rPr>
                <w:rFonts w:hint="eastAsia"/>
                <w:b w:val="0"/>
                <w:sz w:val="17"/>
                <w:lang w:val="en-US" w:eastAsia="zh-CN"/>
              </w:rPr>
              <w:t>提供</w:t>
            </w:r>
          </w:p>
        </w:tc>
      </w:tr>
      <w:tr w14:paraId="5C6D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8" w:type="dxa"/>
            <w:vAlign w:val="center"/>
          </w:tcPr>
          <w:p w14:paraId="2DE741C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评估图表与原始结果</w:t>
            </w:r>
          </w:p>
        </w:tc>
        <w:tc>
          <w:tcPr>
            <w:tcW w:w="6380" w:type="dxa"/>
            <w:vAlign w:val="center"/>
          </w:tcPr>
          <w:p w14:paraId="55DA3E4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b w:val="0"/>
                <w:sz w:val="17"/>
              </w:rPr>
              <w:t>results/</w:t>
            </w:r>
          </w:p>
        </w:tc>
        <w:tc>
          <w:tcPr>
            <w:tcW w:w="1004" w:type="dxa"/>
            <w:vAlign w:val="center"/>
          </w:tcPr>
          <w:p w14:paraId="62F53FE4">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已提供</w:t>
            </w:r>
          </w:p>
        </w:tc>
      </w:tr>
    </w:tbl>
    <w:p w14:paraId="09CDB516">
      <w:pPr>
        <w:spacing w:after="20"/>
      </w:pPr>
    </w:p>
    <w:p w14:paraId="5F53A7B8">
      <w:pPr>
        <w:pStyle w:val="3"/>
        <w:keepNext/>
        <w:rPr>
          <w:rFonts w:hint="eastAsia" w:ascii="微软雅黑" w:hAnsi="微软雅黑" w:eastAsia="微软雅黑" w:cs="微软雅黑"/>
        </w:rPr>
      </w:pPr>
      <w:r>
        <w:rPr>
          <w:rFonts w:hint="eastAsia" w:ascii="微软雅黑" w:hAnsi="微软雅黑" w:eastAsia="微软雅黑" w:cs="微软雅黑"/>
        </w:rPr>
        <w:t>7 验收结论</w:t>
      </w:r>
    </w:p>
    <w:p w14:paraId="7201B2D0">
      <w:pPr>
        <w:spacing w:after="120" w:line="324" w:lineRule="auto"/>
        <w:ind w:firstLine="400"/>
      </w:pPr>
      <w:r>
        <w:t>经材料核对，任务二要求的控制器核心逻辑、SUMO 适配器、运行入口、可视化/实时监控、固定配时基线、场景配置、结果图表和原始结果均已形成闭环。新增的一键运行入口可在配置好 Python 与 SUMO 的环境中完成固定/自适应对比、图表生成和 CSV 汇总；结果图表可追溯至 metrics JSON、tripinfo XML、场景文件及随机种子。提交材料满足“一条命令能跑通至少一个典型场景、基线与算法使用相同场景和流量、输出图表可追溯到原始结果”的验收要求。</w:t>
      </w:r>
    </w:p>
    <w:p w14:paraId="1AFE4314">
      <w:pPr>
        <w:pStyle w:val="3"/>
        <w:keepNext/>
        <w:rPr>
          <w:rFonts w:hint="eastAsia" w:ascii="微软雅黑" w:hAnsi="微软雅黑" w:eastAsia="微软雅黑" w:cs="微软雅黑"/>
        </w:rPr>
      </w:pPr>
      <w:r>
        <w:rPr>
          <w:rFonts w:hint="eastAsia" w:ascii="微软雅黑" w:hAnsi="微软雅黑" w:eastAsia="微软雅黑" w:cs="微软雅黑"/>
        </w:rPr>
        <w:t>附录 A 目录结构（核心部分）</w:t>
      </w:r>
    </w:p>
    <w:p w14:paraId="1687F85C">
      <w:pPr>
        <w:spacing w:line="276" w:lineRule="auto"/>
        <w:ind w:left="360"/>
      </w:pPr>
      <w:r>
        <w:rPr>
          <w:b/>
        </w:rPr>
        <w:t>任务2_算法逻辑与可视化验证/</w:t>
      </w:r>
      <w:r>
        <w:rPr>
          <w:b/>
        </w:rPr>
        <w:br w:type="textWrapping"/>
      </w:r>
      <w:r>
        <w:t>├─ run_task2.ps1 / run_task2.bat</w:t>
      </w:r>
      <w:r>
        <w:br w:type="textWrapping"/>
      </w:r>
      <w:r>
        <w:t>├─ 算法流程图与控制逻辑.md</w:t>
      </w:r>
      <w:r>
        <w:br w:type="textWrapping"/>
      </w:r>
      <w:r>
        <w:t>├─ 结果可追溯索引.md</w:t>
      </w:r>
      <w:r>
        <w:br w:type="textWrapping"/>
      </w:r>
      <w:r>
        <w:t>├─ 路口2_SUMO仿真验证/</w:t>
      </w:r>
      <w:r>
        <w:br w:type="textWrapping"/>
      </w:r>
      <w:r>
        <w:t>│  ├─ 01_仿真工程/</w:t>
      </w:r>
      <w:r>
        <w:br w:type="textWrapping"/>
      </w:r>
      <w:r>
        <w:t>│  │  ├─ run_experiment.py / plot_comparison.py / export_summary.py</w:t>
      </w:r>
      <w:r>
        <w:br w:type="textWrapping"/>
      </w:r>
      <w:r>
        <w:t>│  │  ├─ scenario/</w:t>
      </w:r>
      <w:r>
        <w:br w:type="textWrapping"/>
      </w:r>
      <w:r>
        <w:t>│  │  └─ results/</w:t>
      </w:r>
      <w:r>
        <w:br w:type="textWrapping"/>
      </w:r>
      <w:r>
        <w:t>│  └─ 02_实验评估报告/</w:t>
      </w:r>
      <w:r>
        <w:br w:type="textWrapping"/>
      </w:r>
      <w:r>
        <w:t>└─ configs/</w:t>
      </w:r>
      <w:r>
        <w:br w:type="textWrapping"/>
      </w:r>
    </w:p>
    <w:sectPr>
      <w:headerReference r:id="rId5" w:type="default"/>
      <w:footerReference r:id="rId6" w:type="default"/>
      <w:pgSz w:w="12240" w:h="15840"/>
      <w:pgMar w:top="1080"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Kozuka Mincho Pr6N R">
    <w:panose1 w:val="02020400000000000000"/>
    <w:charset w:val="80"/>
    <w:family w:val="auto"/>
    <w:pitch w:val="default"/>
    <w:sig w:usb0="000002D7" w:usb1="2AC73C11" w:usb2="00000012"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CC404">
    <w:pPr>
      <w:pStyle w:val="24"/>
      <w:jc w:val="center"/>
    </w:pPr>
    <w:r>
      <w:t xml:space="preserve">提交说明报告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F4B51">
    <w:pPr>
      <w:pStyle w:val="25"/>
      <w:jc w:val="right"/>
    </w:pPr>
    <w:r>
      <w:rPr>
        <w:color w:val="6B7C93"/>
        <w:sz w:val="16"/>
      </w:rPr>
      <w:t>功能一｜任务二  算法逻辑与可视化验证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43166C"/>
    <w:rsid w:val="418779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243447"/>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75B5"/>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75B5"/>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1601</Words>
  <Characters>2458</Characters>
  <Lines>0</Lines>
  <Paragraphs>0</Paragraphs>
  <TotalTime>2</TotalTime>
  <ScaleCrop>false</ScaleCrop>
  <LinksUpToDate>false</LinksUpToDate>
  <CharactersWithSpaces>2598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25182404</dc:creator>
  <dc:description>generated by python-docx</dc:description>
  <cp:lastModifiedBy>25182404</cp:lastModifiedBy>
  <dcterms:modified xsi:type="dcterms:W3CDTF">2026-08-26T04:18:43Z</dcterms:modified>
  <dc:subject>智能交通协同管控算法抽象设计与建模</dc:subject>
  <dc:title>功能一任务二 算法逻辑与可视化验证提交说明报告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eyJoZGlkIjoiYmQ4OTZhZDJiMDQ5NTA3ZTIyMTczZjFhYzE0NDFlMWUiLCJ1c2VySWQiOiIxNzQ2NzIwNDE3In0=</vt:lpwstr>
  </property>
  <property fmtid="{D5CDD505-2E9C-101B-9397-08002B2CF9AE}" pid="3" name="KSOProductBuildVer">
    <vt:lpwstr>2052-12.1.0.28043</vt:lpwstr>
  </property>
  <property fmtid="{D5CDD505-2E9C-101B-9397-08002B2CF9AE}" pid="4" name="ICV">
    <vt:lpwstr>09D78900F143450DB8AAA9452AC02CB9_12</vt:lpwstr>
  </property>
</Properties>
</file>