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E8118">
      <w:pPr>
        <w:spacing w:before="68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b/>
          <w:color w:val="17365D"/>
          <w:sz w:val="58"/>
        </w:rPr>
        <w:t>deta-1</w:t>
      </w:r>
    </w:p>
    <w:p w14:paraId="0145509B">
      <w:pPr>
        <w:spacing w:after="400"/>
        <w:rPr>
          <w:rFonts w:hint="eastAsia" w:ascii="宋体" w:hAnsi="宋体" w:eastAsia="宋体" w:cs="宋体"/>
          <w:b/>
          <w:bCs w:val="0"/>
        </w:rPr>
      </w:pPr>
      <w:r>
        <w:rPr>
          <w:rFonts w:hint="eastAsia" w:ascii="宋体" w:hAnsi="宋体" w:eastAsia="宋体" w:cs="宋体"/>
          <w:b/>
          <w:bCs w:val="0"/>
          <w:color w:val="1F2933"/>
          <w:sz w:val="40"/>
        </w:rPr>
        <w:t>路口自适应信号控制</w:t>
      </w:r>
      <w:r>
        <w:rPr>
          <w:rFonts w:hint="eastAsia" w:ascii="宋体" w:hAnsi="宋体" w:eastAsia="宋体" w:cs="宋体"/>
          <w:b/>
          <w:bCs w:val="0"/>
          <w:color w:val="1F2933"/>
          <w:sz w:val="40"/>
        </w:rPr>
        <w:br w:type="textWrapping"/>
      </w:r>
      <w:r>
        <w:rPr>
          <w:rFonts w:hint="eastAsia" w:ascii="宋体" w:hAnsi="宋体" w:eastAsia="宋体" w:cs="宋体"/>
          <w:b/>
          <w:bCs w:val="0"/>
          <w:color w:val="1F2933"/>
          <w:sz w:val="40"/>
        </w:rPr>
        <w:t>算法仿真与评估报告（左右转单独版）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876"/>
      </w:tblGrid>
      <w:tr w14:paraId="363E76E9">
        <w:trPr>
          <w:jc w:val="center"/>
        </w:trPr>
        <w:tc>
          <w:tcPr>
            <w:tcW w:w="4762" w:type="dxa"/>
            <w:shd w:val="clear" w:color="auto" w:fill="EAF3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16D04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F6E8C"/>
                <w:sz w:val="24"/>
                <w:szCs w:val="24"/>
              </w:rPr>
              <w:t>数据来源</w:t>
            </w:r>
            <w:r>
              <w:rPr>
                <w:rFonts w:hint="eastAsia" w:ascii="宋体" w:hAnsi="宋体" w:eastAsia="宋体" w:cs="宋体"/>
                <w:b/>
                <w:color w:val="1F6E8C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1F2933"/>
                <w:sz w:val="24"/>
                <w:szCs w:val="24"/>
              </w:rPr>
              <w:t xml:space="preserve">赛题资料 - 路口数据 </w:t>
            </w:r>
            <w:r>
              <w:rPr>
                <w:rFonts w:hint="default" w:ascii="Times New Roman" w:hAnsi="Times New Roman" w:eastAsia="宋体" w:cs="Times New Roman"/>
                <w:b/>
                <w:color w:val="1F2933"/>
                <w:sz w:val="24"/>
                <w:szCs w:val="24"/>
              </w:rPr>
              <w:t>1</w:t>
            </w:r>
          </w:p>
        </w:tc>
        <w:tc>
          <w:tcPr>
            <w:tcW w:w="4762" w:type="dxa"/>
            <w:shd w:val="clear" w:color="auto" w:fill="EAF3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96ED8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F6E8C"/>
                <w:sz w:val="24"/>
                <w:szCs w:val="24"/>
              </w:rPr>
              <w:t>仿真时段</w:t>
            </w:r>
            <w:r>
              <w:rPr>
                <w:rFonts w:hint="eastAsia" w:ascii="宋体" w:hAnsi="宋体" w:eastAsia="宋体" w:cs="宋体"/>
                <w:b/>
                <w:color w:val="1F6E8C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color w:val="1F2933"/>
                <w:sz w:val="24"/>
                <w:szCs w:val="24"/>
              </w:rPr>
              <w:t>早高峰</w:t>
            </w:r>
            <w:r>
              <w:rPr>
                <w:rFonts w:hint="default" w:ascii="Times New Roman" w:hAnsi="Times New Roman" w:eastAsia="宋体" w:cs="Times New Roman"/>
                <w:b/>
                <w:color w:val="1F2933"/>
                <w:sz w:val="24"/>
                <w:szCs w:val="24"/>
              </w:rPr>
              <w:t xml:space="preserve"> 7:00-9:00</w:t>
            </w:r>
            <w:r>
              <w:rPr>
                <w:rFonts w:hint="eastAsia" w:ascii="宋体" w:hAnsi="宋体" w:eastAsia="宋体" w:cs="宋体"/>
                <w:b/>
                <w:color w:val="1F2933"/>
                <w:sz w:val="24"/>
                <w:szCs w:val="24"/>
              </w:rPr>
              <w:t>（</w:t>
            </w:r>
            <w:r>
              <w:rPr>
                <w:rFonts w:hint="default" w:ascii="Times New Roman" w:hAnsi="Times New Roman" w:eastAsia="宋体" w:cs="Times New Roman"/>
                <w:b/>
                <w:color w:val="1F2933"/>
                <w:sz w:val="24"/>
                <w:szCs w:val="24"/>
              </w:rPr>
              <w:t xml:space="preserve">7200 </w:t>
            </w:r>
            <w:r>
              <w:rPr>
                <w:rFonts w:hint="eastAsia" w:ascii="宋体" w:hAnsi="宋体" w:eastAsia="宋体" w:cs="宋体"/>
                <w:b/>
                <w:color w:val="1F2933"/>
                <w:sz w:val="24"/>
                <w:szCs w:val="24"/>
              </w:rPr>
              <w:t>秒）</w:t>
            </w:r>
          </w:p>
        </w:tc>
      </w:tr>
    </w:tbl>
    <w:p w14:paraId="5D7CCB55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0BC6B55C">
        <w:tc>
          <w:tcPr>
            <w:tcW w:w="9752" w:type="dxa"/>
            <w:shd w:val="clear" w:color="auto" w:fill="E9F4F8"/>
            <w:tcMar>
              <w:top w:w="170" w:type="dxa"/>
              <w:left w:w="200" w:type="dxa"/>
              <w:bottom w:w="170" w:type="dxa"/>
              <w:right w:w="200" w:type="dxa"/>
            </w:tcMar>
          </w:tcPr>
          <w:p w14:paraId="29AF739D"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核心结论：在专用左/直/右车道和四个分离相位下，稳健标定的自适应方案使平均等待时间降低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</w:rPr>
              <w:t xml:space="preserve"> 21.06%</w:t>
            </w: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，平均旅行时间降低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</w:rPr>
              <w:t>11.88%</w:t>
            </w: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，完成车辆数增加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b/>
                <w:color w:val="17365D"/>
                <w:sz w:val="24"/>
                <w:szCs w:val="24"/>
              </w:rPr>
              <w:t>辆。</w:t>
            </w:r>
          </w:p>
        </w:tc>
      </w:tr>
    </w:tbl>
    <w:p w14:paraId="699FFB73">
      <w:p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1. 项目目标</w:t>
      </w:r>
    </w:p>
    <w:p w14:paraId="3B2A289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 xml:space="preserve">本项目将赛题“路口数据 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</w:rPr>
        <w:t>1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”的早高峰流量与信号配时转换为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</w:rPr>
        <w:t>SUMO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单路口仿真场景。本版采用左转、直行、右转三条专用车道和四个分离相位，比较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</w:rPr>
        <w:t>Excel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固定配时与“需求基础配时 + 实时排队压力修正”自适应控制的效果。</w:t>
      </w:r>
    </w:p>
    <w:p w14:paraId="5B404699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固定配时：使用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Excel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早高峰四相位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38/32/32/38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秒绿灯，黄灯和全红保持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3/2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秒。</w:t>
      </w:r>
    </w:p>
    <w:p w14:paraId="485592CB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 xml:space="preserve">自适应控制：保持车道转向、四相位顺序、黄灯和全红不变；使用联合标定的 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42/30/47/21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秒基础绿灯，再用实时排队压力调节。</w:t>
      </w:r>
    </w:p>
    <w:p w14:paraId="78B4E224">
      <w:pPr>
        <w:pStyle w:val="16"/>
        <w:spacing w:after="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评估目标：降低等待、旅行时间和时间损失，提高完成通行车辆数。</w:t>
      </w:r>
    </w:p>
    <w:p w14:paraId="499493A6">
      <w:pPr>
        <w:spacing w:before="320" w:after="12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2. 数据来源与处理</w:t>
      </w:r>
    </w:p>
    <w:p w14:paraId="7F33CF1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唯一业务数据来源为：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scenario/demo_1_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流量和配时方案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.xlsx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。赛题中的“路口仿真案例”仅被用于参考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SUMO + TraCI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的程序组织方式，并未作为本项目仿真输入。</w:t>
      </w:r>
    </w:p>
    <w:tbl>
      <w:tblPr>
        <w:tblStyle w:val="32"/>
        <w:tblW w:w="97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7"/>
        <w:gridCol w:w="5220"/>
        <w:gridCol w:w="2655"/>
      </w:tblGrid>
      <w:tr w14:paraId="6C5B8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7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EDE7D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b/>
                <w:bCs/>
                <w:color w:val="FFFFFF" w:themeColor="background1"/>
                <w:sz w:val="24"/>
                <w:szCs w:val="24"/>
                <w:highlight w:val="none"/>
                <w:shd w:val="clear" w:fill="FFFFFF" w:themeFill="background1"/>
                <w:lang w:val="en-US" w:eastAsia="en-US" w:bidi="ar-SA"/>
                <w14:textFill>
                  <w14:solidFill>
                    <w14:schemeClr w14:val="bg1"/>
                  </w14:solidFill>
                </w14:textFill>
              </w:rPr>
              <w:t>Excel</w:t>
            </w: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工作表</w:t>
            </w:r>
          </w:p>
        </w:tc>
        <w:tc>
          <w:tcPr>
            <w:tcW w:w="5220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C6EA383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使用内容</w:t>
            </w:r>
          </w:p>
        </w:tc>
        <w:tc>
          <w:tcPr>
            <w:tcW w:w="265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56C1F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转换结果</w:t>
            </w:r>
          </w:p>
        </w:tc>
      </w:tr>
      <w:tr w14:paraId="38DF1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7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B6316C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流量数据</w:t>
            </w:r>
          </w:p>
        </w:tc>
        <w:tc>
          <w:tcPr>
            <w:tcW w:w="5220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D8AD098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早高峰</w:t>
            </w:r>
            <w:r>
              <w:rPr>
                <w:rFonts w:hint="eastAsia" w:ascii="宋体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8 </w:t>
            </w: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个</w:t>
            </w:r>
            <w:r>
              <w:rPr>
                <w:rFonts w:hint="eastAsia" w:ascii="宋体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15 </w:t>
            </w: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分钟区间；四进口左、直、右流量</w:t>
            </w:r>
          </w:p>
        </w:tc>
        <w:tc>
          <w:tcPr>
            <w:tcW w:w="2655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3AB152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96 </w:t>
            </w: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条</w:t>
            </w:r>
            <w:r>
              <w:rPr>
                <w:rFonts w:hint="eastAsia" w:ascii="宋体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SUMO flow </w:t>
            </w: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记录</w:t>
            </w:r>
          </w:p>
        </w:tc>
      </w:tr>
      <w:tr w14:paraId="39C0C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77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482B8E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信号配时数据</w:t>
            </w:r>
          </w:p>
        </w:tc>
        <w:tc>
          <w:tcPr>
            <w:tcW w:w="5220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1C63A5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东西直行、东西左转、南北直行、南北左转</w:t>
            </w:r>
          </w:p>
        </w:tc>
        <w:tc>
          <w:tcPr>
            <w:tcW w:w="2655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4C9EEBA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1F2933"/>
                <w:sz w:val="24"/>
                <w:szCs w:val="24"/>
              </w:rPr>
              <w:t>四相位固定信号程序</w:t>
            </w:r>
          </w:p>
        </w:tc>
      </w:tr>
    </w:tbl>
    <w:p w14:paraId="6BC993FF">
      <w:pPr>
        <w:spacing w:after="40"/>
      </w:pPr>
    </w:p>
    <w:p w14:paraId="15740E6B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流量转换规模：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8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个时间段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x 4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个进口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x 3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个转向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= 96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条流量记录。</w:t>
      </w:r>
    </w:p>
    <w:p w14:paraId="000C9492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当前基础模型将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PCU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作为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passenger vehicle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数量处理，未区分车型。</w:t>
      </w:r>
    </w:p>
    <w:p w14:paraId="711F8892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仿真时长为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7200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秒，对应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7:00-9:00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的早高峰需求。</w:t>
      </w:r>
    </w:p>
    <w:p w14:paraId="5715312F">
      <w:pPr>
        <w:spacing w:before="320" w:after="120"/>
        <w:rPr>
          <w:rFonts w:hint="eastAsia" w:ascii="宋体" w:hAnsi="宋体" w:eastAsia="宋体" w:cs="宋体"/>
          <w:b/>
          <w:bCs w:val="0"/>
          <w:sz w:val="30"/>
          <w:szCs w:val="30"/>
        </w:rPr>
      </w:pPr>
      <w:r>
        <w:rPr>
          <w:rFonts w:hint="eastAsia" w:ascii="宋体" w:hAnsi="宋体" w:eastAsia="宋体" w:cs="宋体"/>
          <w:b/>
          <w:bCs w:val="0"/>
          <w:color w:val="17365D"/>
          <w:sz w:val="30"/>
          <w:szCs w:val="30"/>
        </w:rPr>
        <w:t>3. SUMO 场景与程序结构</w:t>
      </w:r>
    </w:p>
    <w:tbl>
      <w:tblPr>
        <w:tblStyle w:val="32"/>
        <w:tblW w:w="97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6615"/>
      </w:tblGrid>
      <w:tr w14:paraId="4B39F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9BB62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文件</w:t>
            </w:r>
          </w:p>
        </w:tc>
        <w:tc>
          <w:tcPr>
            <w:tcW w:w="6615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435B8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职责</w:t>
            </w:r>
          </w:p>
        </w:tc>
      </w:tr>
      <w:tr w14:paraId="3CD81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CBED67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prepare_dataset1_scenario.py</w:t>
            </w:r>
          </w:p>
        </w:tc>
        <w:tc>
          <w:tcPr>
            <w:tcW w:w="6615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7AF760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读取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Excel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，自动生成网络、路线、信号程序与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SUMO 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配置。</w:t>
            </w:r>
          </w:p>
        </w:tc>
      </w:tr>
      <w:tr w14:paraId="6D3F5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EF25A3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run_experiment.py</w:t>
            </w:r>
          </w:p>
        </w:tc>
        <w:tc>
          <w:tcPr>
            <w:tcW w:w="6615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8655B0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启动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SUMO/TraCI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，执行固定或自适应控制，汇总指标。</w:t>
            </w:r>
          </w:p>
        </w:tc>
      </w:tr>
      <w:tr w14:paraId="0114D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A43932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plot_comparison.py</w:t>
            </w:r>
          </w:p>
        </w:tc>
        <w:tc>
          <w:tcPr>
            <w:tcW w:w="6615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B286B7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读取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JSON 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指标，生成并显示性能对比图。</w:t>
            </w:r>
          </w:p>
        </w:tc>
      </w:tr>
      <w:tr w14:paraId="539C2D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F273D6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scenario/dataset_1.*</w:t>
            </w:r>
          </w:p>
        </w:tc>
        <w:tc>
          <w:tcPr>
            <w:tcW w:w="6615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268DF9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自动生成的网络、路线、附加信号配置和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SUMO 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配置。</w:t>
            </w:r>
          </w:p>
        </w:tc>
      </w:tr>
      <w:tr w14:paraId="30CDE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137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E59899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results/</w:t>
            </w:r>
          </w:p>
        </w:tc>
        <w:tc>
          <w:tcPr>
            <w:tcW w:w="6615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06BC31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>tripinfo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、汇总指标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1F2933"/>
                <w:sz w:val="24"/>
                <w:szCs w:val="24"/>
                <w:lang w:val="en-US" w:eastAsia="en-US" w:bidi="ar-SA"/>
              </w:rPr>
              <w:t xml:space="preserve"> JSON </w:t>
            </w: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和性能图。</w:t>
            </w:r>
          </w:p>
        </w:tc>
      </w:tr>
    </w:tbl>
    <w:p w14:paraId="15BE3057">
      <w:pPr>
        <w:spacing w:after="40"/>
      </w:pPr>
    </w:p>
    <w:p w14:paraId="3497377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自动生成的网络为四进口十字路口，每个进口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3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条专用车道：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SUMO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车道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2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为左转（道路最左侧）、车道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1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为直行、车道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0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为右转（道路最右侧）。信号顺序为东西直行/右转、东西左转、南北直行/右转、南北左转；每个相位后保留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3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秒黄灯和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2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秒全红。</w:t>
      </w:r>
    </w:p>
    <w:p w14:paraId="3F985D52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3.1 共享车道方案问题分析与方案选择</w:t>
      </w:r>
    </w:p>
    <w:p w14:paraId="380519E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如果左/右转车道同时允许直行，为了不让直行车被红灯拦住，同一轴向的多个转向必须倾向同时放行。但对向直行与左转、右转存在交织冲突，转向车排队还会占用共享车道，在上游阻挡本可通行的直行车。</w:t>
      </w:r>
    </w:p>
    <w:p w14:paraId="10DBBE7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另一种做法是每个进口单独放行，可以消除对向冲突，但会增加相位数、黄灯/全红损失和平均等待，对本路口不经济。</w:t>
      </w:r>
    </w:p>
    <w:p w14:paraId="635D1D4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本版因此采用专用车道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+ </w:t>
      </w:r>
      <w:r>
        <w:rPr>
          <w:rFonts w:hint="eastAsia" w:ascii="宋体" w:hAnsi="宋体" w:eastAsia="宋体" w:cs="宋体"/>
          <w:sz w:val="24"/>
          <w:szCs w:val="24"/>
        </w:rPr>
        <w:t>轴向分离相位：左转车只在左转相位放行，直行/右转在直行相位放行；东西与南北互斥时保持全红。这避免了共享车道内的转向队列阻塞直行车，也不需要逐进口单独放行。</w:t>
      </w:r>
    </w:p>
    <w:p w14:paraId="1402431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该选择的代价是四相位带来更多相位转换损失。本项目通过需求比例基础配时和实时压力负反馈减少这一损失，在不改变安全相位关系的前提下提高效率。</w:t>
      </w:r>
    </w:p>
    <w:p w14:paraId="4CC42EAE">
      <w:pPr>
        <w:spacing w:before="320" w:after="12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4. 自适应控制逻辑</w:t>
      </w:r>
    </w:p>
    <w:p w14:paraId="435F23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控制器仅在进入绿灯相位时决策。它统计当前相位专用车道的停车车辆数，计算本相位压力占比，并围绕需求基础配时再分配绿灯。</w:t>
      </w:r>
    </w:p>
    <w:p w14:paraId="0C3925A4">
      <w:pPr>
        <w:shd w:val="clear" w:fill="EEF2F5"/>
        <w:spacing w:before="80" w:after="160"/>
        <w:ind w:left="198" w:right="198"/>
      </w:pPr>
      <w:r>
        <w:rPr>
          <w:rFonts w:ascii="Consolas" w:hAnsi="Consolas" w:eastAsia="Consolas"/>
          <w:b w:val="0"/>
          <w:color w:val="263238"/>
          <w:sz w:val="17"/>
        </w:rPr>
        <w:t>目标绿灯 = 标定基础绿灯 - 44 x (本相位压力占比 - 基础绿灯占比)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最终绿灯范围 = [12, 55] 秒；无车相位使用 12 秒最小绿灯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</w:p>
    <w:p w14:paraId="0BFC28FD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不跳过相位，不改变黄灯、全红和相位顺序；固定与自适应均使用同一专用车道网络。</w:t>
      </w:r>
    </w:p>
    <w:p w14:paraId="38C63B56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标定结果显示，当前停车队列是滞后信号；采用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gain=-15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的负反馈可避免已拥堵相位连续延长并挤占其他相位。</w:t>
      </w:r>
    </w:p>
    <w:p w14:paraId="6D2D305E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调节系数 `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gain=-44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` 与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42/30/47/21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秒基础绿灯由两阶段搜索确定；约束为完成车辆数不下降，且四项效率指标全部改善。</w:t>
      </w:r>
    </w:p>
    <w:p w14:paraId="0076273D">
      <w:pPr>
        <w:pStyle w:val="4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4.1 改善率最优化方法</w:t>
      </w:r>
    </w:p>
    <w:p w14:paraId="2E24CE9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第一阶段保持总绿灯预算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140 </w:t>
      </w:r>
      <w:r>
        <w:rPr>
          <w:rFonts w:hint="eastAsia" w:ascii="宋体" w:hAnsi="宋体" w:eastAsia="宋体" w:cs="宋体"/>
          <w:sz w:val="24"/>
          <w:szCs w:val="24"/>
        </w:rPr>
        <w:t>秒、四相位顺序和黄灯/全红不变，搜索专用左/直/右车道下的基础绿灯组合；最终选定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42/30/47/21 </w:t>
      </w:r>
      <w:r>
        <w:rPr>
          <w:rFonts w:hint="eastAsia" w:ascii="宋体" w:hAnsi="宋体" w:eastAsia="宋体" w:cs="宋体"/>
          <w:sz w:val="24"/>
          <w:szCs w:val="24"/>
        </w:rPr>
        <w:t>秒。</w:t>
      </w:r>
    </w:p>
    <w:p w14:paraId="4EBD809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第二阶段对实时压力系数进行粗扫描和邻域细化。每个候选参数都使用完整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7200 </w:t>
      </w:r>
      <w:r>
        <w:rPr>
          <w:rFonts w:hint="eastAsia" w:ascii="宋体" w:hAnsi="宋体" w:eastAsia="宋体" w:cs="宋体"/>
          <w:sz w:val="24"/>
          <w:szCs w:val="24"/>
        </w:rPr>
        <w:t>秒需求，并与同随机种子的固定配时比较。</w:t>
      </w:r>
    </w:p>
    <w:p w14:paraId="1E3F75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筛选规则为：完成车辆数不下降；旅行时间、等待时间、时间损失和平均排队全部下降；再使用种子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41/42/43 </w:t>
      </w:r>
      <w:r>
        <w:rPr>
          <w:rFonts w:hint="eastAsia" w:ascii="宋体" w:hAnsi="宋体" w:eastAsia="宋体" w:cs="宋体"/>
          <w:sz w:val="24"/>
          <w:szCs w:val="24"/>
        </w:rPr>
        <w:t>进行稳定性复验。</w:t>
      </w:r>
    </w:p>
    <w:p w14:paraId="15688BC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`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gain=-52</w:t>
      </w:r>
      <w:r>
        <w:rPr>
          <w:rFonts w:hint="eastAsia" w:ascii="宋体" w:hAnsi="宋体" w:eastAsia="宋体" w:cs="宋体"/>
          <w:sz w:val="24"/>
          <w:szCs w:val="24"/>
        </w:rPr>
        <w:t>` 在种子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42 </w:t>
      </w:r>
      <w:r>
        <w:rPr>
          <w:rFonts w:hint="eastAsia" w:ascii="宋体" w:hAnsi="宋体" w:eastAsia="宋体" w:cs="宋体"/>
          <w:sz w:val="24"/>
          <w:szCs w:val="24"/>
        </w:rPr>
        <w:t>下单次数值更高，但在种子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 xml:space="preserve"> 41 </w:t>
      </w:r>
      <w:r>
        <w:rPr>
          <w:rFonts w:hint="eastAsia" w:ascii="宋体" w:hAnsi="宋体" w:eastAsia="宋体" w:cs="宋体"/>
          <w:sz w:val="24"/>
          <w:szCs w:val="24"/>
        </w:rPr>
        <w:t>下完成车辆数和效率均显著恶化，因此被剔除。`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gain=-44</w:t>
      </w:r>
      <w:r>
        <w:rPr>
          <w:rFonts w:hint="eastAsia" w:ascii="宋体" w:hAnsi="宋体" w:eastAsia="宋体" w:cs="宋体"/>
          <w:sz w:val="24"/>
          <w:szCs w:val="24"/>
        </w:rPr>
        <w:t>` 在三个种子下都实现正向改善，作为稳健最优参数。</w:t>
      </w:r>
    </w:p>
    <w:p w14:paraId="5E1985E5">
      <w:pPr>
        <w:spacing w:before="320" w:after="12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5. 运行与复现</w:t>
      </w:r>
    </w:p>
    <w:p w14:paraId="6FC6FB1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推荐解释器：</w:t>
      </w:r>
      <w:r>
        <w:rPr>
          <w:rFonts w:hint="eastAsia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C:\Users\lauri\anaconda3\envs\project1\python.exe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。所需包为</w:t>
      </w:r>
      <w:r>
        <w:rPr>
          <w:rFonts w:hint="default" w:ascii="Times New Roman" w:hAnsi="Times New Roman" w:eastAsia="宋体" w:cs="Times New Roman"/>
          <w:b w:val="0"/>
          <w:color w:val="1F2933"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color w:val="1F2933"/>
          <w:sz w:val="24"/>
          <w:szCs w:val="24"/>
          <w:lang w:val="en-US" w:eastAsia="en-US" w:bidi="ar-SA"/>
        </w:rPr>
        <w:t>traci、s</w:t>
      </w:r>
      <w:r>
        <w:rPr>
          <w:rFonts w:hint="default" w:ascii="Times New Roman" w:hAnsi="Times New Roman" w:eastAsia="宋体" w:cs="Times New Roman"/>
          <w:b w:val="0"/>
          <w:color w:val="1F2933"/>
          <w:sz w:val="24"/>
          <w:szCs w:val="24"/>
        </w:rPr>
        <w:t xml:space="preserve">umolib、openpyxl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和</w:t>
      </w:r>
      <w:r>
        <w:rPr>
          <w:rFonts w:hint="default" w:ascii="Times New Roman" w:hAnsi="Times New Roman" w:eastAsia="宋体" w:cs="Times New Roman"/>
          <w:b w:val="0"/>
          <w:color w:val="1F2933"/>
          <w:sz w:val="24"/>
          <w:szCs w:val="24"/>
        </w:rPr>
        <w:t xml:space="preserve"> matplotlib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。</w:t>
      </w:r>
    </w:p>
    <w:p w14:paraId="6F67CE5C">
      <w:pPr>
        <w:shd w:val="clear" w:fill="EEF2F5"/>
        <w:spacing w:before="80" w:after="160"/>
        <w:ind w:left="198" w:right="198"/>
      </w:pPr>
      <w:r>
        <w:rPr>
          <w:rFonts w:ascii="Consolas" w:hAnsi="Consolas" w:eastAsia="Consolas"/>
          <w:b w:val="0"/>
          <w:color w:val="263238"/>
          <w:sz w:val="17"/>
        </w:rPr>
        <w:t>cd '.\01_仿真工程'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$env:SUMO_HOME='C:\Users\lauri\anaconda3\envs\project1\Lib\site-packages\sumo'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# 固定配时与自适应方案对比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&amp; 'C:\Users\lauri\anaconda3\envs\project1\python.exe' .\run_experiment.py --mode both --duration 7200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# 生成对比图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&amp; 'C:\Users\lauri\anaconda3\envs\project1\python.exe' .\plot_comparison.py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# SUMO-GUI 观察自适应方案</w:t>
      </w:r>
      <w:r>
        <w:rPr>
          <w:rFonts w:ascii="Consolas" w:hAnsi="Consolas" w:eastAsia="Consolas"/>
          <w:b w:val="0"/>
          <w:color w:val="263238"/>
          <w:sz w:val="17"/>
        </w:rPr>
        <w:br w:type="textWrapping"/>
      </w:r>
      <w:r>
        <w:rPr>
          <w:rFonts w:ascii="Consolas" w:hAnsi="Consolas" w:eastAsia="Consolas"/>
          <w:b w:val="0"/>
          <w:color w:val="263238"/>
          <w:sz w:val="17"/>
        </w:rPr>
        <w:t>&amp; 'C:\Users\lauri\anaconda3\envs\project1\python.exe' .\run_experiment.py --mode adaptive --gui --duration 7200</w:t>
      </w:r>
    </w:p>
    <w:p w14:paraId="62469C61">
      <w:pPr>
        <w:spacing w:before="320" w:after="120"/>
        <w:rPr>
          <w:rFonts w:hint="eastAsia" w:ascii="宋体" w:hAnsi="宋体" w:eastAsia="宋体" w:cs="宋体"/>
          <w:b/>
          <w:color w:val="17365D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6. 本次仿真结果</w:t>
      </w:r>
    </w:p>
    <w:tbl>
      <w:tblPr>
        <w:tblStyle w:val="32"/>
        <w:tblW w:w="97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1794"/>
        <w:gridCol w:w="1437"/>
        <w:gridCol w:w="3173"/>
      </w:tblGrid>
      <w:tr w14:paraId="5B6B4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48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EC66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1794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E633BE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固定配时</w:t>
            </w:r>
          </w:p>
        </w:tc>
        <w:tc>
          <w:tcPr>
            <w:tcW w:w="1437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1C77E9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自适应</w:t>
            </w:r>
          </w:p>
        </w:tc>
        <w:tc>
          <w:tcPr>
            <w:tcW w:w="3172" w:type="dxa"/>
            <w:shd w:val="clear" w:color="auto" w:fill="17365D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578734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变化</w:t>
            </w:r>
          </w:p>
        </w:tc>
      </w:tr>
      <w:tr w14:paraId="1436F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8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F10C0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完成车辆数</w:t>
            </w:r>
          </w:p>
        </w:tc>
        <w:tc>
          <w:tcPr>
            <w:tcW w:w="1794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8FE1B8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3953</w:t>
            </w:r>
          </w:p>
        </w:tc>
        <w:tc>
          <w:tcPr>
            <w:tcW w:w="1437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7E66E29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3960</w:t>
            </w:r>
          </w:p>
        </w:tc>
        <w:tc>
          <w:tcPr>
            <w:tcW w:w="3172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EADB47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+7（+0.18%）</w:t>
            </w:r>
          </w:p>
        </w:tc>
      </w:tr>
      <w:tr w14:paraId="2900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2EA7C6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平均旅行时间（s）</w:t>
            </w:r>
          </w:p>
        </w:tc>
        <w:tc>
          <w:tcPr>
            <w:tcW w:w="1794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27067C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92.62</w:t>
            </w:r>
          </w:p>
        </w:tc>
        <w:tc>
          <w:tcPr>
            <w:tcW w:w="1437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86AA563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81.62</w:t>
            </w:r>
          </w:p>
        </w:tc>
        <w:tc>
          <w:tcPr>
            <w:tcW w:w="3172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A0B1EAB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-11.00（-11.88%）</w:t>
            </w:r>
          </w:p>
        </w:tc>
      </w:tr>
      <w:tr w14:paraId="7D7C5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8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6AB7E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平均等待时间（s）</w:t>
            </w:r>
          </w:p>
        </w:tc>
        <w:tc>
          <w:tcPr>
            <w:tcW w:w="1794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EAEE81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49.01</w:t>
            </w:r>
          </w:p>
        </w:tc>
        <w:tc>
          <w:tcPr>
            <w:tcW w:w="1437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6AAF238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38.69</w:t>
            </w:r>
          </w:p>
        </w:tc>
        <w:tc>
          <w:tcPr>
            <w:tcW w:w="3172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FB74C74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-10.32（-21.06%）</w:t>
            </w:r>
          </w:p>
        </w:tc>
      </w:tr>
      <w:tr w14:paraId="3AF5E3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8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059489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平均时间损失（s）</w:t>
            </w:r>
          </w:p>
        </w:tc>
        <w:tc>
          <w:tcPr>
            <w:tcW w:w="1794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AC19CA2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59.92</w:t>
            </w:r>
          </w:p>
        </w:tc>
        <w:tc>
          <w:tcPr>
            <w:tcW w:w="1437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D00EB5F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48.91</w:t>
            </w:r>
          </w:p>
        </w:tc>
        <w:tc>
          <w:tcPr>
            <w:tcW w:w="3172" w:type="dx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DE918E6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-11.01（-18.37%）</w:t>
            </w:r>
          </w:p>
        </w:tc>
      </w:tr>
      <w:tr w14:paraId="69F015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48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36D04B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宋体" w:eastAsia="宋体" w:cs="宋体"/>
                <w:b w:val="0"/>
                <w:color w:val="1F2933"/>
                <w:sz w:val="24"/>
                <w:szCs w:val="24"/>
              </w:rPr>
              <w:t>平均排队车辆数</w:t>
            </w:r>
          </w:p>
        </w:tc>
        <w:tc>
          <w:tcPr>
            <w:tcW w:w="1794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3FCEAE3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27.15</w:t>
            </w:r>
          </w:p>
        </w:tc>
        <w:tc>
          <w:tcPr>
            <w:tcW w:w="1437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6F30525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21.44</w:t>
            </w:r>
          </w:p>
        </w:tc>
        <w:tc>
          <w:tcPr>
            <w:tcW w:w="3172" w:type="dxa"/>
            <w:shd w:val="clear" w:color="auto" w:fill="F3F6F8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6C0AF60">
            <w:pPr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eastAsia" w:ascii="Times New Roman" w:hAnsi="宋体" w:eastAsia="宋体" w:cs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1F2933"/>
                <w:sz w:val="24"/>
                <w:szCs w:val="24"/>
              </w:rPr>
              <w:t>-5.71（-21.03%）</w:t>
            </w:r>
          </w:p>
        </w:tc>
      </w:tr>
    </w:tbl>
    <w:p w14:paraId="7132A067">
      <w:pPr>
        <w:spacing w:after="40"/>
      </w:pPr>
    </w:p>
    <w:p w14:paraId="08E8DA6B">
      <w:r>
        <w:drawing>
          <wp:inline distT="0" distB="0" distL="114300" distR="114300">
            <wp:extent cx="5831840" cy="3262630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1B52">
      <w:pPr>
        <w:jc w:val="center"/>
        <w:rPr>
          <w:rFonts w:hint="eastAsia" w:ascii="宋体" w:hAnsi="宋体" w:eastAsia="宋体" w:cs="宋体"/>
          <w:sz w:val="26"/>
          <w:szCs w:val="26"/>
        </w:rPr>
      </w:pPr>
      <w:r>
        <w:rPr>
          <w:rFonts w:hint="eastAsia" w:ascii="宋体" w:hAnsi="宋体" w:eastAsia="宋体" w:cs="宋体"/>
          <w:b w:val="0"/>
          <w:color w:val="52616B"/>
          <w:sz w:val="26"/>
          <w:szCs w:val="26"/>
        </w:rPr>
        <w:t>图</w:t>
      </w:r>
      <w:r>
        <w:rPr>
          <w:rFonts w:hint="eastAsia" w:ascii="Times New Roman" w:hAnsi="Times New Roman" w:eastAsia="宋体" w:cs="Times New Roman"/>
          <w:b w:val="0"/>
          <w:color w:val="808080" w:themeColor="background1" w:themeShade="80"/>
          <w:sz w:val="24"/>
          <w:szCs w:val="24"/>
        </w:rPr>
        <w:t xml:space="preserve"> 1</w:t>
      </w:r>
      <w:r>
        <w:rPr>
          <w:rFonts w:hint="eastAsia" w:ascii="宋体" w:hAnsi="宋体" w:eastAsia="宋体" w:cs="宋体"/>
          <w:b w:val="0"/>
          <w:color w:val="52616B"/>
          <w:sz w:val="26"/>
          <w:szCs w:val="26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color w:val="808080" w:themeColor="background1" w:themeShade="80"/>
          <w:sz w:val="24"/>
          <w:szCs w:val="24"/>
        </w:rPr>
        <w:t>deta-1</w:t>
      </w:r>
      <w:r>
        <w:rPr>
          <w:rFonts w:hint="eastAsia" w:ascii="Times New Roman" w:hAnsi="Times New Roman" w:eastAsia="宋体" w:cs="Times New Roman"/>
          <w:b w:val="0"/>
          <w:color w:val="1F29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color w:val="52616B"/>
          <w:sz w:val="26"/>
          <w:szCs w:val="26"/>
        </w:rPr>
        <w:t>固定配时与自适应信号控制性能对比</w:t>
      </w:r>
    </w:p>
    <w:p w14:paraId="12C9981F">
      <w:pPr>
        <w:spacing w:before="320" w:after="120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b/>
          <w:color w:val="17365D"/>
          <w:sz w:val="30"/>
          <w:szCs w:val="30"/>
        </w:rPr>
        <w:t>7. 已知边界与后续建议</w:t>
      </w:r>
    </w:p>
    <w:p w14:paraId="29687FEE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路口几何为依据方向流量和相位方案构建的标准化四进口网络，尚未将高精地图图片转换为真实车道几何。</w:t>
      </w:r>
    </w:p>
    <w:p w14:paraId="2536783A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当前仅使用早高峰数据；平峰和晚高峰可沿用相同生成流程扩展。</w:t>
      </w:r>
    </w:p>
    <w:p w14:paraId="14FF6602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color w:val="1F2933"/>
          <w:sz w:val="24"/>
          <w:szCs w:val="24"/>
          <w:lang w:val="en-US" w:eastAsia="en-US" w:bidi="ar-SA"/>
        </w:rPr>
        <w:t xml:space="preserve">PCU 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尚未按车型折算；后续可引入小汽车、公交车、货车等多车型</w:t>
      </w:r>
      <w:r>
        <w:rPr>
          <w:rFonts w:hint="eastAsia" w:ascii="Times New Roman" w:hAnsi="Times New Roman" w:eastAsia="宋体" w:cs="Times New Roman"/>
          <w:b w:val="0"/>
          <w:color w:val="1F2933"/>
          <w:sz w:val="24"/>
          <w:szCs w:val="24"/>
          <w:lang w:val="en-US" w:eastAsia="en-US" w:bidi="ar-SA"/>
        </w:rPr>
        <w:t xml:space="preserve"> vType</w:t>
      </w: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。</w:t>
      </w:r>
    </w:p>
    <w:p w14:paraId="7EDFDACA">
      <w:pPr>
        <w:pStyle w:val="16"/>
        <w:spacing w:after="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1F2933"/>
          <w:sz w:val="24"/>
          <w:szCs w:val="24"/>
        </w:rPr>
        <w:t>可对自适应系数、绿灯上下限和需求波动情景开展多组参数标定。</w:t>
      </w:r>
    </w:p>
    <w:sectPr>
      <w:headerReference r:id="rId5" w:type="default"/>
      <w:footerReference r:id="rId6" w:type="default"/>
      <w:pgSz w:w="11906" w:h="16838"/>
      <w:pgMar w:top="1020" w:right="1077" w:bottom="964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FC497">
    <w:pPr>
      <w:pStyle w:val="24"/>
      <w:jc w:val="center"/>
    </w:pPr>
    <w:r>
      <w:rPr>
        <w:rFonts w:ascii="微软雅黑" w:hAnsi="微软雅黑" w:eastAsia="微软雅黑"/>
        <w:b w:val="0"/>
        <w:color w:val="6B7785"/>
        <w:sz w:val="17"/>
      </w:rPr>
      <w:t>路口数据 1 - 自适应信号控制项目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8C23C">
    <w:pPr>
      <w:pStyle w:val="25"/>
      <w:jc w:val="right"/>
    </w:pPr>
    <w:r>
      <w:rPr>
        <w:rFonts w:ascii="微软雅黑" w:hAnsi="微软雅黑" w:eastAsia="微软雅黑"/>
        <w:b/>
        <w:color w:val="1F6E8C"/>
        <w:sz w:val="17"/>
      </w:rPr>
      <w:t>deta-1 | SUMO 仿真团队交接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063EB7"/>
    <w:rsid w:val="2B404826"/>
    <w:rsid w:val="369A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1899</Words>
  <Characters>2749</Characters>
  <Lines>0</Lines>
  <Paragraphs>0</Paragraphs>
  <TotalTime>17</TotalTime>
  <ScaleCrop>false</ScaleCrop>
  <LinksUpToDate>false</LinksUpToDate>
  <CharactersWithSpaces>2902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项目团队</dc:creator>
  <dc:description>generated by python-docx</dc:description>
  <cp:lastModifiedBy>25182404</cp:lastModifiedBy>
  <dcterms:modified xsi:type="dcterms:W3CDTF">2026-07-25T11:06:36Z</dcterms:modified>
  <dc:subject>SUMO 仿真项目交接</dc:subject>
  <dc:title>deta-1 路口自适应信号控制团队交接说明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eyJoZGlkIjoiYmQ4OTZhZDJiMDQ5NTA3ZTIyMTczZjFhYzE0NDFlMWUiLCJ1c2VySWQiOiIxNzQ2NzIwNDE3In0=</vt:lpwstr>
  </property>
  <property fmtid="{D5CDD505-2E9C-101B-9397-08002B2CF9AE}" pid="3" name="KSOProductBuildVer">
    <vt:lpwstr>2052-12.1.0.26895</vt:lpwstr>
  </property>
  <property fmtid="{D5CDD505-2E9C-101B-9397-08002B2CF9AE}" pid="4" name="ICV">
    <vt:lpwstr>683AB2C0C7504A0DAA7F5D86D71DCB2C_12</vt:lpwstr>
  </property>
</Properties>
</file>