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88A4F">
      <w:pPr>
        <w:jc w:val="center"/>
        <w:rPr>
          <w:sz w:val="44"/>
          <w:szCs w:val="44"/>
        </w:rPr>
      </w:pPr>
      <w:r>
        <w:rPr>
          <w:b/>
          <w:color w:val="17365D"/>
          <w:sz w:val="44"/>
          <w:szCs w:val="44"/>
        </w:rPr>
        <w:t>功能三任务一</w:t>
      </w:r>
      <w:r>
        <w:rPr>
          <w:b/>
          <w:color w:val="17365D"/>
          <w:sz w:val="44"/>
          <w:szCs w:val="44"/>
        </w:rPr>
        <w:br w:type="textWrapping"/>
      </w:r>
      <w:r>
        <w:rPr>
          <w:b/>
          <w:color w:val="17365D"/>
          <w:sz w:val="44"/>
          <w:szCs w:val="44"/>
        </w:rPr>
        <w:t>经典算法与场景适配</w:t>
      </w:r>
    </w:p>
    <w:p w14:paraId="30920806">
      <w:pPr>
        <w:jc w:val="center"/>
      </w:pPr>
      <w:r>
        <w:rPr>
          <w:color w:val="4F6274"/>
          <w:sz w:val="30"/>
        </w:rPr>
        <w:t>提交说明与最终完整性核查报告</w:t>
      </w:r>
    </w:p>
    <w:p w14:paraId="097E5768">
      <w:pPr>
        <w:jc w:val="center"/>
      </w:pPr>
      <w:r>
        <w:rPr>
          <w:i/>
        </w:rPr>
        <w:t>赛道B：经典交通管控算法场景适配与优化</w:t>
      </w:r>
      <w:r>
        <w:rPr>
          <w:i/>
        </w:rPr>
        <w:br w:type="textWrapping"/>
      </w:r>
      <w:r>
        <w:rPr>
          <w:i/>
        </w:rPr>
        <w:t>雄安新区20路口窄路密网 CityFlow 场景</w:t>
      </w:r>
    </w:p>
    <w:p w14:paraId="09EF867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报告目的</w:t>
      </w:r>
    </w:p>
    <w:p w14:paraId="0E88E623">
      <w:r>
        <w:t>本报告用于说明功能三任务一提交目录的组成、运行接口、场景适配方法、统一评价口径及最终核查结论，确保评审人员能够在 Docker 环境中复现经典基线并核验动态 TRANSYT 监视器。</w:t>
      </w:r>
    </w:p>
    <w:p w14:paraId="42FA1F6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一、提交范围与目录</w:t>
      </w:r>
    </w:p>
    <w:tbl>
      <w:tblPr>
        <w:tblStyle w:val="33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3961"/>
        <w:gridCol w:w="4789"/>
      </w:tblGrid>
      <w:tr w14:paraId="1E838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30" w:type="dxa"/>
            <w:shd w:val="clear" w:color="auto" w:fill="1F4E78"/>
            <w:vAlign w:val="center"/>
          </w:tcPr>
          <w:p w14:paraId="1A4BE1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3961" w:type="dxa"/>
            <w:shd w:val="clear" w:color="auto" w:fill="1F4E78"/>
            <w:vAlign w:val="center"/>
          </w:tcPr>
          <w:p w14:paraId="031702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目录/文件</w:t>
            </w:r>
          </w:p>
        </w:tc>
        <w:tc>
          <w:tcPr>
            <w:tcW w:w="4788" w:type="dxa"/>
            <w:shd w:val="clear" w:color="auto" w:fill="1F4E78"/>
            <w:vAlign w:val="center"/>
          </w:tcPr>
          <w:p w14:paraId="1ABE255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1DB3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5F9C5A8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算法程序</w:t>
            </w:r>
          </w:p>
        </w:tc>
        <w:tc>
          <w:tcPr>
            <w:tcW w:w="3961" w:type="dxa"/>
            <w:vAlign w:val="center"/>
          </w:tcPr>
          <w:p w14:paraId="41AD9D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src/algorithms.py</w:t>
            </w:r>
          </w:p>
        </w:tc>
        <w:tc>
          <w:tcPr>
            <w:tcW w:w="4788" w:type="dxa"/>
            <w:vAlign w:val="center"/>
          </w:tcPr>
          <w:p w14:paraId="035676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固定配时、MaxPressure、TRANSYT 风格控制器实现。</w:t>
            </w:r>
          </w:p>
        </w:tc>
      </w:tr>
      <w:tr w14:paraId="618A5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17FEFB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统一运行</w:t>
            </w:r>
          </w:p>
        </w:tc>
        <w:tc>
          <w:tcPr>
            <w:tcW w:w="3961" w:type="dxa"/>
            <w:vAlign w:val="center"/>
          </w:tcPr>
          <w:p w14:paraId="7C35513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src/run_cityflow.py</w:t>
            </w:r>
          </w:p>
        </w:tc>
        <w:tc>
          <w:tcPr>
            <w:tcW w:w="4788" w:type="dxa"/>
            <w:vAlign w:val="center"/>
          </w:tcPr>
          <w:p w14:paraId="26732C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CityFlow 统一仿真入口、指标计算和结果写出。</w:t>
            </w:r>
          </w:p>
        </w:tc>
      </w:tr>
      <w:tr w14:paraId="5B29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29C6FC1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动态显示</w:t>
            </w:r>
          </w:p>
        </w:tc>
        <w:tc>
          <w:tcPr>
            <w:tcW w:w="3961" w:type="dxa"/>
            <w:vAlign w:val="center"/>
          </w:tcPr>
          <w:p w14:paraId="647687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src/show_live.py；scripts/run_and_show.ps1</w:t>
            </w:r>
          </w:p>
        </w:tc>
        <w:tc>
          <w:tcPr>
            <w:tcW w:w="4788" w:type="dxa"/>
            <w:vAlign w:val="center"/>
          </w:tcPr>
          <w:p w14:paraId="52FFD2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实时路网、路口状态、车辆位置和八色相位监视；动态入口固定使用 TRANSYT。</w:t>
            </w:r>
          </w:p>
        </w:tc>
      </w:tr>
      <w:tr w14:paraId="2E1B4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29BFB18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场景数据</w:t>
            </w:r>
          </w:p>
        </w:tc>
        <w:tc>
          <w:tcPr>
            <w:tcW w:w="3961" w:type="dxa"/>
            <w:vAlign w:val="center"/>
          </w:tcPr>
          <w:p w14:paraId="45227D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data/xiong_an_20/</w:t>
            </w:r>
          </w:p>
        </w:tc>
        <w:tc>
          <w:tcPr>
            <w:tcW w:w="4788" w:type="dxa"/>
            <w:vAlign w:val="center"/>
          </w:tcPr>
          <w:p w14:paraId="0EDF6C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路网、拓扑、早/午/晚三时段流量、原始信号配时及审计清单。</w:t>
            </w:r>
          </w:p>
        </w:tc>
      </w:tr>
      <w:tr w14:paraId="4237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75F67D1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配置与参数</w:t>
            </w:r>
          </w:p>
        </w:tc>
        <w:tc>
          <w:tcPr>
            <w:tcW w:w="3961" w:type="dxa"/>
            <w:vAlign w:val="center"/>
          </w:tcPr>
          <w:p w14:paraId="744C20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configs/</w:t>
            </w:r>
          </w:p>
        </w:tc>
        <w:tc>
          <w:tcPr>
            <w:tcW w:w="4788" w:type="dxa"/>
            <w:vAlign w:val="center"/>
          </w:tcPr>
          <w:p w14:paraId="7E5242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随机种子、仿真参数和基线参数网格。</w:t>
            </w:r>
          </w:p>
        </w:tc>
      </w:tr>
      <w:tr w14:paraId="10944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5126750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容器环境</w:t>
            </w:r>
          </w:p>
        </w:tc>
        <w:tc>
          <w:tcPr>
            <w:tcW w:w="3961" w:type="dxa"/>
            <w:vAlign w:val="center"/>
          </w:tcPr>
          <w:p w14:paraId="7865C39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Dockerfile；third_party/CityFlow/；.dockerignore</w:t>
            </w:r>
          </w:p>
        </w:tc>
        <w:tc>
          <w:tcPr>
            <w:tcW w:w="4788" w:type="dxa"/>
            <w:vAlign w:val="center"/>
          </w:tcPr>
          <w:p w14:paraId="03A7B83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使用随包附带的官方 CityFlow 源码构建，避免构建时依赖 GitHub 网络。</w:t>
            </w:r>
          </w:p>
        </w:tc>
      </w:tr>
      <w:tr w14:paraId="0C0F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30" w:type="dxa"/>
            <w:vAlign w:val="center"/>
          </w:tcPr>
          <w:p w14:paraId="11F894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结果与说明</w:t>
            </w:r>
          </w:p>
        </w:tc>
        <w:tc>
          <w:tcPr>
            <w:tcW w:w="3961" w:type="dxa"/>
            <w:vAlign w:val="center"/>
          </w:tcPr>
          <w:p w14:paraId="11B4E2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结果/；docs/；交付完整性检查表.md</w:t>
            </w:r>
          </w:p>
        </w:tc>
        <w:tc>
          <w:tcPr>
            <w:tcW w:w="4788" w:type="dxa"/>
            <w:vAlign w:val="center"/>
          </w:tcPr>
          <w:p w14:paraId="514014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历史结果、指标汇总、算法说明、公平对比协议及验收清单。</w:t>
            </w:r>
          </w:p>
        </w:tc>
      </w:tr>
    </w:tbl>
    <w:p w14:paraId="2DE47FF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二、场景与算法适配说明</w:t>
      </w:r>
    </w:p>
    <w:p w14:paraId="0E4F2C8F">
      <w:r>
        <w:t>场景为4×5近似网格布局，共20个受控路口、294条道路，保留相邻路口连接和边界进口。三组流量文件对应早高峰、午间和晚高峰；原始配时保存在 source_signal_plans.json 中。任务1核心控制器、相位映射、TRANSYT周期参数和指标入口与任务3“最终主线_UGAT_TRANSYT_FRAP”所依赖的任务2协同工程逐文件对齐。实验统一采用八相位保护左转/直右相位集，保证不同基线使用同一动作空间和评价口径。</w:t>
      </w:r>
    </w:p>
    <w:tbl>
      <w:tblPr>
        <w:tblStyle w:val="33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4614"/>
        <w:gridCol w:w="4041"/>
      </w:tblGrid>
      <w:tr w14:paraId="4BCA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78A299D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基线</w:t>
            </w:r>
          </w:p>
        </w:tc>
        <w:tc>
          <w:tcPr>
            <w:tcW w:w="4614" w:type="dxa"/>
            <w:shd w:val="clear" w:color="auto" w:fill="1F4E78"/>
            <w:vAlign w:val="center"/>
          </w:tcPr>
          <w:p w14:paraId="3A5E3E6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动作逻辑</w:t>
            </w:r>
          </w:p>
        </w:tc>
        <w:tc>
          <w:tcPr>
            <w:tcW w:w="4041" w:type="dxa"/>
            <w:shd w:val="clear" w:color="auto" w:fill="1F4E78"/>
            <w:vAlign w:val="center"/>
          </w:tcPr>
          <w:p w14:paraId="554ED8A2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适配重点</w:t>
            </w:r>
          </w:p>
        </w:tc>
      </w:tr>
      <w:tr w14:paraId="62D9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63C93BA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固定配时</w:t>
            </w:r>
          </w:p>
        </w:tc>
        <w:tc>
          <w:tcPr>
            <w:tcW w:w="4614" w:type="dxa"/>
            <w:vAlign w:val="center"/>
          </w:tcPr>
          <w:p w14:paraId="69021CBB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按统一八相位循环，固定保持周期。</w:t>
            </w:r>
          </w:p>
        </w:tc>
        <w:tc>
          <w:tcPr>
            <w:tcW w:w="4041" w:type="dxa"/>
            <w:vAlign w:val="center"/>
          </w:tcPr>
          <w:p w14:paraId="13AC80FE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保证各转向得到服务。</w:t>
            </w:r>
          </w:p>
        </w:tc>
      </w:tr>
      <w:tr w14:paraId="56E2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9FEC036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MaxPressure</w:t>
            </w:r>
          </w:p>
        </w:tc>
        <w:tc>
          <w:tcPr>
            <w:tcW w:w="4614" w:type="dxa"/>
            <w:vAlign w:val="center"/>
          </w:tcPr>
          <w:p w14:paraId="17DE599C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按12个进口车道状态计算八个相位压力，选择最大压力相位。</w:t>
            </w:r>
          </w:p>
        </w:tc>
        <w:tc>
          <w:tcPr>
            <w:tcW w:w="4041" w:type="dxa"/>
            <w:vAlign w:val="center"/>
          </w:tcPr>
          <w:p w14:paraId="4C30C0F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映射窄路密网多方向进口需求。</w:t>
            </w:r>
          </w:p>
        </w:tc>
      </w:tr>
      <w:tr w14:paraId="724BF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5" w:type="dxa"/>
            <w:vAlign w:val="center"/>
          </w:tcPr>
          <w:p w14:paraId="53DBE1D4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TRANSYT 风格</w:t>
            </w:r>
          </w:p>
        </w:tc>
        <w:tc>
          <w:tcPr>
            <w:tcW w:w="4614" w:type="dxa"/>
            <w:vAlign w:val="center"/>
          </w:tcPr>
          <w:p w14:paraId="01E11043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基于需求滑动平均计算绿信比分配、公共周期和拓扑偏移。</w:t>
            </w:r>
          </w:p>
        </w:tc>
        <w:tc>
          <w:tcPr>
            <w:tcW w:w="4041" w:type="dxa"/>
            <w:vAlign w:val="center"/>
          </w:tcPr>
          <w:p w14:paraId="0F7BE411">
            <w:pPr>
              <w:keepNext/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保留走廊协调和路口间时空偏移；动态监视唯一入口。</w:t>
            </w:r>
          </w:p>
        </w:tc>
      </w:tr>
    </w:tbl>
    <w:p w14:paraId="48AB082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三、公平对比协议</w:t>
      </w:r>
    </w:p>
    <w:p w14:paraId="22527ECD">
      <w:pPr>
        <w:pStyle w:val="16"/>
      </w:pPr>
      <w:r>
        <w:t>相同 roadnet.json、flow_&lt;period&gt;.json、仿真时长和 CityFlow 版本。</w:t>
      </w:r>
    </w:p>
    <w:p w14:paraId="56B4643E">
      <w:pPr>
        <w:pStyle w:val="16"/>
      </w:pPr>
      <w:r>
        <w:t>统一使用 7500 个仿真步、10 秒决策间隔和固定随机种子 20260816。</w:t>
      </w:r>
    </w:p>
    <w:p w14:paraId="3BBCFF97">
      <w:pPr>
        <w:pStyle w:val="16"/>
      </w:pPr>
      <w:r>
        <w:t>指标由 src/run_cityflow.py 单一入口计算，包括吞吐率、平均旅行时间、自由流延误和末端排队代理量。</w:t>
      </w:r>
    </w:p>
    <w:p w14:paraId="7DBDB58A">
      <w:pPr>
        <w:pStyle w:val="16"/>
      </w:pPr>
      <w:r>
        <w:t>即使 scheduled_vehicles 已达到 total_demand，仿真仍严格运行至第7500步；这是与任务3最终消融主线统一的统计口径。</w:t>
      </w:r>
    </w:p>
    <w:p w14:paraId="05BDC339">
      <w:pPr>
        <w:pStyle w:val="16"/>
      </w:pPr>
      <w:r>
        <w:t>动态显示只允许 TRANSYT，后台 Docker 进程隐藏，动态结果写入 outputs/dynamic/。</w:t>
      </w:r>
    </w:p>
    <w:p w14:paraId="5EF113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四、运行方式与指标查看</w:t>
      </w:r>
    </w:p>
    <w:p w14:paraId="4633A8E0">
      <w:r>
        <w:t>在 PowerShell 中进入任务目录后执行：</w:t>
      </w:r>
    </w:p>
    <w:p w14:paraId="1A9E8E7B">
      <w:pPr>
        <w:pStyle w:val="156"/>
      </w:pPr>
      <w:r>
        <w:t>docker build --no-cache -t xiong-an-task1:cityflow-local .</w:t>
      </w:r>
    </w:p>
    <w:p w14:paraId="5830F3F7">
      <w:pPr>
        <w:pStyle w:val="156"/>
      </w:pPr>
      <w:r>
        <w:t>powershell -NoProfile -ExecutionPolicy Bypass -File ".\scripts\run_and_show.ps1" -Period morning -Steps 7500 -Threads 1 -LiveInterval 1 -Image "xiong-an-task1:cityflow-local"</w:t>
      </w:r>
    </w:p>
    <w:p w14:paraId="0CB64F2C">
      <w:r>
        <w:t>运行完成后，动态窗口底部应显示 COMPLETE，且 injected 应等于 total_demand。上述集成命令会自动打开完整动态 TRANSYT 运行图，并在仿真结束后在同一 PowerShell 窗口打印 average_travel_time_s（travel time）、estimated_delay_s（delay）、throughput_est、final_queue_proxy（queue）等核心指标。结果文件位于 outputs/dynamic/metrics.csv、trace_*.json 和 live_*.jsonl。</w:t>
      </w:r>
    </w:p>
    <w:p w14:paraId="0B452320">
      <w:r>
        <w:t>查看指标：</w:t>
      </w:r>
    </w:p>
    <w:p w14:paraId="4EEBB25E">
      <w:pPr>
        <w:pStyle w:val="156"/>
      </w:pPr>
      <w:r>
        <w:t>Get-Content .\outputs\dynamic\metrics.csv</w:t>
      </w:r>
    </w:p>
    <w:p w14:paraId="4698CF8C">
      <w:pPr>
        <w:pStyle w:val="156"/>
      </w:pPr>
      <w:r>
        <w:t>Get-Content .\结果\任务3对齐复现\morning\transyt\metrics.csv</w:t>
      </w:r>
    </w:p>
    <w:p w14:paraId="39392631">
      <w:r>
        <w:t>重点字段：average_travel_time_s（平均旅行时间，越小越好）、estimated_delay_s（估计延误，越小越好）、throughput_est（吞吐率，越大越好）、final_queue_proxy（末端排队代理量，越小越好）、final_active_vehicles（末端在网车辆数）和 freeflow_mean_s（自由流时间基准）。trace_*.json 可查看各采样时刻的旅行时间、排队和相位；live_*.jsonl 还包含车辆位置。任务3最终六组消融汇总位于“任务3\最终主线_UGAT_TRANSYT_FRAP\TRANSYT_FRAP消融实验汇总.csv”。</w:t>
      </w:r>
    </w:p>
    <w:p w14:paraId="0AC533C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五、最终完整性核查</w:t>
      </w:r>
    </w:p>
    <w:tbl>
      <w:tblPr>
        <w:tblStyle w:val="33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978"/>
        <w:gridCol w:w="5790"/>
      </w:tblGrid>
      <w:tr w14:paraId="78F5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5278E72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bookmarkStart w:id="0" w:name="_GoBack"/>
            <w:bookmarkEnd w:id="0"/>
            <w:r>
              <w:rPr>
                <w:rFonts w:ascii="微软雅黑" w:eastAsia="微软雅黑"/>
                <w:b/>
                <w:color w:val="FFFFFF"/>
                <w:sz w:val="18"/>
              </w:rPr>
              <w:t>核查项</w:t>
            </w:r>
          </w:p>
        </w:tc>
        <w:tc>
          <w:tcPr>
            <w:tcW w:w="978" w:type="dxa"/>
            <w:shd w:val="clear" w:color="auto" w:fill="1F4E78"/>
            <w:vAlign w:val="center"/>
          </w:tcPr>
          <w:p w14:paraId="088200F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5791" w:type="dxa"/>
            <w:shd w:val="clear" w:color="auto" w:fill="1F4E78"/>
            <w:vAlign w:val="center"/>
          </w:tcPr>
          <w:p w14:paraId="5A9E7DE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8"/>
              </w:rPr>
            </w:pPr>
            <w:r>
              <w:rPr>
                <w:rFonts w:ascii="微软雅黑" w:eastAsia="微软雅黑"/>
                <w:b/>
                <w:color w:val="FFFFFF"/>
                <w:sz w:val="18"/>
              </w:rPr>
              <w:t>证据</w:t>
            </w:r>
          </w:p>
        </w:tc>
      </w:tr>
      <w:tr w14:paraId="730B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44E7D1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关键程序、配置、数据、模型和官方 CityFlow 源码</w:t>
            </w:r>
          </w:p>
        </w:tc>
        <w:tc>
          <w:tcPr>
            <w:tcW w:w="978" w:type="dxa"/>
            <w:vAlign w:val="center"/>
          </w:tcPr>
          <w:p w14:paraId="57B57C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通过</w:t>
            </w:r>
          </w:p>
        </w:tc>
        <w:tc>
          <w:tcPr>
            <w:tcW w:w="5791" w:type="dxa"/>
            <w:vAlign w:val="center"/>
          </w:tcPr>
          <w:p w14:paraId="4AC1F87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所需文件均存在；third_party/CityFlow/setup.py 可用。</w:t>
            </w:r>
          </w:p>
        </w:tc>
      </w:tr>
      <w:tr w14:paraId="664F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769B8B9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离线场景校验</w:t>
            </w:r>
          </w:p>
        </w:tc>
        <w:tc>
          <w:tcPr>
            <w:tcW w:w="978" w:type="dxa"/>
            <w:vAlign w:val="center"/>
          </w:tcPr>
          <w:p w14:paraId="7D0574A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通过</w:t>
            </w:r>
          </w:p>
        </w:tc>
        <w:tc>
          <w:tcPr>
            <w:tcW w:w="5791" w:type="dxa"/>
            <w:vAlign w:val="center"/>
          </w:tcPr>
          <w:p w14:paraId="2534A41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20个受控路口、294条道路；早/午/晚流量 77749/54864/87051；20/20工作簿对齐。</w:t>
            </w:r>
          </w:p>
        </w:tc>
      </w:tr>
      <w:tr w14:paraId="29B3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4795C2E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任务3最终主线逐文件对齐</w:t>
            </w:r>
          </w:p>
        </w:tc>
        <w:tc>
          <w:tcPr>
            <w:tcW w:w="978" w:type="dxa"/>
            <w:vAlign w:val="center"/>
          </w:tcPr>
          <w:p w14:paraId="3A99A8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通过</w:t>
            </w:r>
          </w:p>
        </w:tc>
        <w:tc>
          <w:tcPr>
            <w:tcW w:w="5791" w:type="dxa"/>
            <w:vAlign w:val="center"/>
          </w:tcPr>
          <w:p w14:paraId="474931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algorithms.py、run_cityflow.py、ugat_frap.py 和配置与任务2协同工程 SHA-256 一致。</w:t>
            </w:r>
          </w:p>
        </w:tc>
      </w:tr>
      <w:tr w14:paraId="3857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06662A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Docker 构建</w:t>
            </w:r>
          </w:p>
        </w:tc>
        <w:tc>
          <w:tcPr>
            <w:tcW w:w="978" w:type="dxa"/>
            <w:vAlign w:val="center"/>
          </w:tcPr>
          <w:p w14:paraId="30FACFC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通过</w:t>
            </w:r>
          </w:p>
        </w:tc>
        <w:tc>
          <w:tcPr>
            <w:tcW w:w="5791" w:type="dxa"/>
            <w:vAlign w:val="center"/>
          </w:tcPr>
          <w:p w14:paraId="726035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本地官方 CityFlow 源码编译并安装成功。</w:t>
            </w:r>
          </w:p>
        </w:tc>
      </w:tr>
      <w:tr w14:paraId="3F6B1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4AE4F90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动态 TRANSYT 复现与指标查看</w:t>
            </w:r>
          </w:p>
        </w:tc>
        <w:tc>
          <w:tcPr>
            <w:tcW w:w="978" w:type="dxa"/>
            <w:vAlign w:val="center"/>
          </w:tcPr>
          <w:p w14:paraId="60E5A0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通过</w:t>
            </w:r>
          </w:p>
        </w:tc>
        <w:tc>
          <w:tcPr>
            <w:tcW w:w="5791" w:type="dxa"/>
            <w:vAlign w:val="center"/>
          </w:tcPr>
          <w:p w14:paraId="1E0FA2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已提供一键动态脚本、metrics/trace/live 文件说明及字段口径。</w:t>
            </w:r>
          </w:p>
        </w:tc>
      </w:tr>
      <w:tr w14:paraId="6C4F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12" w:type="dxa"/>
            <w:vAlign w:val="center"/>
          </w:tcPr>
          <w:p w14:paraId="1BA62E6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任务3六组最终消融数值</w:t>
            </w:r>
          </w:p>
        </w:tc>
        <w:tc>
          <w:tcPr>
            <w:tcW w:w="978" w:type="dxa"/>
            <w:vAlign w:val="center"/>
          </w:tcPr>
          <w:p w14:paraId="2E322E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已归档</w:t>
            </w:r>
          </w:p>
        </w:tc>
        <w:tc>
          <w:tcPr>
            <w:tcW w:w="5791" w:type="dxa"/>
            <w:vAlign w:val="center"/>
          </w:tcPr>
          <w:p w14:paraId="032A65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8"/>
              </w:rPr>
            </w:pPr>
            <w:r>
              <w:rPr>
                <w:rFonts w:ascii="微软雅黑" w:eastAsia="微软雅黑"/>
                <w:b w:val="0"/>
                <w:sz w:val="18"/>
              </w:rPr>
              <w:t>引用任务3最终主线汇总，不混用历史 UGAT 消融结果。</w:t>
            </w:r>
          </w:p>
        </w:tc>
      </w:tr>
    </w:tbl>
    <w:p w14:paraId="4FC9498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六、交付结论</w:t>
      </w:r>
    </w:p>
    <w:p w14:paraId="34A03144">
      <w:r>
        <w:t>提交目录已具备任务一要求的程序、数据/配置、文档/图表和 Docker 运行接口。核心场景可离线校验，CityFlow 官方源码已随包提供，避免依赖构建时外网访问。任务1运行核心与任务3最终消融主线对齐，动态 TRANSYT 入口、八色路口监视器、完整复现命令和指标读取方法已纳入提交包。正式评测结果应以目标环境实际生成的 metrics.csv 为准。</w:t>
      </w: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A87A3">
    <w:pPr>
      <w:pStyle w:val="24"/>
      <w:jc w:val="center"/>
    </w:pPr>
    <w:r>
      <w:rPr>
        <w:sz w:val="16"/>
      </w:rPr>
      <w:t>功能三任务一｜经典算法与场景适配｜提交说明报告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2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1501</Words>
  <Characters>2656</Characters>
  <Lines>0</Lines>
  <Paragraphs>0</Paragraphs>
  <TotalTime>2</TotalTime>
  <ScaleCrop>false</ScaleCrop>
  <LinksUpToDate>false</LinksUpToDate>
  <CharactersWithSpaces>2750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lastModifiedBy>25182404</cp:lastModifiedBy>
  <dcterms:modified xsi:type="dcterms:W3CDTF">2026-08-27T03:19:34Z</dcterms:modified>
  <dc:subject>雄安新区20路口 CityFlow 基线提交材料</dc:subject>
  <dc:title>功能三任务一：经典算法与场景适配提交说明报告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2052-12.1.0.28043</vt:lpwstr>
  </property>
  <property fmtid="{D5CDD505-2E9C-101B-9397-08002B2CF9AE}" pid="4" name="ICV">
    <vt:lpwstr>CBDA376081074FDAB26EE9C355F29D60_12</vt:lpwstr>
  </property>
</Properties>
</file>