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80CAF">
      <w:pPr>
        <w:jc w:val="center"/>
      </w:pPr>
      <w:r>
        <w:rPr>
          <w:b/>
          <w:color w:val="164D78"/>
          <w:sz w:val="44"/>
        </w:rPr>
        <w:t>平峰需求压力扰动实验报告</w:t>
      </w:r>
    </w:p>
    <w:p w14:paraId="011771AF">
      <w:pPr>
        <w:jc w:val="center"/>
      </w:pPr>
      <w:r>
        <w:t>固定配时 vs UGAT+FRAP+TRANSYT | 雄安新区20路口 CityFlow</w:t>
      </w:r>
    </w:p>
    <w:p w14:paraId="6A5FBAC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实验目的与设置</w:t>
      </w:r>
    </w:p>
    <w:p w14:paraId="0D74185E">
      <w:r>
        <w:t>在相同雄安新区20路口路网和控制参数下，分别将平峰交通需求提高10%、20%、30%，比较固定配时基线与完整 UGAT+FRAP+TRANSYT 协同控制器的运行效果。每组运行7500步，决策间隔10步，单线程；除控制算法和压力流量文件外，其余条件保持一致。</w:t>
      </w:r>
    </w:p>
    <w:p w14:paraId="631B6FB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结果总览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2241"/>
        <w:gridCol w:w="1329"/>
        <w:gridCol w:w="1352"/>
        <w:gridCol w:w="1352"/>
        <w:gridCol w:w="1319"/>
        <w:gridCol w:w="1378"/>
      </w:tblGrid>
      <w:tr w14:paraId="23415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3C63EC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压力</w:t>
            </w:r>
          </w:p>
        </w:tc>
        <w:tc>
          <w:tcPr>
            <w:tcW w:w="1440" w:type="dxa"/>
            <w:vAlign w:val="center"/>
          </w:tcPr>
          <w:p w14:paraId="754D2D9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算法</w:t>
            </w:r>
          </w:p>
        </w:tc>
        <w:tc>
          <w:tcPr>
            <w:tcW w:w="1440" w:type="dxa"/>
            <w:vAlign w:val="center"/>
          </w:tcPr>
          <w:p w14:paraId="5C90261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需求量</w:t>
            </w:r>
          </w:p>
        </w:tc>
        <w:tc>
          <w:tcPr>
            <w:tcW w:w="1440" w:type="dxa"/>
            <w:vAlign w:val="center"/>
          </w:tcPr>
          <w:p w14:paraId="5C59E74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平均旅行时间(s)</w:t>
            </w:r>
          </w:p>
        </w:tc>
        <w:tc>
          <w:tcPr>
            <w:tcW w:w="1440" w:type="dxa"/>
            <w:vAlign w:val="center"/>
          </w:tcPr>
          <w:p w14:paraId="72330F2B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估计延误(s)</w:t>
            </w:r>
          </w:p>
        </w:tc>
        <w:tc>
          <w:tcPr>
            <w:tcW w:w="1440" w:type="dxa"/>
            <w:vAlign w:val="center"/>
          </w:tcPr>
          <w:p w14:paraId="67EB3818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全过程平均队列代理</w:t>
            </w:r>
          </w:p>
        </w:tc>
        <w:tc>
          <w:tcPr>
            <w:tcW w:w="1440" w:type="dxa"/>
            <w:vAlign w:val="center"/>
          </w:tcPr>
          <w:p w14:paraId="78C21BE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吞吐率</w:t>
            </w:r>
          </w:p>
        </w:tc>
      </w:tr>
      <w:tr w14:paraId="733D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13ECCE7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+10%</w:t>
            </w:r>
          </w:p>
        </w:tc>
        <w:tc>
          <w:tcPr>
            <w:tcW w:w="1440" w:type="dxa"/>
            <w:vAlign w:val="center"/>
          </w:tcPr>
          <w:p w14:paraId="5147815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固定配时</w:t>
            </w:r>
          </w:p>
        </w:tc>
        <w:tc>
          <w:tcPr>
            <w:tcW w:w="1440" w:type="dxa"/>
            <w:vAlign w:val="center"/>
          </w:tcPr>
          <w:p w14:paraId="1E43D3C8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60350</w:t>
            </w:r>
          </w:p>
        </w:tc>
        <w:tc>
          <w:tcPr>
            <w:tcW w:w="1440" w:type="dxa"/>
            <w:vAlign w:val="center"/>
          </w:tcPr>
          <w:p w14:paraId="2FDDAA35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826.424</w:t>
            </w:r>
          </w:p>
        </w:tc>
        <w:tc>
          <w:tcPr>
            <w:tcW w:w="1440" w:type="dxa"/>
            <w:vAlign w:val="center"/>
          </w:tcPr>
          <w:p w14:paraId="77689C2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755.051</w:t>
            </w:r>
          </w:p>
        </w:tc>
        <w:tc>
          <w:tcPr>
            <w:tcW w:w="1440" w:type="dxa"/>
            <w:vAlign w:val="center"/>
          </w:tcPr>
          <w:p w14:paraId="0941234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7.320</w:t>
            </w:r>
          </w:p>
        </w:tc>
        <w:tc>
          <w:tcPr>
            <w:tcW w:w="1440" w:type="dxa"/>
            <w:vAlign w:val="center"/>
          </w:tcPr>
          <w:p w14:paraId="4A4DACE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99.9768%</w:t>
            </w:r>
          </w:p>
        </w:tc>
      </w:tr>
      <w:tr w14:paraId="0E02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8F3FA"/>
            <w:vAlign w:val="center"/>
          </w:tcPr>
          <w:p w14:paraId="1B8C3063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+10%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3212AA1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UGAT+FRAP+TRANSYT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4B8BA5B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60350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3321039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759.763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72EF778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688.390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7B83DD8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6.299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1EB922F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99.9768%</w:t>
            </w:r>
          </w:p>
        </w:tc>
      </w:tr>
      <w:tr w14:paraId="2B755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E3113A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+20%</w:t>
            </w:r>
          </w:p>
        </w:tc>
        <w:tc>
          <w:tcPr>
            <w:tcW w:w="1440" w:type="dxa"/>
            <w:vAlign w:val="center"/>
          </w:tcPr>
          <w:p w14:paraId="65A93A0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固定配时</w:t>
            </w:r>
          </w:p>
        </w:tc>
        <w:tc>
          <w:tcPr>
            <w:tcW w:w="1440" w:type="dxa"/>
            <w:vAlign w:val="center"/>
          </w:tcPr>
          <w:p w14:paraId="327210A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65837</w:t>
            </w:r>
          </w:p>
        </w:tc>
        <w:tc>
          <w:tcPr>
            <w:tcW w:w="1440" w:type="dxa"/>
            <w:vAlign w:val="center"/>
          </w:tcPr>
          <w:p w14:paraId="5817948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857.605</w:t>
            </w:r>
          </w:p>
        </w:tc>
        <w:tc>
          <w:tcPr>
            <w:tcW w:w="1440" w:type="dxa"/>
            <w:vAlign w:val="center"/>
          </w:tcPr>
          <w:p w14:paraId="50C3237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786.292</w:t>
            </w:r>
          </w:p>
        </w:tc>
        <w:tc>
          <w:tcPr>
            <w:tcW w:w="1440" w:type="dxa"/>
            <w:vAlign w:val="center"/>
          </w:tcPr>
          <w:p w14:paraId="4BC9A90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9.781</w:t>
            </w:r>
          </w:p>
        </w:tc>
        <w:tc>
          <w:tcPr>
            <w:tcW w:w="1440" w:type="dxa"/>
            <w:vAlign w:val="center"/>
          </w:tcPr>
          <w:p w14:paraId="7A73197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99.9727%</w:t>
            </w:r>
          </w:p>
        </w:tc>
      </w:tr>
      <w:tr w14:paraId="2C62E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8F3FA"/>
            <w:vAlign w:val="center"/>
          </w:tcPr>
          <w:p w14:paraId="1FBB731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+20%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3EAF977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UGAT+FRAP+TRANSYT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2150232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65837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4CBE1DB6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788.447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7DE5DDC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717.134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1BA985C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8.429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2DE44B53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99.9727%</w:t>
            </w:r>
          </w:p>
        </w:tc>
      </w:tr>
      <w:tr w14:paraId="2D216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7C26C0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+30%</w:t>
            </w:r>
          </w:p>
        </w:tc>
        <w:tc>
          <w:tcPr>
            <w:tcW w:w="1440" w:type="dxa"/>
            <w:vAlign w:val="center"/>
          </w:tcPr>
          <w:p w14:paraId="7BB3276F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固定配时</w:t>
            </w:r>
          </w:p>
        </w:tc>
        <w:tc>
          <w:tcPr>
            <w:tcW w:w="1440" w:type="dxa"/>
            <w:vAlign w:val="center"/>
          </w:tcPr>
          <w:p w14:paraId="43DD59B4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71323</w:t>
            </w:r>
          </w:p>
        </w:tc>
        <w:tc>
          <w:tcPr>
            <w:tcW w:w="1440" w:type="dxa"/>
            <w:vAlign w:val="center"/>
          </w:tcPr>
          <w:p w14:paraId="2518B292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870.000</w:t>
            </w:r>
          </w:p>
        </w:tc>
        <w:tc>
          <w:tcPr>
            <w:tcW w:w="1440" w:type="dxa"/>
            <w:vAlign w:val="center"/>
          </w:tcPr>
          <w:p w14:paraId="4D3E6F4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798.626</w:t>
            </w:r>
          </w:p>
        </w:tc>
        <w:tc>
          <w:tcPr>
            <w:tcW w:w="1440" w:type="dxa"/>
            <w:vAlign w:val="center"/>
          </w:tcPr>
          <w:p w14:paraId="13E205C9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9.087</w:t>
            </w:r>
          </w:p>
        </w:tc>
        <w:tc>
          <w:tcPr>
            <w:tcW w:w="1440" w:type="dxa"/>
            <w:vAlign w:val="center"/>
          </w:tcPr>
          <w:p w14:paraId="5DC4615C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99.9762%</w:t>
            </w:r>
          </w:p>
        </w:tc>
      </w:tr>
      <w:tr w14:paraId="26772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8F3FA"/>
            <w:vAlign w:val="center"/>
          </w:tcPr>
          <w:p w14:paraId="6A1B3F4A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+30%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7EFEE5A1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UGAT+FRAP+TRANSYT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034A206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71323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1D80F0CD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804.657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76B3398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733.284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31A783F8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7.888</w:t>
            </w:r>
          </w:p>
        </w:tc>
        <w:tc>
          <w:tcPr>
            <w:tcW w:w="1440" w:type="dxa"/>
            <w:shd w:val="clear" w:color="auto" w:fill="E8F3FA"/>
            <w:vAlign w:val="center"/>
          </w:tcPr>
          <w:p w14:paraId="4313AB90">
            <w:pPr>
              <w:spacing w:after="0" w:line="240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99.9762%</w:t>
            </w:r>
          </w:p>
        </w:tc>
      </w:tr>
    </w:tbl>
    <w:p w14:paraId="396E486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三种压力下的折线图</w:t>
      </w:r>
    </w:p>
    <w:p w14:paraId="299606EE">
      <w:pPr>
        <w:jc w:val="center"/>
      </w:pPr>
      <w:r>
        <w:t>平均旅行时间</w:t>
      </w:r>
    </w:p>
    <w:p w14:paraId="792AF680">
      <w:pPr>
        <w:jc w:val="center"/>
      </w:pPr>
      <w:r>
        <w:drawing>
          <wp:inline distT="0" distB="0" distL="114300" distR="114300">
            <wp:extent cx="6126480" cy="355346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0D6B">
      <w:pPr>
        <w:jc w:val="center"/>
      </w:pPr>
      <w:r>
        <w:t>估计延误</w:t>
      </w:r>
    </w:p>
    <w:p w14:paraId="7C5A9ED9">
      <w:pPr>
        <w:jc w:val="center"/>
      </w:pPr>
      <w:r>
        <w:drawing>
          <wp:inline distT="0" distB="0" distL="114300" distR="114300">
            <wp:extent cx="6126480" cy="355346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B785">
      <w:pPr>
        <w:jc w:val="center"/>
      </w:pPr>
      <w:r>
        <w:t>平均队列代理</w:t>
      </w:r>
    </w:p>
    <w:p w14:paraId="7B4F858D">
      <w:pPr>
        <w:jc w:val="center"/>
      </w:pPr>
      <w:r>
        <w:drawing>
          <wp:inline distT="0" distB="0" distL="114300" distR="114300">
            <wp:extent cx="6126480" cy="3551555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C94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结论</w:t>
      </w:r>
    </w:p>
    <w:p w14:paraId="2D3B0144">
      <w:r>
        <w:t>数据核查说明：此前交错插入增量车辆的压力流量文件会改变 CityFlow 车辆随机车道选择的调用顺序，导致相同 seed 下不同压力等级的基线车辆不再完全同分布，并出现旅行时间随压力下降的非物理现象。以下结论使用修正后的有序压力流量文件，旧结果不再引用。</w:t>
      </w:r>
    </w:p>
    <w:p w14:paraId="3B7C0ED2">
      <w:pPr>
        <w:pStyle w:val="16"/>
      </w:pPr>
      <w:r>
        <w:t>+10%：完整协同平均旅行时间 759.763 s，固定配时 826.424 s，相对固定配时改善 8.07%。</w:t>
      </w:r>
    </w:p>
    <w:p w14:paraId="114E9FD7">
      <w:pPr>
        <w:pStyle w:val="16"/>
      </w:pPr>
      <w:r>
        <w:t>+20%：完整协同平均旅行时间 788.447 s，固定配时 857.605 s，相对固定配时改善 8.06%。</w:t>
      </w:r>
    </w:p>
    <w:p w14:paraId="242A6318">
      <w:pPr>
        <w:pStyle w:val="16"/>
      </w:pPr>
      <w:r>
        <w:t>+30%：完整协同平均旅行时间 804.657 s，固定配时 870.000 s，相对固定配时改善 7.51%。</w:t>
      </w:r>
    </w:p>
    <w:p w14:paraId="64ADED6B">
      <w:r>
        <w:t>图中每个数据点均采用白底边框标签，并按算法上下错位标注；标签不覆盖数据点或另一条曲线。全过程平均队列代理由每组原始轨迹 JSON 的全部采样点求平均，避免末时刻整数快照造成两条曲线看起来相同。</w:t>
      </w:r>
    </w:p>
    <w:p w14:paraId="062239D8">
      <w:pPr>
        <w:pStyle w:val="3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t>5. 原始证据与复现</w:t>
      </w:r>
    </w:p>
    <w:bookmarkEnd w:id="0"/>
    <w:p w14:paraId="4973DE38">
      <w:r>
        <w:t>原始结果位于 平峰压力扰动试验/压力10、压力20、压力30 下的固定配时和 UGAT_FRAP_TRANSYT 子目录，包含 metrics.csv、trace JSON、live JSONL 和运行配置。压力流量文件保留基线记录顺序、仅在末尾追加增量车辆，避免新增车辆改变 CityFlow 的随机车道选择序列。重跑命令：powershell -ExecutionPolicy Bypass -File ..\scripts\run_pressure_transyt.ps1；复算并生成本报告：python ..\scripts\build_pressure_report_transyt.py。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23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248</Words>
  <Characters>535</Characters>
  <Lines>0</Lines>
  <Paragraphs>0</Paragraphs>
  <TotalTime>0</TotalTime>
  <ScaleCrop>false</ScaleCrop>
  <LinksUpToDate>false</LinksUpToDate>
  <CharactersWithSpaces>545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25182404</cp:lastModifiedBy>
  <dcterms:modified xsi:type="dcterms:W3CDTF">2026-08-27T03:14:32Z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eyJoZGlkIjoiYmQ4OTZhZDJiMDQ5NTA3ZTIyMTczZjFhYzE0NDFlMWUiLCJ1c2VySWQiOiIxNzQ2NzIwNDE3In0=</vt:lpwstr>
  </property>
  <property fmtid="{D5CDD505-2E9C-101B-9397-08002B2CF9AE}" pid="3" name="KSOProductBuildVer">
    <vt:lpwstr>2052-12.1.0.28043</vt:lpwstr>
  </property>
  <property fmtid="{D5CDD505-2E9C-101B-9397-08002B2CF9AE}" pid="4" name="ICV">
    <vt:lpwstr>83D89179E09E4234AB9433F5ED79E700_12</vt:lpwstr>
  </property>
</Properties>
</file>