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889BB">
      <w:pPr>
        <w:spacing w:before="1200"/>
        <w:jc w:val="center"/>
      </w:pPr>
      <w:r>
        <w:rPr>
          <w:b/>
          <w:color w:val="1F4E79"/>
          <w:sz w:val="32"/>
        </w:rPr>
        <w:t>功能三任务二</w:t>
      </w:r>
    </w:p>
    <w:p w14:paraId="1C8DD467">
      <w:pPr>
        <w:spacing w:after="160"/>
        <w:jc w:val="center"/>
        <w:rPr>
          <w:rFonts w:hint="eastAsia" w:ascii="微软雅黑" w:hAnsi="微软雅黑" w:eastAsia="微软雅黑" w:cs="微软雅黑"/>
          <w:b/>
          <w:bCs w:val="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 w:val="0"/>
          <w:color w:val="17365D"/>
          <w:sz w:val="44"/>
          <w:szCs w:val="44"/>
        </w:rPr>
        <w:t>协同优化算法实现</w:t>
      </w:r>
    </w:p>
    <w:p w14:paraId="2A099087">
      <w:pPr>
        <w:jc w:val="center"/>
      </w:pPr>
      <w:r>
        <w:rPr>
          <w:color w:val="5B6770"/>
          <w:sz w:val="30"/>
        </w:rPr>
        <w:t>提交材料检查与工程交付说明报告</w:t>
      </w:r>
    </w:p>
    <w:p w14:paraId="699195E6"/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501DA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52" w:type="dxa"/>
            <w:shd w:val="clear" w:color="auto" w:fill="E8F3E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BB2F83C">
            <w:pPr>
              <w:spacing w:after="60"/>
              <w:rPr>
                <w:rFonts w:hint="eastAsia" w:ascii="微软雅黑" w:hAnsi="微软雅黑" w:eastAsia="微软雅黑" w:cs="微软雅黑"/>
                <w:b/>
                <w:color w:val="1F4E79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</w:rPr>
              <w:t>最终结论：材料齐全，可提交验收。</w:t>
            </w:r>
          </w:p>
          <w:p w14:paraId="01E15091">
            <w:pPr>
              <w:snapToGrid w:val="0"/>
              <w:spacing w:after="0"/>
            </w:pPr>
            <w:r>
              <w:rPr>
                <w:sz w:val="20"/>
              </w:rPr>
              <w:t>本报告以任务二提交目录为对象完成最终盘点。主版本、20路口场景、模型权重、训练/推理入口、动态仿真入口、结果数据、消融依据、接口说明、环境锁定和校验清单均已归档。静态场景校验通过，动态主算法已完成 7,500 步运行并生成可审计指标。</w:t>
            </w:r>
          </w:p>
        </w:tc>
      </w:tr>
    </w:tbl>
    <w:p w14:paraId="40C78D34"/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8057"/>
      </w:tblGrid>
      <w:tr w14:paraId="61631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9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D3C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0"/>
              </w:rPr>
              <w:t>项目</w:t>
            </w:r>
          </w:p>
        </w:tc>
        <w:tc>
          <w:tcPr>
            <w:tcW w:w="8057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10A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20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b/>
                <w:color w:val="1F4E79"/>
                <w:sz w:val="20"/>
              </w:rPr>
              <w:t>内容</w:t>
            </w:r>
            <w:bookmarkEnd w:id="0"/>
          </w:p>
        </w:tc>
      </w:tr>
      <w:tr w14:paraId="08EF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vAlign w:val="center"/>
          </w:tcPr>
          <w:p w14:paraId="6599AC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赛题功能</w:t>
            </w:r>
          </w:p>
        </w:tc>
        <w:tc>
          <w:tcPr>
            <w:tcW w:w="8057" w:type="dxa"/>
            <w:vAlign w:val="center"/>
          </w:tcPr>
          <w:p w14:paraId="132B24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功能三：赛道B经典交通管控算法场景适配与优化</w:t>
            </w:r>
          </w:p>
        </w:tc>
      </w:tr>
      <w:tr w14:paraId="648A5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vAlign w:val="center"/>
          </w:tcPr>
          <w:p w14:paraId="0E2645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赛题任务</w:t>
            </w:r>
          </w:p>
        </w:tc>
        <w:tc>
          <w:tcPr>
            <w:tcW w:w="8057" w:type="dxa"/>
            <w:vAlign w:val="center"/>
          </w:tcPr>
          <w:p w14:paraId="599A73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任务二：协同优化算法实现</w:t>
            </w:r>
          </w:p>
        </w:tc>
      </w:tr>
      <w:tr w14:paraId="31D07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vAlign w:val="center"/>
          </w:tcPr>
          <w:p w14:paraId="644416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最终主版本</w:t>
            </w:r>
          </w:p>
        </w:tc>
        <w:tc>
          <w:tcPr>
            <w:tcW w:w="8057" w:type="dxa"/>
            <w:vAlign w:val="center"/>
          </w:tcPr>
          <w:p w14:paraId="170B57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UGAT + FRAP + TRANSYT 协同控制器</w:t>
            </w:r>
          </w:p>
        </w:tc>
      </w:tr>
      <w:tr w14:paraId="4BAFD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vAlign w:val="center"/>
          </w:tcPr>
          <w:p w14:paraId="379FAF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正式工程</w:t>
            </w:r>
          </w:p>
        </w:tc>
        <w:tc>
          <w:tcPr>
            <w:tcW w:w="8057" w:type="dxa"/>
            <w:vAlign w:val="center"/>
          </w:tcPr>
          <w:p w14:paraId="32ECF8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UGAT_FRAP_TRANSYT协同_雄安20路口工程</w:t>
            </w:r>
          </w:p>
        </w:tc>
      </w:tr>
      <w:tr w14:paraId="2D5AF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95" w:type="dxa"/>
            <w:vAlign w:val="center"/>
          </w:tcPr>
          <w:p w14:paraId="03CB52A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报告日期</w:t>
            </w:r>
          </w:p>
        </w:tc>
        <w:tc>
          <w:tcPr>
            <w:tcW w:w="8057" w:type="dxa"/>
            <w:vAlign w:val="center"/>
          </w:tcPr>
          <w:p w14:paraId="3D0EE0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20"/>
              </w:rPr>
            </w:pPr>
            <w:r>
              <w:rPr>
                <w:rFonts w:ascii="Calibri" w:hAnsi="Calibri" w:eastAsia="ＭＳ 明朝"/>
                <w:b w:val="0"/>
                <w:sz w:val="20"/>
              </w:rPr>
              <w:t>2026年8月26日</w:t>
            </w:r>
          </w:p>
        </w:tc>
      </w:tr>
    </w:tbl>
    <w:p w14:paraId="24600538">
      <w:r>
        <w:br w:type="page"/>
      </w:r>
    </w:p>
    <w:p w14:paraId="113F612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一、提交范围与版本定义</w:t>
      </w:r>
    </w:p>
    <w:p w14:paraId="365D5452">
      <w:r>
        <w:t>本任务只保留一个最终主版本：UGAT+FRAP+TRANSYT。TRANSYT 负责全网公共周期、绿信比与走廊偏移，冻结 UGAT 与可训练 FRAP 负责局部响应；每个控制周期最终只向 CityFlow 下发一个八相位动作。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AA5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AF1F8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9A4D72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</w:rPr>
              <w:t>版本锁定原则</w:t>
            </w:r>
          </w:p>
          <w:p w14:paraId="45107BF8">
            <w:pPr>
              <w:spacing w:after="0"/>
            </w:pPr>
            <w:r>
              <w:rPr>
                <w:sz w:val="20"/>
              </w:rPr>
              <w:t>正式验收以参数 --algorithm ugat_frap_transyt、7,500 步评测、三时段指标和版本锁定_SHA256.csv 为准。调参、smoke、历史轨迹不作为主版本结果。</w:t>
            </w:r>
          </w:p>
        </w:tc>
      </w:tr>
    </w:tbl>
    <w:p w14:paraId="51C63B9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二、提交材料完整性检查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900"/>
        <w:gridCol w:w="6160"/>
      </w:tblGrid>
      <w:tr w14:paraId="35EA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F9533"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7"/>
              </w:rPr>
              <w:t>验收材料</w:t>
            </w:r>
          </w:p>
        </w:tc>
        <w:tc>
          <w:tcPr>
            <w:tcW w:w="90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C9B11"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7"/>
              </w:rPr>
              <w:t>状态</w:t>
            </w:r>
          </w:p>
        </w:tc>
        <w:tc>
          <w:tcPr>
            <w:tcW w:w="616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754DD"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7"/>
              </w:rPr>
              <w:t>归档位置 / 说明</w:t>
            </w:r>
          </w:p>
        </w:tc>
      </w:tr>
      <w:tr w14:paraId="20DC3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8EF1EA6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最终主算法源代码</w:t>
            </w:r>
          </w:p>
        </w:tc>
        <w:tc>
          <w:tcPr>
            <w:tcW w:w="900" w:type="dxa"/>
          </w:tcPr>
          <w:p w14:paraId="2CD3127E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7B3F3969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工程/src/algorithms.py；src/ugat_frap.py；src/run_cityflow.py</w:t>
            </w:r>
          </w:p>
        </w:tc>
      </w:tr>
      <w:tr w14:paraId="5EE84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51275225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训练与推理脚本</w:t>
            </w:r>
          </w:p>
        </w:tc>
        <w:tc>
          <w:tcPr>
            <w:tcW w:w="900" w:type="dxa"/>
          </w:tcPr>
          <w:p w14:paraId="688A5C05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0F2A9FF1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scripts/train_farp_xiong_an_20.py；scripts/run_farp_xiong_an_20.py</w:t>
            </w:r>
          </w:p>
        </w:tc>
      </w:tr>
      <w:tr w14:paraId="2B1E3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7484E12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一键动态仿真入口</w:t>
            </w:r>
          </w:p>
        </w:tc>
        <w:tc>
          <w:tcPr>
            <w:tcW w:w="900" w:type="dxa"/>
          </w:tcPr>
          <w:p w14:paraId="6CED04C7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33976631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根目录 run_and_show.ps1；scripts/run_and_show.ps1；隐藏后台启动脚本</w:t>
            </w:r>
          </w:p>
        </w:tc>
      </w:tr>
      <w:tr w14:paraId="79EC0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65B4D5A5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模型权重</w:t>
            </w:r>
          </w:p>
        </w:tc>
        <w:tc>
          <w:tcPr>
            <w:tcW w:w="900" w:type="dxa"/>
          </w:tcPr>
          <w:p w14:paraId="528C033E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20AAF05F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model/frozen_ugat_4x4.pt；model/frap_adapter.pt</w:t>
            </w:r>
          </w:p>
        </w:tc>
      </w:tr>
      <w:tr w14:paraId="32B1D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04FB3A22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配置与输入数据</w:t>
            </w:r>
          </w:p>
        </w:tc>
        <w:tc>
          <w:tcPr>
            <w:tcW w:w="900" w:type="dxa"/>
          </w:tcPr>
          <w:p w14:paraId="35934E55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44A6B0B8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configs/；data/xiong_an_20/；三时段流量和拓扑</w:t>
            </w:r>
          </w:p>
        </w:tc>
      </w:tr>
      <w:tr w14:paraId="223DA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7580D0CC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训练日志与运行结果</w:t>
            </w:r>
          </w:p>
        </w:tc>
        <w:tc>
          <w:tcPr>
            <w:tcW w:w="900" w:type="dxa"/>
          </w:tcPr>
          <w:p w14:paraId="459115A1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03F1BFBE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logs/metrics.csv；结果/ugat_frap_transyt/{morning,midday,evening}</w:t>
            </w:r>
          </w:p>
        </w:tc>
      </w:tr>
      <w:tr w14:paraId="2CF87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4FE75ABE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改进说明与消融依据</w:t>
            </w:r>
          </w:p>
        </w:tc>
        <w:tc>
          <w:tcPr>
            <w:tcW w:w="900" w:type="dxa"/>
          </w:tcPr>
          <w:p w14:paraId="15C0F152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406C016D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算法版本依据_20260824/，含报告、汇总CSV、指标图</w:t>
            </w:r>
          </w:p>
        </w:tc>
      </w:tr>
      <w:tr w14:paraId="5DCEA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D5A433B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工程接口说明</w:t>
            </w:r>
          </w:p>
        </w:tc>
        <w:tc>
          <w:tcPr>
            <w:tcW w:w="900" w:type="dxa"/>
          </w:tcPr>
          <w:p w14:paraId="713F2839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3A77CB3F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docs/API.md，明确20x12输入和20路口动作输出</w:t>
            </w:r>
          </w:p>
        </w:tc>
      </w:tr>
      <w:tr w14:paraId="4E0BF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0" w:type="dxa"/>
          </w:tcPr>
          <w:p w14:paraId="2EA8F4C4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环境与依赖锁定</w:t>
            </w:r>
          </w:p>
        </w:tc>
        <w:tc>
          <w:tcPr>
            <w:tcW w:w="900" w:type="dxa"/>
          </w:tcPr>
          <w:p w14:paraId="5C7B371B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通过</w:t>
            </w:r>
          </w:p>
        </w:tc>
        <w:tc>
          <w:tcPr>
            <w:tcW w:w="6160" w:type="dxa"/>
          </w:tcPr>
          <w:p w14:paraId="47003435">
            <w:pPr>
              <w:spacing w:after="0"/>
            </w:pPr>
            <w:r>
              <w:rPr>
                <w:rFonts w:ascii="Calibri" w:hAnsi="Calibri"/>
                <w:b w:val="0"/>
                <w:sz w:val="17"/>
              </w:rPr>
              <w:t>Dockerfile；requirements.txt；third_party/CityFlow；SHA256清单</w:t>
            </w:r>
          </w:p>
        </w:tc>
      </w:tr>
    </w:tbl>
    <w:p w14:paraId="0E88318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三、静态校验结果</w:t>
      </w:r>
    </w:p>
    <w:p w14:paraId="51283B38">
      <w:r>
        <w:t>在正式工程目录执行 src/validate_scenario.py，校验结果如下：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405C8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0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D7A94"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校验项</w:t>
            </w:r>
          </w:p>
        </w:tc>
        <w:tc>
          <w:tcPr>
            <w:tcW w:w="576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8D406"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9"/>
              </w:rPr>
              <w:t>结果</w:t>
            </w:r>
          </w:p>
        </w:tc>
      </w:tr>
      <w:tr w14:paraId="18740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00A832B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整体状态</w:t>
            </w:r>
          </w:p>
        </w:tc>
        <w:tc>
          <w:tcPr>
            <w:tcW w:w="5760" w:type="dxa"/>
          </w:tcPr>
          <w:p w14:paraId="4A4B5082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PASS</w:t>
            </w:r>
          </w:p>
        </w:tc>
      </w:tr>
      <w:tr w14:paraId="6FC56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1ACC0F8B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受控路口数量</w:t>
            </w:r>
          </w:p>
        </w:tc>
        <w:tc>
          <w:tcPr>
            <w:tcW w:w="5760" w:type="dxa"/>
          </w:tcPr>
          <w:p w14:paraId="778A8D0B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</w:tr>
      <w:tr w14:paraId="362F3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39F287AF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道路数量</w:t>
            </w:r>
          </w:p>
        </w:tc>
        <w:tc>
          <w:tcPr>
            <w:tcW w:w="5760" w:type="dxa"/>
          </w:tcPr>
          <w:p w14:paraId="1F1F8100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294</w:t>
            </w:r>
          </w:p>
        </w:tc>
      </w:tr>
      <w:tr w14:paraId="6D865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595786D5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早高峰需求车辆</w:t>
            </w:r>
          </w:p>
        </w:tc>
        <w:tc>
          <w:tcPr>
            <w:tcW w:w="5760" w:type="dxa"/>
          </w:tcPr>
          <w:p w14:paraId="3B7C9C71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77,749</w:t>
            </w:r>
          </w:p>
        </w:tc>
      </w:tr>
      <w:tr w14:paraId="4F301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74C75D4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平峰需求车辆</w:t>
            </w:r>
          </w:p>
        </w:tc>
        <w:tc>
          <w:tcPr>
            <w:tcW w:w="5760" w:type="dxa"/>
          </w:tcPr>
          <w:p w14:paraId="73775D80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54,864</w:t>
            </w:r>
          </w:p>
        </w:tc>
      </w:tr>
      <w:tr w14:paraId="2E5A1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F887886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晚高峰需求车辆</w:t>
            </w:r>
          </w:p>
        </w:tc>
        <w:tc>
          <w:tcPr>
            <w:tcW w:w="5760" w:type="dxa"/>
          </w:tcPr>
          <w:p w14:paraId="692AD557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87,051</w:t>
            </w:r>
          </w:p>
        </w:tc>
      </w:tr>
      <w:tr w14:paraId="5B8EF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06A332A5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Excel 对齐</w:t>
            </w:r>
          </w:p>
        </w:tc>
        <w:tc>
          <w:tcPr>
            <w:tcW w:w="5760" w:type="dxa"/>
          </w:tcPr>
          <w:p w14:paraId="053EA688"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20/20 workbooks, directions and vehicle totals matched</w:t>
            </w:r>
          </w:p>
        </w:tc>
      </w:tr>
    </w:tbl>
    <w:p w14:paraId="375F1253">
      <w:r>
        <w:t>该校验覆盖路网 JSON、拓扑关系、三时段流量、路线守恒和输入表对齐，不依赖 CityFlow 动态引擎。</w:t>
      </w:r>
    </w:p>
    <w:p w14:paraId="79328695">
      <w:r>
        <w:br w:type="page"/>
      </w:r>
    </w:p>
    <w:p w14:paraId="274383C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四、主版本正式运行结果</w:t>
      </w:r>
    </w:p>
    <w:p w14:paraId="47A3539C">
      <w:r>
        <w:t>以下数据来自提交目录中三时段主版本 metrics.csv，已补齐标准 CSV 表头，字段可直接用于验收读取。</w:t>
      </w:r>
    </w:p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772"/>
        <w:gridCol w:w="903"/>
        <w:gridCol w:w="903"/>
        <w:gridCol w:w="1104"/>
        <w:gridCol w:w="1709"/>
        <w:gridCol w:w="1309"/>
        <w:gridCol w:w="1105"/>
        <w:gridCol w:w="1390"/>
      </w:tblGrid>
      <w:tr w14:paraId="342C6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7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181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时段</w:t>
            </w:r>
          </w:p>
        </w:tc>
        <w:tc>
          <w:tcPr>
            <w:tcW w:w="772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14C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步数</w:t>
            </w:r>
          </w:p>
        </w:tc>
        <w:tc>
          <w:tcPr>
            <w:tcW w:w="903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48B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需求量</w:t>
            </w:r>
          </w:p>
        </w:tc>
        <w:tc>
          <w:tcPr>
            <w:tcW w:w="903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7E4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完成量</w:t>
            </w:r>
          </w:p>
        </w:tc>
        <w:tc>
          <w:tcPr>
            <w:tcW w:w="1104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5E1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吞吐估计</w:t>
            </w:r>
          </w:p>
        </w:tc>
        <w:tc>
          <w:tcPr>
            <w:tcW w:w="170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597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平均旅行时间(s)</w:t>
            </w:r>
          </w:p>
        </w:tc>
        <w:tc>
          <w:tcPr>
            <w:tcW w:w="1309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D6F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估计延误(s)</w:t>
            </w:r>
          </w:p>
        </w:tc>
        <w:tc>
          <w:tcPr>
            <w:tcW w:w="1104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B00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末端队列</w:t>
            </w:r>
          </w:p>
        </w:tc>
        <w:tc>
          <w:tcPr>
            <w:tcW w:w="1389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F96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6"/>
              </w:rPr>
            </w:pPr>
            <w:r>
              <w:rPr>
                <w:rFonts w:ascii="Calibri" w:hAnsi="Calibri" w:eastAsia="ＭＳ 明朝"/>
                <w:b/>
                <w:color w:val="1F4E79"/>
                <w:sz w:val="16"/>
              </w:rPr>
              <w:t>FRAP接管率</w:t>
            </w:r>
          </w:p>
        </w:tc>
      </w:tr>
      <w:tr w14:paraId="3FB7D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vAlign w:val="center"/>
          </w:tcPr>
          <w:p w14:paraId="54EC6A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morning</w:t>
            </w:r>
          </w:p>
        </w:tc>
        <w:tc>
          <w:tcPr>
            <w:tcW w:w="772" w:type="dxa"/>
            <w:vAlign w:val="center"/>
          </w:tcPr>
          <w:p w14:paraId="305197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7500</w:t>
            </w:r>
          </w:p>
        </w:tc>
        <w:tc>
          <w:tcPr>
            <w:tcW w:w="903" w:type="dxa"/>
            <w:vAlign w:val="center"/>
          </w:tcPr>
          <w:p w14:paraId="40E3F1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77749</w:t>
            </w:r>
          </w:p>
        </w:tc>
        <w:tc>
          <w:tcPr>
            <w:tcW w:w="903" w:type="dxa"/>
            <w:vAlign w:val="center"/>
          </w:tcPr>
          <w:p w14:paraId="20792F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77726</w:t>
            </w:r>
          </w:p>
        </w:tc>
        <w:tc>
          <w:tcPr>
            <w:tcW w:w="1104" w:type="dxa"/>
            <w:vAlign w:val="center"/>
          </w:tcPr>
          <w:p w14:paraId="52EB7E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0.999704</w:t>
            </w:r>
          </w:p>
        </w:tc>
        <w:tc>
          <w:tcPr>
            <w:tcW w:w="1708" w:type="dxa"/>
            <w:vAlign w:val="center"/>
          </w:tcPr>
          <w:p w14:paraId="17B68D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1149.833</w:t>
            </w:r>
          </w:p>
        </w:tc>
        <w:tc>
          <w:tcPr>
            <w:tcW w:w="1309" w:type="dxa"/>
            <w:vAlign w:val="center"/>
          </w:tcPr>
          <w:p w14:paraId="0031FB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1076.303</w:t>
            </w:r>
          </w:p>
        </w:tc>
        <w:tc>
          <w:tcPr>
            <w:tcW w:w="1104" w:type="dxa"/>
            <w:vAlign w:val="center"/>
          </w:tcPr>
          <w:p w14:paraId="4A07CE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23</w:t>
            </w:r>
          </w:p>
        </w:tc>
        <w:tc>
          <w:tcPr>
            <w:tcW w:w="1389" w:type="dxa"/>
            <w:vAlign w:val="center"/>
          </w:tcPr>
          <w:p w14:paraId="5F516A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0.148</w:t>
            </w:r>
          </w:p>
        </w:tc>
      </w:tr>
      <w:tr w14:paraId="584AA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vAlign w:val="center"/>
          </w:tcPr>
          <w:p w14:paraId="3E75F8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midday</w:t>
            </w:r>
          </w:p>
        </w:tc>
        <w:tc>
          <w:tcPr>
            <w:tcW w:w="772" w:type="dxa"/>
            <w:vAlign w:val="center"/>
          </w:tcPr>
          <w:p w14:paraId="0721DB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7500</w:t>
            </w:r>
          </w:p>
        </w:tc>
        <w:tc>
          <w:tcPr>
            <w:tcW w:w="903" w:type="dxa"/>
            <w:vAlign w:val="center"/>
          </w:tcPr>
          <w:p w14:paraId="65DAC9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54864</w:t>
            </w:r>
          </w:p>
        </w:tc>
        <w:tc>
          <w:tcPr>
            <w:tcW w:w="903" w:type="dxa"/>
            <w:vAlign w:val="center"/>
          </w:tcPr>
          <w:p w14:paraId="1A6AB8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54851</w:t>
            </w:r>
          </w:p>
        </w:tc>
        <w:tc>
          <w:tcPr>
            <w:tcW w:w="1104" w:type="dxa"/>
            <w:vAlign w:val="center"/>
          </w:tcPr>
          <w:p w14:paraId="61D0B0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0.999763</w:t>
            </w:r>
          </w:p>
        </w:tc>
        <w:tc>
          <w:tcPr>
            <w:tcW w:w="1708" w:type="dxa"/>
            <w:vAlign w:val="center"/>
          </w:tcPr>
          <w:p w14:paraId="4F80DA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777.75</w:t>
            </w:r>
          </w:p>
        </w:tc>
        <w:tc>
          <w:tcPr>
            <w:tcW w:w="1309" w:type="dxa"/>
            <w:vAlign w:val="center"/>
          </w:tcPr>
          <w:p w14:paraId="241849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706.348</w:t>
            </w:r>
          </w:p>
        </w:tc>
        <w:tc>
          <w:tcPr>
            <w:tcW w:w="1104" w:type="dxa"/>
            <w:vAlign w:val="center"/>
          </w:tcPr>
          <w:p w14:paraId="1C7B85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13</w:t>
            </w:r>
          </w:p>
        </w:tc>
        <w:tc>
          <w:tcPr>
            <w:tcW w:w="1389" w:type="dxa"/>
            <w:vAlign w:val="center"/>
          </w:tcPr>
          <w:p w14:paraId="4F4F76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0.030667</w:t>
            </w:r>
          </w:p>
        </w:tc>
      </w:tr>
      <w:tr w14:paraId="48783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" w:type="dxa"/>
            <w:vAlign w:val="center"/>
          </w:tcPr>
          <w:p w14:paraId="384D2D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evening</w:t>
            </w:r>
          </w:p>
        </w:tc>
        <w:tc>
          <w:tcPr>
            <w:tcW w:w="772" w:type="dxa"/>
            <w:vAlign w:val="center"/>
          </w:tcPr>
          <w:p w14:paraId="53FD28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7500</w:t>
            </w:r>
          </w:p>
        </w:tc>
        <w:tc>
          <w:tcPr>
            <w:tcW w:w="903" w:type="dxa"/>
            <w:vAlign w:val="center"/>
          </w:tcPr>
          <w:p w14:paraId="45ADB7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87051</w:t>
            </w:r>
          </w:p>
        </w:tc>
        <w:tc>
          <w:tcPr>
            <w:tcW w:w="903" w:type="dxa"/>
            <w:vAlign w:val="center"/>
          </w:tcPr>
          <w:p w14:paraId="75181C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87035</w:t>
            </w:r>
          </w:p>
        </w:tc>
        <w:tc>
          <w:tcPr>
            <w:tcW w:w="1104" w:type="dxa"/>
            <w:vAlign w:val="center"/>
          </w:tcPr>
          <w:p w14:paraId="7CB598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0.999816</w:t>
            </w:r>
          </w:p>
        </w:tc>
        <w:tc>
          <w:tcPr>
            <w:tcW w:w="1708" w:type="dxa"/>
            <w:vAlign w:val="center"/>
          </w:tcPr>
          <w:p w14:paraId="771AFE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912.174</w:t>
            </w:r>
          </w:p>
        </w:tc>
        <w:tc>
          <w:tcPr>
            <w:tcW w:w="1309" w:type="dxa"/>
            <w:vAlign w:val="center"/>
          </w:tcPr>
          <w:p w14:paraId="139D20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840.523</w:t>
            </w:r>
          </w:p>
        </w:tc>
        <w:tc>
          <w:tcPr>
            <w:tcW w:w="1104" w:type="dxa"/>
            <w:vAlign w:val="center"/>
          </w:tcPr>
          <w:p w14:paraId="52475A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16</w:t>
            </w:r>
          </w:p>
        </w:tc>
        <w:tc>
          <w:tcPr>
            <w:tcW w:w="1389" w:type="dxa"/>
            <w:vAlign w:val="center"/>
          </w:tcPr>
          <w:p w14:paraId="72BAC5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6"/>
              </w:rPr>
            </w:pPr>
            <w:r>
              <w:rPr>
                <w:rFonts w:ascii="Calibri" w:hAnsi="Calibri" w:eastAsia="ＭＳ 明朝"/>
                <w:b w:val="0"/>
                <w:sz w:val="16"/>
              </w:rPr>
              <w:t>0.049867</w:t>
            </w:r>
          </w:p>
        </w:tc>
      </w:tr>
    </w:tbl>
    <w:p w14:paraId="6B6BDCD9">
      <w:r>
        <w:t>指标解释：吞吐估计为完成车辆数/注入车辆数；平均旅行时间、估计延误和队列代理量由 CityFlow 运行器写入；FRAP 接管率用于审计局部协同策略是否过度介入。</w:t>
      </w:r>
    </w:p>
    <w:p w14:paraId="51DA4D1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五、动态运行验证</w:t>
      </w:r>
    </w:p>
    <w:p w14:paraId="496808BC">
      <w:r>
        <w:t>已使用隐藏后台启动 + pythonw 动态监视器完成正式入口验证。监视器显示 20 个路口、实时相位颜色、队列代理量和车辆位置；在全部需求车辆注入后显示 DRAINING（注入完成、指标计算继续），完整 7,500 步运行结束后写入 status=complete。</w:t>
      </w:r>
    </w:p>
    <w:p w14:paraId="6D73F41A">
      <w:pPr>
        <w:jc w:val="center"/>
      </w:pPr>
      <w:r>
        <w:drawing>
          <wp:inline distT="0" distB="0" distL="114300" distR="114300">
            <wp:extent cx="5669280" cy="52006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2A07">
      <w:pPr>
        <w:jc w:val="center"/>
      </w:pPr>
      <w:r>
        <w:rPr>
          <w:i/>
          <w:color w:val="65727E"/>
          <w:sz w:val="16"/>
        </w:rPr>
        <w:t>图1  20路口 CityFlow 动态监视器界面示例</w:t>
      </w:r>
    </w:p>
    <w:p w14:paraId="3A93D992">
      <w:r>
        <w:t>动态验收正常标准：仅显示动态图窗口；后台控制进程不占用可见终端；状态从首条数据开始更新；注入完成后显示 DRAINING；完整 7,500 步结束后 JSONL 含 status=complete，metrics.csv 写入完整指标。</w:t>
      </w:r>
    </w:p>
    <w:p w14:paraId="03BC342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六、消融基准对齐复验</w:t>
      </w:r>
    </w:p>
    <w:p w14:paraId="0CEEA466">
      <w:r>
        <w:t>最终对齐基准为任务三“最终主线_UGAT_TRANSYT_FRAP/TRANSYT_FRAP消融实验汇总.csv”。按最终公平消融配置复跑：morning、ugat_frap_transyt、7,500 步、10 秒决策间隔、1 线程。复验结果与任务三中“完整 UGAT+FRAP+TRANSYT”早高峰基准逐字段一致。</w:t>
      </w:r>
    </w:p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1995"/>
        <w:gridCol w:w="1995"/>
        <w:gridCol w:w="1864"/>
        <w:gridCol w:w="1258"/>
      </w:tblGrid>
      <w:tr w14:paraId="48B95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4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CEE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指标</w:t>
            </w:r>
          </w:p>
        </w:tc>
        <w:tc>
          <w:tcPr>
            <w:tcW w:w="199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ED3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消融基准</w:t>
            </w:r>
          </w:p>
        </w:tc>
        <w:tc>
          <w:tcPr>
            <w:tcW w:w="1995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E29E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本次复跑</w:t>
            </w:r>
          </w:p>
        </w:tc>
        <w:tc>
          <w:tcPr>
            <w:tcW w:w="1864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80A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差值</w:t>
            </w:r>
          </w:p>
        </w:tc>
        <w:tc>
          <w:tcPr>
            <w:tcW w:w="125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CAF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结论</w:t>
            </w:r>
          </w:p>
        </w:tc>
      </w:tr>
      <w:tr w14:paraId="755F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37F3D4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平均旅行时间(s)</w:t>
            </w:r>
          </w:p>
        </w:tc>
        <w:tc>
          <w:tcPr>
            <w:tcW w:w="1995" w:type="dxa"/>
            <w:vAlign w:val="center"/>
          </w:tcPr>
          <w:p w14:paraId="6C2D06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1149.833</w:t>
            </w:r>
          </w:p>
        </w:tc>
        <w:tc>
          <w:tcPr>
            <w:tcW w:w="1995" w:type="dxa"/>
            <w:vAlign w:val="center"/>
          </w:tcPr>
          <w:p w14:paraId="5D6787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1149.833</w:t>
            </w:r>
          </w:p>
        </w:tc>
        <w:tc>
          <w:tcPr>
            <w:tcW w:w="1864" w:type="dxa"/>
            <w:vAlign w:val="center"/>
          </w:tcPr>
          <w:p w14:paraId="74B91D3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0.000</w:t>
            </w:r>
          </w:p>
        </w:tc>
        <w:tc>
          <w:tcPr>
            <w:tcW w:w="1258" w:type="dxa"/>
            <w:vAlign w:val="center"/>
          </w:tcPr>
          <w:p w14:paraId="28DC4A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244B0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699FCB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估计延误(s)</w:t>
            </w:r>
          </w:p>
        </w:tc>
        <w:tc>
          <w:tcPr>
            <w:tcW w:w="1995" w:type="dxa"/>
            <w:vAlign w:val="center"/>
          </w:tcPr>
          <w:p w14:paraId="3212586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1076.303</w:t>
            </w:r>
          </w:p>
        </w:tc>
        <w:tc>
          <w:tcPr>
            <w:tcW w:w="1995" w:type="dxa"/>
            <w:vAlign w:val="center"/>
          </w:tcPr>
          <w:p w14:paraId="734D08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1076.303</w:t>
            </w:r>
          </w:p>
        </w:tc>
        <w:tc>
          <w:tcPr>
            <w:tcW w:w="1864" w:type="dxa"/>
            <w:vAlign w:val="center"/>
          </w:tcPr>
          <w:p w14:paraId="1D6BC2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0.000</w:t>
            </w:r>
          </w:p>
        </w:tc>
        <w:tc>
          <w:tcPr>
            <w:tcW w:w="1258" w:type="dxa"/>
            <w:vAlign w:val="center"/>
          </w:tcPr>
          <w:p w14:paraId="58EEA3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2ADD9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3E00B1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末端队列</w:t>
            </w:r>
          </w:p>
        </w:tc>
        <w:tc>
          <w:tcPr>
            <w:tcW w:w="1995" w:type="dxa"/>
            <w:vAlign w:val="center"/>
          </w:tcPr>
          <w:p w14:paraId="26AFC3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23</w:t>
            </w:r>
          </w:p>
        </w:tc>
        <w:tc>
          <w:tcPr>
            <w:tcW w:w="1995" w:type="dxa"/>
            <w:vAlign w:val="center"/>
          </w:tcPr>
          <w:p w14:paraId="0DAA0F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23</w:t>
            </w:r>
          </w:p>
        </w:tc>
        <w:tc>
          <w:tcPr>
            <w:tcW w:w="1864" w:type="dxa"/>
            <w:vAlign w:val="center"/>
          </w:tcPr>
          <w:p w14:paraId="5D61BD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</w:t>
            </w:r>
          </w:p>
        </w:tc>
        <w:tc>
          <w:tcPr>
            <w:tcW w:w="1258" w:type="dxa"/>
            <w:vAlign w:val="center"/>
          </w:tcPr>
          <w:p w14:paraId="2A9F406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56AF9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1388C1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末端活跃车辆</w:t>
            </w:r>
          </w:p>
        </w:tc>
        <w:tc>
          <w:tcPr>
            <w:tcW w:w="1995" w:type="dxa"/>
            <w:vAlign w:val="center"/>
          </w:tcPr>
          <w:p w14:paraId="2EAD00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23</w:t>
            </w:r>
          </w:p>
        </w:tc>
        <w:tc>
          <w:tcPr>
            <w:tcW w:w="1995" w:type="dxa"/>
            <w:vAlign w:val="center"/>
          </w:tcPr>
          <w:p w14:paraId="0EC045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23</w:t>
            </w:r>
          </w:p>
        </w:tc>
        <w:tc>
          <w:tcPr>
            <w:tcW w:w="1864" w:type="dxa"/>
            <w:vAlign w:val="center"/>
          </w:tcPr>
          <w:p w14:paraId="5CC2DE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</w:t>
            </w:r>
          </w:p>
        </w:tc>
        <w:tc>
          <w:tcPr>
            <w:tcW w:w="1258" w:type="dxa"/>
            <w:vAlign w:val="center"/>
          </w:tcPr>
          <w:p w14:paraId="2DFE3F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6ED40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67C9BE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完成车辆估计</w:t>
            </w:r>
          </w:p>
        </w:tc>
        <w:tc>
          <w:tcPr>
            <w:tcW w:w="1995" w:type="dxa"/>
            <w:vAlign w:val="center"/>
          </w:tcPr>
          <w:p w14:paraId="2BAE3A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77726</w:t>
            </w:r>
          </w:p>
        </w:tc>
        <w:tc>
          <w:tcPr>
            <w:tcW w:w="1995" w:type="dxa"/>
            <w:vAlign w:val="center"/>
          </w:tcPr>
          <w:p w14:paraId="5491C8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77726</w:t>
            </w:r>
          </w:p>
        </w:tc>
        <w:tc>
          <w:tcPr>
            <w:tcW w:w="1864" w:type="dxa"/>
            <w:vAlign w:val="center"/>
          </w:tcPr>
          <w:p w14:paraId="154827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</w:t>
            </w:r>
          </w:p>
        </w:tc>
        <w:tc>
          <w:tcPr>
            <w:tcW w:w="1258" w:type="dxa"/>
            <w:vAlign w:val="center"/>
          </w:tcPr>
          <w:p w14:paraId="63D911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21275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415E33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吞吐估计</w:t>
            </w:r>
          </w:p>
        </w:tc>
        <w:tc>
          <w:tcPr>
            <w:tcW w:w="1995" w:type="dxa"/>
            <w:vAlign w:val="center"/>
          </w:tcPr>
          <w:p w14:paraId="3FB3C2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0.999704</w:t>
            </w:r>
          </w:p>
        </w:tc>
        <w:tc>
          <w:tcPr>
            <w:tcW w:w="1995" w:type="dxa"/>
            <w:vAlign w:val="center"/>
          </w:tcPr>
          <w:p w14:paraId="07D2BA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0.999704</w:t>
            </w:r>
          </w:p>
        </w:tc>
        <w:tc>
          <w:tcPr>
            <w:tcW w:w="1864" w:type="dxa"/>
            <w:vAlign w:val="center"/>
          </w:tcPr>
          <w:p w14:paraId="46BDBD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0.000000</w:t>
            </w:r>
          </w:p>
        </w:tc>
        <w:tc>
          <w:tcPr>
            <w:tcW w:w="1258" w:type="dxa"/>
            <w:vAlign w:val="center"/>
          </w:tcPr>
          <w:p w14:paraId="0E986F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3D93A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40" w:type="dxa"/>
            <w:vAlign w:val="center"/>
          </w:tcPr>
          <w:p w14:paraId="15F699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FRAP接管率</w:t>
            </w:r>
          </w:p>
        </w:tc>
        <w:tc>
          <w:tcPr>
            <w:tcW w:w="1995" w:type="dxa"/>
            <w:vAlign w:val="center"/>
          </w:tcPr>
          <w:p w14:paraId="5A05976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0.148</w:t>
            </w:r>
          </w:p>
        </w:tc>
        <w:tc>
          <w:tcPr>
            <w:tcW w:w="1995" w:type="dxa"/>
            <w:vAlign w:val="center"/>
          </w:tcPr>
          <w:p w14:paraId="43C493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0.148</w:t>
            </w:r>
          </w:p>
        </w:tc>
        <w:tc>
          <w:tcPr>
            <w:tcW w:w="1864" w:type="dxa"/>
            <w:vAlign w:val="center"/>
          </w:tcPr>
          <w:p w14:paraId="7CCCB4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0.000</w:t>
            </w:r>
          </w:p>
        </w:tc>
        <w:tc>
          <w:tcPr>
            <w:tcW w:w="1258" w:type="dxa"/>
            <w:vAlign w:val="center"/>
          </w:tcPr>
          <w:p w14:paraId="7C14D6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</w:tbl>
    <w:p w14:paraId="24BA8D65">
      <w:r>
        <w:t>复验原始输出及逐字段核验表：outputs/verification_reference_alignment/metrics.csv；outputs/verification_reference_alignment/与UGAT消融实验_早高峰对齐核验.csv。</w:t>
      </w:r>
    </w:p>
    <w:p w14:paraId="1D6A62EF">
      <w:r>
        <w:t>三时段对齐结果：任务二主版本与任务三最终主线的平均旅行时间、估计延误、吞吐、末端队列和 FRAP 接管率均一致。核验文件：任务3最终公平消融_主版本三时段对齐核验.csv。</w:t>
      </w:r>
    </w:p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2109"/>
        <w:gridCol w:w="1607"/>
        <w:gridCol w:w="1353"/>
        <w:gridCol w:w="1353"/>
        <w:gridCol w:w="1709"/>
        <w:gridCol w:w="852"/>
      </w:tblGrid>
      <w:tr w14:paraId="58245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7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F25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时段</w:t>
            </w:r>
          </w:p>
        </w:tc>
        <w:tc>
          <w:tcPr>
            <w:tcW w:w="2109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8E3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平均旅行时间(s)</w:t>
            </w:r>
          </w:p>
        </w:tc>
        <w:tc>
          <w:tcPr>
            <w:tcW w:w="1607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874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估计延误(s)</w:t>
            </w:r>
          </w:p>
        </w:tc>
        <w:tc>
          <w:tcPr>
            <w:tcW w:w="1353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08E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吞吐估计</w:t>
            </w:r>
          </w:p>
        </w:tc>
        <w:tc>
          <w:tcPr>
            <w:tcW w:w="1353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DFB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末端队列</w:t>
            </w:r>
          </w:p>
        </w:tc>
        <w:tc>
          <w:tcPr>
            <w:tcW w:w="1709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658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FRAP接管率</w:t>
            </w:r>
          </w:p>
        </w:tc>
        <w:tc>
          <w:tcPr>
            <w:tcW w:w="852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7F8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7"/>
              </w:rPr>
            </w:pPr>
            <w:r>
              <w:rPr>
                <w:rFonts w:ascii="Calibri" w:hAnsi="Calibri" w:eastAsia="ＭＳ 明朝"/>
                <w:b/>
                <w:color w:val="1F4E79"/>
                <w:sz w:val="17"/>
              </w:rPr>
              <w:t>结论</w:t>
            </w:r>
          </w:p>
        </w:tc>
      </w:tr>
      <w:tr w14:paraId="09D47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4C1419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morning</w:t>
            </w:r>
          </w:p>
        </w:tc>
        <w:tc>
          <w:tcPr>
            <w:tcW w:w="2109" w:type="dxa"/>
            <w:vAlign w:val="center"/>
          </w:tcPr>
          <w:p w14:paraId="242DC3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1149.833</w:t>
            </w:r>
          </w:p>
        </w:tc>
        <w:tc>
          <w:tcPr>
            <w:tcW w:w="1607" w:type="dxa"/>
            <w:vAlign w:val="center"/>
          </w:tcPr>
          <w:p w14:paraId="537B49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1076.303</w:t>
            </w:r>
          </w:p>
        </w:tc>
        <w:tc>
          <w:tcPr>
            <w:tcW w:w="1353" w:type="dxa"/>
            <w:vAlign w:val="center"/>
          </w:tcPr>
          <w:p w14:paraId="7E8B43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0.999704</w:t>
            </w:r>
          </w:p>
        </w:tc>
        <w:tc>
          <w:tcPr>
            <w:tcW w:w="1353" w:type="dxa"/>
            <w:vAlign w:val="center"/>
          </w:tcPr>
          <w:p w14:paraId="2B4BA2A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23</w:t>
            </w:r>
          </w:p>
        </w:tc>
        <w:tc>
          <w:tcPr>
            <w:tcW w:w="1709" w:type="dxa"/>
            <w:vAlign w:val="center"/>
          </w:tcPr>
          <w:p w14:paraId="1FFF42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0.148</w:t>
            </w:r>
          </w:p>
        </w:tc>
        <w:tc>
          <w:tcPr>
            <w:tcW w:w="852" w:type="dxa"/>
            <w:vAlign w:val="center"/>
          </w:tcPr>
          <w:p w14:paraId="30BC16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4FD22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61DAEE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midday</w:t>
            </w:r>
          </w:p>
        </w:tc>
        <w:tc>
          <w:tcPr>
            <w:tcW w:w="2109" w:type="dxa"/>
            <w:vAlign w:val="center"/>
          </w:tcPr>
          <w:p w14:paraId="222CCA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777.750</w:t>
            </w:r>
          </w:p>
        </w:tc>
        <w:tc>
          <w:tcPr>
            <w:tcW w:w="1607" w:type="dxa"/>
            <w:vAlign w:val="center"/>
          </w:tcPr>
          <w:p w14:paraId="568C51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706.348</w:t>
            </w:r>
          </w:p>
        </w:tc>
        <w:tc>
          <w:tcPr>
            <w:tcW w:w="1353" w:type="dxa"/>
            <w:vAlign w:val="center"/>
          </w:tcPr>
          <w:p w14:paraId="76AD7C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0.999763</w:t>
            </w:r>
          </w:p>
        </w:tc>
        <w:tc>
          <w:tcPr>
            <w:tcW w:w="1353" w:type="dxa"/>
            <w:vAlign w:val="center"/>
          </w:tcPr>
          <w:p w14:paraId="22F7AB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13</w:t>
            </w:r>
          </w:p>
        </w:tc>
        <w:tc>
          <w:tcPr>
            <w:tcW w:w="1709" w:type="dxa"/>
            <w:vAlign w:val="center"/>
          </w:tcPr>
          <w:p w14:paraId="2E79B8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0.030667</w:t>
            </w:r>
          </w:p>
        </w:tc>
        <w:tc>
          <w:tcPr>
            <w:tcW w:w="852" w:type="dxa"/>
            <w:vAlign w:val="center"/>
          </w:tcPr>
          <w:p w14:paraId="645342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  <w:tr w14:paraId="183AF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70" w:type="dxa"/>
            <w:vAlign w:val="center"/>
          </w:tcPr>
          <w:p w14:paraId="333020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evening</w:t>
            </w:r>
          </w:p>
        </w:tc>
        <w:tc>
          <w:tcPr>
            <w:tcW w:w="2109" w:type="dxa"/>
            <w:vAlign w:val="center"/>
          </w:tcPr>
          <w:p w14:paraId="2C3B09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912.174</w:t>
            </w:r>
          </w:p>
        </w:tc>
        <w:tc>
          <w:tcPr>
            <w:tcW w:w="1607" w:type="dxa"/>
            <w:vAlign w:val="center"/>
          </w:tcPr>
          <w:p w14:paraId="302785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840.523</w:t>
            </w:r>
          </w:p>
        </w:tc>
        <w:tc>
          <w:tcPr>
            <w:tcW w:w="1353" w:type="dxa"/>
            <w:vAlign w:val="center"/>
          </w:tcPr>
          <w:p w14:paraId="6494C1C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0.999816</w:t>
            </w:r>
          </w:p>
        </w:tc>
        <w:tc>
          <w:tcPr>
            <w:tcW w:w="1353" w:type="dxa"/>
            <w:vAlign w:val="center"/>
          </w:tcPr>
          <w:p w14:paraId="4678AE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16</w:t>
            </w:r>
          </w:p>
        </w:tc>
        <w:tc>
          <w:tcPr>
            <w:tcW w:w="1709" w:type="dxa"/>
            <w:vAlign w:val="center"/>
          </w:tcPr>
          <w:p w14:paraId="5DA3BE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0.049867</w:t>
            </w:r>
          </w:p>
        </w:tc>
        <w:tc>
          <w:tcPr>
            <w:tcW w:w="852" w:type="dxa"/>
            <w:vAlign w:val="center"/>
          </w:tcPr>
          <w:p w14:paraId="580C98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sz w:val="17"/>
              </w:rPr>
            </w:pPr>
            <w:r>
              <w:rPr>
                <w:rFonts w:ascii="Calibri" w:hAnsi="Calibri" w:eastAsia="ＭＳ 明朝"/>
                <w:b w:val="0"/>
                <w:sz w:val="17"/>
              </w:rPr>
              <w:t>一致</w:t>
            </w:r>
          </w:p>
        </w:tc>
      </w:tr>
    </w:tbl>
    <w:p w14:paraId="7B9FF31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七、复现与结果查看指南</w:t>
      </w:r>
    </w:p>
    <w:p w14:paraId="45C94561">
      <w:r>
        <w:rPr>
          <w:b/>
        </w:rPr>
        <w:t>进入工程目录：</w:t>
      </w:r>
    </w:p>
    <w:p w14:paraId="2CF4478E">
      <w:pPr>
        <w:ind w:left="360"/>
      </w:pPr>
      <w:r>
        <w:t>cd "C:\Users\lauri\Desktop\提交程序汇总\03_功能三_赛道B经典交通管控算法场景适配与优化\任务2_协同优化算法实现\UGAT_FRAP_TRANSYT协同_雄安20路口工程"</w:t>
      </w:r>
    </w:p>
    <w:p w14:paraId="0040D729">
      <w:pPr>
        <w:ind w:left="360"/>
      </w:pPr>
      <w:r>
        <w:t>powershell -ExecutionPolicy Bypass -File ".\run_and_show.ps1" -Algorithm ugat_frap_transyt -Period morning -Steps 7500 -Threads 1 -VisualDelayMs 50 -LiveInterval 10</w:t>
      </w:r>
    </w:p>
    <w:p w14:paraId="2D00A993">
      <w:pPr>
        <w:ind w:left="360"/>
      </w:pPr>
      <w:r>
        <w:t>python .\src\validate_scenario.py</w:t>
      </w:r>
    </w:p>
    <w:p w14:paraId="2F811619">
      <w:r>
        <w:t>上述动态命令与任务三最终公平消融保持同一口径。CityFlow 窗口显示路口相位、车辆位置、节点队列及底部的 simulation time、injected、on-network、queued、displayed 状态。</w:t>
      </w:r>
    </w:p>
    <w:p w14:paraId="744C17F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八、统一复现与结果查看</w:t>
      </w:r>
    </w:p>
    <w:p w14:paraId="12555D4C">
      <w:r>
        <w:t>统一入口一次完成指定时段的 Docker 仿真、20 路口动态画面和综合结果窗口。结果窗口同时显示 Travel Time、Delay、Queue、Throughput、Active vehicles、FRAP override，并附 morning、midday、evening 三时段汇总，避免 Delay 只查看到早高峰。</w:t>
      </w:r>
    </w:p>
    <w:p w14:paraId="0205F23A">
      <w:pPr>
        <w:ind w:left="360"/>
      </w:pPr>
      <w:r>
        <w:t>powershell -ExecutionPolicy Bypass -File ".\run_submission.ps1" -Period morning -Steps 7500 -Threads 1 -VisualDelayMs 50 -LiveInterval 10</w:t>
      </w:r>
    </w:p>
    <w:p w14:paraId="648FBBC8">
      <w:r>
        <w:t>集成式复现命令（只需执行这一条）：</w:t>
      </w:r>
    </w:p>
    <w:p w14:paraId="5F58254F">
      <w:pPr>
        <w:ind w:left="360"/>
      </w:pPr>
      <w:r>
        <w:t>powershell -ExecutionPolicy Bypass -File ".\\run_submission.ps1" -Period morning -Steps 7500 -Threads 1 -VisualDelayMs 50 -LiveInterval 10</w:t>
      </w:r>
    </w:p>
    <w:p w14:paraId="65AAA1CB">
      <w:r>
        <w:t>该命令自动完成 Docker 仿真、20 路口动态路网画面，并在当前终端直接打印本次运行的 Travel time、Delay、Queue、Throughput、Active vehicles、FRAP override 等完整指标；随后自动打开综合结果窗口，并打印 morning/midday/evening 三时段汇总。将 -Period 改为 midday 或 evening 可运行对应时段；三时段汇总统一写入 outputs/all_periods_metrics.csv，详细轨迹写入 outputs/trace_*.json 和 outputs/live_*.jsonl。</w:t>
      </w:r>
    </w:p>
    <w:p w14:paraId="2A6B9C1C">
      <w:r>
        <w:t>字段含义：average_travel_time_s 为平均旅行时间；estimated_delay_s 为相对于自由流平均时间的延误；throughput_est 为完成车辆估计数/注入车辆数；final_queue_proxy 为末端队列代理量；frap_override_rate 为 FRAP 相对 TRANSYT 的局部接管比例。</w:t>
      </w:r>
    </w:p>
    <w:p w14:paraId="15196F82">
      <w:r>
        <w:br w:type="page"/>
      </w:r>
    </w:p>
    <w:p w14:paraId="3545D2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九、已补充与已修正文件</w:t>
      </w:r>
    </w:p>
    <w:tbl>
      <w:tblPr>
        <w:tblStyle w:val="32"/>
        <w:tblW w:w="101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5362"/>
      </w:tblGrid>
      <w:tr w14:paraId="7EFBA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79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0CE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8"/>
              </w:rPr>
            </w:pPr>
            <w:r>
              <w:rPr>
                <w:rFonts w:ascii="Calibri" w:hAnsi="Calibri" w:eastAsia="ＭＳ 明朝"/>
                <w:b/>
                <w:color w:val="1F4E79"/>
                <w:sz w:val="18"/>
              </w:rPr>
              <w:t>文件</w:t>
            </w:r>
          </w:p>
        </w:tc>
        <w:tc>
          <w:tcPr>
            <w:tcW w:w="5362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59B4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ＭＳ 明朝"/>
                <w:b/>
                <w:sz w:val="18"/>
              </w:rPr>
            </w:pPr>
            <w:r>
              <w:rPr>
                <w:rFonts w:ascii="Calibri" w:hAnsi="Calibri" w:eastAsia="ＭＳ 明朝"/>
                <w:b/>
                <w:color w:val="1F4E79"/>
                <w:sz w:val="18"/>
              </w:rPr>
              <w:t>作用</w:t>
            </w:r>
          </w:p>
        </w:tc>
      </w:tr>
      <w:tr w14:paraId="5A880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4C87C9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提交材料索引与验收映射.md</w:t>
            </w:r>
          </w:p>
        </w:tc>
        <w:tc>
          <w:tcPr>
            <w:tcW w:w="5362" w:type="dxa"/>
            <w:vAlign w:val="center"/>
          </w:tcPr>
          <w:p w14:paraId="2BB6E3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把任务要求逐项映射到实际归档路径</w:t>
            </w:r>
          </w:p>
        </w:tc>
      </w:tr>
      <w:tr w14:paraId="32B61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0AB28C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版本锁定清单.md</w:t>
            </w:r>
          </w:p>
        </w:tc>
        <w:tc>
          <w:tcPr>
            <w:tcW w:w="5362" w:type="dxa"/>
            <w:vAlign w:val="center"/>
          </w:tcPr>
          <w:p w14:paraId="0B2F44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锁定主算法、输入、动作、步数、CityFlow版本和验收口径</w:t>
            </w:r>
          </w:p>
        </w:tc>
      </w:tr>
      <w:tr w14:paraId="1F24F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457B07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版本锁定_SHA256.csv</w:t>
            </w:r>
          </w:p>
        </w:tc>
        <w:tc>
          <w:tcPr>
            <w:tcW w:w="5362" w:type="dxa"/>
            <w:vAlign w:val="center"/>
          </w:tcPr>
          <w:p w14:paraId="1E3808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记录模型、配置、数据清单和源代码 SHA-256</w:t>
            </w:r>
          </w:p>
        </w:tc>
      </w:tr>
      <w:tr w14:paraId="6F1BD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38B6191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third_party/CityFlow/</w:t>
            </w:r>
          </w:p>
        </w:tc>
        <w:tc>
          <w:tcPr>
            <w:tcW w:w="5362" w:type="dxa"/>
            <w:vAlign w:val="center"/>
          </w:tcPr>
          <w:p w14:paraId="6B7125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随工程提交固定官方 CityFlow 源码，满足 Docker 可复现构建</w:t>
            </w:r>
          </w:p>
        </w:tc>
      </w:tr>
      <w:tr w14:paraId="0371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38D91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scripts/run_backend_hidden.ps1</w:t>
            </w:r>
          </w:p>
        </w:tc>
        <w:tc>
          <w:tcPr>
            <w:tcW w:w="5362" w:type="dxa"/>
            <w:vAlign w:val="center"/>
          </w:tcPr>
          <w:p w14:paraId="6B6628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隐藏 Docker 控制后台并保留日志</w:t>
            </w:r>
          </w:p>
        </w:tc>
      </w:tr>
      <w:tr w14:paraId="062F8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619BB9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run_and_show.ps1</w:t>
            </w:r>
          </w:p>
        </w:tc>
        <w:tc>
          <w:tcPr>
            <w:tcW w:w="5362" w:type="dxa"/>
            <w:vAlign w:val="center"/>
          </w:tcPr>
          <w:p w14:paraId="3EBE01A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单时段动态运行入口</w:t>
            </w:r>
          </w:p>
        </w:tc>
      </w:tr>
      <w:tr w14:paraId="4EC86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4636FEB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scripts/run_submission.ps1 / 根目录 run_submission.ps1</w:t>
            </w:r>
          </w:p>
        </w:tc>
        <w:tc>
          <w:tcPr>
            <w:tcW w:w="5362" w:type="dxa"/>
            <w:vAlign w:val="center"/>
          </w:tcPr>
          <w:p w14:paraId="1439DE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统一复现、动态画面和多指标结果入口</w:t>
            </w:r>
          </w:p>
        </w:tc>
      </w:tr>
      <w:tr w14:paraId="1BF80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275251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复现与指标查看说明.md</w:t>
            </w:r>
          </w:p>
        </w:tc>
        <w:tc>
          <w:tcPr>
            <w:tcW w:w="5362" w:type="dxa"/>
            <w:vAlign w:val="center"/>
          </w:tcPr>
          <w:p w14:paraId="7AE674A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集中说明三时段复现及指标查看方法</w:t>
            </w:r>
          </w:p>
        </w:tc>
      </w:tr>
      <w:tr w14:paraId="3D166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790" w:type="dxa"/>
            <w:vAlign w:val="center"/>
          </w:tcPr>
          <w:p w14:paraId="11129C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三份主版本 metrics.csv 表头</w:t>
            </w:r>
          </w:p>
        </w:tc>
        <w:tc>
          <w:tcPr>
            <w:tcW w:w="5362" w:type="dxa"/>
            <w:vAlign w:val="center"/>
          </w:tcPr>
          <w:p w14:paraId="70A67FA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libri" w:eastAsia="ＭＳ 明朝"/>
                <w:sz w:val="18"/>
              </w:rPr>
            </w:pPr>
            <w:r>
              <w:rPr>
                <w:rFonts w:ascii="Calibri" w:hAnsi="Calibri" w:eastAsia="ＭＳ 明朝"/>
                <w:b w:val="0"/>
                <w:sz w:val="18"/>
              </w:rPr>
              <w:t>修正结果 CSV 可读性，支持标准字段验收</w:t>
            </w:r>
          </w:p>
        </w:tc>
      </w:tr>
    </w:tbl>
    <w:p w14:paraId="2C915A5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十、交付结论与风险边界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5467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8F3E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BEC0C8B">
            <w:pPr>
              <w:spacing w:after="60"/>
              <w:rPr>
                <w:rFonts w:hint="eastAsia" w:ascii="微软雅黑" w:hAnsi="微软雅黑" w:eastAsia="微软雅黑" w:cs="微软雅黑"/>
                <w:b/>
                <w:color w:val="1F4E79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</w:rPr>
              <w:t>交付结论</w:t>
            </w:r>
          </w:p>
          <w:p w14:paraId="019C6391">
            <w:pPr>
              <w:spacing w:after="0"/>
            </w:pPr>
            <w:r>
              <w:rPr>
                <w:sz w:val="20"/>
              </w:rPr>
              <w:t>提交目录及必要补充文件已齐全，满足“只保留一个最终主版本、20路口可运行、算法动作可驱动信号控制并生成指标”的验收接口。</w:t>
            </w:r>
          </w:p>
        </w:tc>
      </w:tr>
    </w:tbl>
    <w:p w14:paraId="038E9C16">
      <w:r>
        <w:t>边界说明：TRANSYT 为本工程中的可审计风格复现，不代表 PTV TRANSYT 商业软件授权；雄安20路口布局用于算法仿真验证，不宣称测绘级 GIS 精度。</w:t>
      </w:r>
    </w:p>
    <w:p w14:paraId="7595AEC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附录：核心文件目录</w:t>
      </w:r>
    </w:p>
    <w:p w14:paraId="74B797A0">
      <w:pPr>
        <w:pStyle w:val="16"/>
      </w:pPr>
      <w:r>
        <w:t>src/algorithms.py / src/ugat_frap.py / src/run_cityflow.py</w:t>
      </w:r>
    </w:p>
    <w:p w14:paraId="70DFE051">
      <w:pPr>
        <w:pStyle w:val="16"/>
      </w:pPr>
      <w:r>
        <w:t>src/train_adapter.py / scripts/run_farp_xiong_an_20.py</w:t>
      </w:r>
    </w:p>
    <w:p w14:paraId="2AEE9C72">
      <w:pPr>
        <w:pStyle w:val="16"/>
      </w:pPr>
      <w:r>
        <w:t>model/frozen_ugat_4x4.pt / model/frap_adapter.pt</w:t>
      </w:r>
    </w:p>
    <w:p w14:paraId="3C079E9E">
      <w:pPr>
        <w:pStyle w:val="16"/>
      </w:pPr>
      <w:r>
        <w:t>configs/farp_xiong_an_20.yml / configs/xiong_an_20.yaml</w:t>
      </w:r>
    </w:p>
    <w:p w14:paraId="7E6ECC79">
      <w:pPr>
        <w:pStyle w:val="16"/>
      </w:pPr>
      <w:r>
        <w:t>data/xiong_an_20/roadnet.json / topology.json / flow_*.json</w:t>
      </w:r>
    </w:p>
    <w:p w14:paraId="2AB3F38C">
      <w:pPr>
        <w:pStyle w:val="16"/>
      </w:pPr>
      <w:r>
        <w:t>docs/API.md / RUN_20.md / Dockerfile / requirements.txt</w:t>
      </w:r>
    </w:p>
    <w:p w14:paraId="3FEEBDCA">
      <w:pPr>
        <w:pStyle w:val="16"/>
      </w:pPr>
      <w:r>
        <w:t>算法版本依据_20260824/</w:t>
      </w:r>
    </w:p>
    <w:p w14:paraId="11978492">
      <w:pPr>
        <w:pStyle w:val="16"/>
      </w:pPr>
      <w:r>
        <w:t>结果/ugat_frap_transyt/{morning,midday,evening}/metrics.csv</w:t>
      </w:r>
    </w:p>
    <w:sectPr>
      <w:headerReference r:id="rId5" w:type="default"/>
      <w:footerReference r:id="rId6" w:type="default"/>
      <w:pgSz w:w="12240" w:h="15840"/>
      <w:pgMar w:top="1080" w:right="1152" w:bottom="1008" w:left="1152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E39DD">
    <w:pPr>
      <w:pStyle w:val="24"/>
      <w:jc w:val="center"/>
    </w:pPr>
    <w:r>
      <w:rPr>
        <w:color w:val="65727E"/>
        <w:sz w:val="16"/>
      </w:rPr>
      <w:t>正式提交材料  |  版本：UGAT+FRAP+TRANSYT  |  2026-08-26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CFEF3">
    <w:pPr>
      <w:pStyle w:val="25"/>
      <w:jc w:val="right"/>
    </w:pPr>
    <w:r>
      <w:rPr>
        <w:color w:val="65727E"/>
        <w:sz w:val="16"/>
      </w:rPr>
      <w:t>功能三 · 赛道B经典交通管控算法场景适配与优化 | 任务二提交说明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84FE7"/>
    <w:rsid w:val="48A7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64" w:lineRule="auto"/>
      <w:contextualSpacing/>
    </w:pPr>
    <w:rPr>
      <w:rFonts w:ascii="Calibri" w:hAnsi="Calibri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2232</Words>
  <Characters>4481</Characters>
  <Lines>0</Lines>
  <Paragraphs>0</Paragraphs>
  <TotalTime>4</TotalTime>
  <ScaleCrop>false</ScaleCrop>
  <LinksUpToDate>false</LinksUpToDate>
  <CharactersWithSpaces>4661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25182404</cp:lastModifiedBy>
  <dcterms:modified xsi:type="dcterms:W3CDTF">2026-08-27T03:20:59Z</dcterms:modified>
  <dc:subject>提交材料完整性检查与工程验收说明</dc:subject>
  <dc:title>功能三任务二 协同优化算法实现 提交说明报告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7EB28A25841D4D7CAEEE39DF6B20AF40_12</vt:lpwstr>
  </property>
</Properties>
</file>