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7BCBAC">
      <w:pPr>
        <w:spacing w:before="2000" w:after="120" w:line="360" w:lineRule="auto"/>
        <w:ind w:firstLine="480"/>
        <w:jc w:val="center"/>
        <w:rPr>
          <w:rFonts w:ascii="Times New Roman" w:hAnsi="Times New Roman" w:eastAsia="宋体"/>
          <w:b/>
          <w:color w:val="1F4E79"/>
          <w:sz w:val="48"/>
        </w:rPr>
      </w:pPr>
      <w:r>
        <w:rPr>
          <w:rFonts w:ascii="Times New Roman" w:hAnsi="Times New Roman" w:eastAsia="宋体"/>
          <w:b/>
          <w:color w:val="1F4E79"/>
          <w:sz w:val="48"/>
        </w:rPr>
        <w:t>系统设计与算法报告</w:t>
      </w:r>
    </w:p>
    <w:p w14:paraId="2259D21B">
      <w:pPr>
        <w:spacing w:after="120" w:line="360" w:lineRule="auto"/>
        <w:ind w:firstLine="480"/>
        <w:jc w:val="center"/>
        <w:rPr>
          <w:rFonts w:ascii="Times New Roman" w:hAnsi="Times New Roman" w:eastAsia="宋体"/>
          <w:b/>
          <w:sz w:val="32"/>
        </w:rPr>
      </w:pPr>
      <w:r>
        <w:rPr>
          <w:rFonts w:ascii="Times New Roman" w:hAnsi="Times New Roman" w:eastAsia="宋体"/>
          <w:b/>
          <w:sz w:val="32"/>
        </w:rPr>
        <w:t>面向雄安新区“城市大脑”的车路云一体化协同管控算法与仿真平台</w:t>
      </w:r>
    </w:p>
    <w:p w14:paraId="69731A37">
      <w:pPr>
        <w:spacing w:before="900" w:after="120" w:line="360" w:lineRule="auto"/>
        <w:jc w:val="both"/>
        <w:rPr>
          <w:rFonts w:ascii="Times New Roman" w:hAnsi="Times New Roman" w:eastAsia="宋体"/>
          <w:b w:val="0"/>
          <w:sz w:val="26"/>
        </w:rPr>
      </w:pPr>
    </w:p>
    <w:p w14:paraId="439A1F4B">
      <w:pPr>
        <w:spacing w:before="900" w:after="120" w:line="360" w:lineRule="auto"/>
        <w:ind w:firstLine="480"/>
        <w:jc w:val="center"/>
        <w:rPr>
          <w:rFonts w:ascii="Times New Roman" w:hAnsi="Times New Roman" w:eastAsia="宋体"/>
          <w:b w:val="0"/>
          <w:sz w:val="26"/>
        </w:rPr>
      </w:pPr>
    </w:p>
    <w:p w14:paraId="52542E5F">
      <w:pPr>
        <w:spacing w:before="900" w:after="120" w:line="360" w:lineRule="auto"/>
        <w:ind w:firstLine="480"/>
        <w:jc w:val="center"/>
        <w:rPr>
          <w:rFonts w:ascii="Times New Roman" w:hAnsi="Times New Roman" w:eastAsia="宋体"/>
          <w:b w:val="0"/>
          <w:sz w:val="26"/>
        </w:rPr>
      </w:pPr>
    </w:p>
    <w:p w14:paraId="3FAF53DC">
      <w:pPr>
        <w:spacing w:before="900" w:after="120" w:line="360" w:lineRule="auto"/>
        <w:jc w:val="both"/>
        <w:rPr>
          <w:rFonts w:ascii="Times New Roman" w:hAnsi="Times New Roman" w:eastAsia="宋体"/>
          <w:b w:val="0"/>
          <w:sz w:val="26"/>
        </w:rPr>
      </w:pPr>
    </w:p>
    <w:p w14:paraId="07E4B973">
      <w:pPr>
        <w:spacing w:before="1600" w:after="120" w:line="360" w:lineRule="auto"/>
        <w:ind w:firstLine="480"/>
        <w:jc w:val="center"/>
      </w:pPr>
      <w:r>
        <w:rPr>
          <w:rFonts w:ascii="Times New Roman" w:hAnsi="Times New Roman" w:eastAsia="宋体" w:cs="Times New Roman"/>
          <w:b w:val="0"/>
          <w:sz w:val="24"/>
        </w:rPr>
        <w:t>2026年8月</w:t>
      </w:r>
    </w:p>
    <w:p w14:paraId="7AC78CE3">
      <w:r>
        <w:rPr>
          <w:rFonts w:ascii="Times New Roman" w:hAnsi="Times New Roman" w:eastAsia="宋体" w:cs="Times New Roman"/>
          <w:sz w:val="24"/>
        </w:rPr>
        <w:br w:type="page"/>
      </w:r>
    </w:p>
    <w:p w14:paraId="64EAC650">
      <w:pPr>
        <w:jc w:val="center"/>
        <w:rPr>
          <w:rFonts w:ascii="Times New Roman" w:hAnsi="Times New Roman" w:eastAsia="宋体"/>
          <w:b/>
          <w:color w:val="1F4E79"/>
          <w:sz w:val="36"/>
        </w:rPr>
      </w:pPr>
      <w:r>
        <w:rPr>
          <w:rFonts w:ascii="Times New Roman" w:hAnsi="Times New Roman" w:eastAsia="宋体" w:cs="Times New Roman"/>
          <w:b/>
          <w:color w:val="1F4E79"/>
          <w:sz w:val="24"/>
        </w:rPr>
        <w:t>目录</w:t>
      </w:r>
    </w:p>
    <w:sdt>
      <w:sdtPr>
        <w:rPr>
          <w:rFonts w:ascii="宋体" w:hAnsi="宋体" w:eastAsia="宋体" w:cstheme="minorBidi"/>
          <w:sz w:val="21"/>
          <w:szCs w:val="22"/>
          <w:lang w:val="en-US" w:eastAsia="en-US" w:bidi="ar-SA"/>
        </w:rPr>
        <w:id w:val="147479119"/>
        <w15:color w:val="DBDBDB"/>
        <w:docPartObj>
          <w:docPartGallery w:val="Table of Contents"/>
          <w:docPartUnique/>
        </w:docPartObj>
      </w:sdtPr>
      <w:sdtEndPr>
        <w:rPr>
          <w:rFonts w:ascii="Times New Roman" w:hAnsi="Times New Roman" w:eastAsia="宋体" w:cstheme="minorBidi"/>
          <w:color w:val="1F4E79"/>
          <w:sz w:val="24"/>
          <w:szCs w:val="22"/>
          <w:lang w:val="en-US" w:eastAsia="en-US" w:bidi="ar-SA"/>
        </w:rPr>
      </w:sdtEndPr>
      <w:sdtContent>
        <w:p w14:paraId="724FB0DC">
          <w:pPr>
            <w:keepNext w:val="0"/>
            <w:keepLines w:val="0"/>
            <w:pageBreakBefore w:val="0"/>
            <w:widowControl/>
            <w:kinsoku/>
            <w:wordWrap/>
            <w:overflowPunct/>
            <w:topLinePunct w:val="0"/>
            <w:autoSpaceDE/>
            <w:autoSpaceDN/>
            <w:bidi w:val="0"/>
            <w:adjustRightInd/>
            <w:snapToGrid/>
            <w:spacing w:before="0" w:beforeLines="0" w:after="0" w:afterLines="0" w:line="240" w:lineRule="atLeast"/>
            <w:ind w:left="0" w:leftChars="0" w:right="0" w:rightChars="0" w:firstLine="0" w:firstLineChars="0"/>
            <w:jc w:val="center"/>
            <w:textAlignment w:val="auto"/>
          </w:pPr>
          <w:bookmarkStart w:id="59" w:name="_GoBack"/>
          <w:bookmarkEnd w:id="59"/>
        </w:p>
        <w:p w14:paraId="628ED032">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b/>
              <w:color w:val="1F4E79"/>
              <w:sz w:val="36"/>
            </w:rPr>
            <w:fldChar w:fldCharType="begin"/>
          </w:r>
          <w:r>
            <w:rPr>
              <w:rFonts w:ascii="Times New Roman" w:hAnsi="Times New Roman" w:eastAsia="宋体"/>
              <w:b/>
              <w:color w:val="1F4E79"/>
              <w:sz w:val="36"/>
            </w:rPr>
            <w:instrText xml:space="preserve">TOC \o "1-3" \h \u </w:instrText>
          </w:r>
          <w:r>
            <w:rPr>
              <w:rFonts w:ascii="Times New Roman" w:hAnsi="Times New Roman" w:eastAsia="宋体"/>
              <w:b/>
              <w:color w:val="1F4E79"/>
              <w:sz w:val="36"/>
            </w:rPr>
            <w:fldChar w:fldCharType="separate"/>
          </w:r>
          <w:r>
            <w:rPr>
              <w:rFonts w:ascii="Times New Roman" w:hAnsi="Times New Roman" w:eastAsia="宋体"/>
              <w:color w:val="1F4E79"/>
            </w:rPr>
            <w:fldChar w:fldCharType="begin"/>
          </w:r>
          <w:r>
            <w:rPr>
              <w:rFonts w:ascii="Times New Roman" w:hAnsi="Times New Roman" w:eastAsia="宋体"/>
            </w:rPr>
            <w:instrText xml:space="preserve"> HYPERLINK \l _Toc16405 </w:instrText>
          </w:r>
          <w:r>
            <w:rPr>
              <w:rFonts w:ascii="Times New Roman" w:hAnsi="Times New Roman" w:eastAsia="宋体"/>
            </w:rPr>
            <w:fldChar w:fldCharType="separate"/>
          </w:r>
          <w:r>
            <w:rPr>
              <w:rFonts w:ascii="Times New Roman" w:hAnsi="Times New Roman" w:eastAsia="宋体"/>
            </w:rPr>
            <w:t>摘要</w:t>
          </w:r>
          <w:r>
            <w:tab/>
          </w:r>
          <w:r>
            <w:fldChar w:fldCharType="begin"/>
          </w:r>
          <w:r>
            <w:instrText xml:space="preserve"> PAGEREF _Toc16405 \h </w:instrText>
          </w:r>
          <w:r>
            <w:fldChar w:fldCharType="separate"/>
          </w:r>
          <w:r>
            <w:t>3</w:t>
          </w:r>
          <w:r>
            <w:fldChar w:fldCharType="end"/>
          </w:r>
          <w:r>
            <w:rPr>
              <w:rFonts w:ascii="Times New Roman" w:hAnsi="Times New Roman" w:eastAsia="宋体"/>
              <w:color w:val="1F4E79"/>
            </w:rPr>
            <w:fldChar w:fldCharType="end"/>
          </w:r>
        </w:p>
        <w:p w14:paraId="6BAD098C">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_Toc16477 </w:instrText>
          </w:r>
          <w:r>
            <w:rPr>
              <w:rFonts w:ascii="Times New Roman" w:hAnsi="Times New Roman" w:eastAsia="宋体"/>
            </w:rPr>
            <w:fldChar w:fldCharType="separate"/>
          </w:r>
          <w:r>
            <w:rPr>
              <w:rFonts w:ascii="Times New Roman" w:hAnsi="Times New Roman" w:eastAsia="宋体"/>
            </w:rPr>
            <w:t>1 需求分析与验收目标</w:t>
          </w:r>
          <w:r>
            <w:tab/>
          </w:r>
          <w:r>
            <w:fldChar w:fldCharType="begin"/>
          </w:r>
          <w:r>
            <w:instrText xml:space="preserve"> PAGEREF _Toc16477 \h </w:instrText>
          </w:r>
          <w:r>
            <w:fldChar w:fldCharType="separate"/>
          </w:r>
          <w:r>
            <w:t>4</w:t>
          </w:r>
          <w:r>
            <w:fldChar w:fldCharType="end"/>
          </w:r>
          <w:r>
            <w:rPr>
              <w:rFonts w:ascii="Times New Roman" w:hAnsi="Times New Roman" w:eastAsia="宋体"/>
              <w:color w:val="1F4E79"/>
            </w:rPr>
            <w:fldChar w:fldCharType="end"/>
          </w:r>
        </w:p>
        <w:p w14:paraId="3AF7C7D0">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_Toc7341 </w:instrText>
          </w:r>
          <w:r>
            <w:rPr>
              <w:rFonts w:ascii="Times New Roman" w:hAnsi="Times New Roman" w:eastAsia="宋体"/>
            </w:rPr>
            <w:fldChar w:fldCharType="separate"/>
          </w:r>
          <w:r>
            <w:rPr>
              <w:rFonts w:ascii="Times New Roman" w:hAnsi="Times New Roman" w:eastAsia="宋体"/>
            </w:rPr>
            <w:t>1.1 需求转化</w:t>
          </w:r>
          <w:r>
            <w:tab/>
          </w:r>
          <w:r>
            <w:fldChar w:fldCharType="begin"/>
          </w:r>
          <w:r>
            <w:instrText xml:space="preserve"> PAGEREF _Toc7341 \h </w:instrText>
          </w:r>
          <w:r>
            <w:fldChar w:fldCharType="separate"/>
          </w:r>
          <w:r>
            <w:t>4</w:t>
          </w:r>
          <w:r>
            <w:fldChar w:fldCharType="end"/>
          </w:r>
          <w:r>
            <w:rPr>
              <w:rFonts w:ascii="Times New Roman" w:hAnsi="Times New Roman" w:eastAsia="宋体"/>
              <w:color w:val="1F4E79"/>
            </w:rPr>
            <w:fldChar w:fldCharType="end"/>
          </w:r>
        </w:p>
        <w:p w14:paraId="2621AC91">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_Toc6193 </w:instrText>
          </w:r>
          <w:r>
            <w:rPr>
              <w:rFonts w:ascii="Times New Roman" w:hAnsi="Times New Roman" w:eastAsia="宋体"/>
            </w:rPr>
            <w:fldChar w:fldCharType="separate"/>
          </w:r>
          <w:r>
            <w:rPr>
              <w:rFonts w:ascii="Times New Roman" w:hAnsi="Times New Roman" w:eastAsia="宋体"/>
            </w:rPr>
            <w:t>1.2 相关研究与技术路线</w:t>
          </w:r>
          <w:r>
            <w:tab/>
          </w:r>
          <w:r>
            <w:fldChar w:fldCharType="begin"/>
          </w:r>
          <w:r>
            <w:instrText xml:space="preserve"> PAGEREF _Toc6193 \h </w:instrText>
          </w:r>
          <w:r>
            <w:fldChar w:fldCharType="separate"/>
          </w:r>
          <w:r>
            <w:t>4</w:t>
          </w:r>
          <w:r>
            <w:fldChar w:fldCharType="end"/>
          </w:r>
          <w:r>
            <w:rPr>
              <w:rFonts w:ascii="Times New Roman" w:hAnsi="Times New Roman" w:eastAsia="宋体"/>
              <w:color w:val="1F4E79"/>
            </w:rPr>
            <w:fldChar w:fldCharType="end"/>
          </w:r>
        </w:p>
        <w:p w14:paraId="209FAE21">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_Toc15480 </w:instrText>
          </w:r>
          <w:r>
            <w:rPr>
              <w:rFonts w:ascii="Times New Roman" w:hAnsi="Times New Roman" w:eastAsia="宋体"/>
            </w:rPr>
            <w:fldChar w:fldCharType="separate"/>
          </w:r>
          <w:r>
            <w:rPr>
              <w:rFonts w:ascii="Times New Roman" w:hAnsi="Times New Roman" w:eastAsia="宋体"/>
            </w:rPr>
            <w:t>1.3 项目实施链路与成果分工</w:t>
          </w:r>
          <w:r>
            <w:tab/>
          </w:r>
          <w:r>
            <w:fldChar w:fldCharType="begin"/>
          </w:r>
          <w:r>
            <w:instrText xml:space="preserve"> PAGEREF _Toc15480 \h </w:instrText>
          </w:r>
          <w:r>
            <w:fldChar w:fldCharType="separate"/>
          </w:r>
          <w:r>
            <w:t>4</w:t>
          </w:r>
          <w:r>
            <w:fldChar w:fldCharType="end"/>
          </w:r>
          <w:r>
            <w:rPr>
              <w:rFonts w:ascii="Times New Roman" w:hAnsi="Times New Roman" w:eastAsia="宋体"/>
              <w:color w:val="1F4E79"/>
            </w:rPr>
            <w:fldChar w:fldCharType="end"/>
          </w:r>
        </w:p>
        <w:p w14:paraId="727DCABD">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_Toc29338 </w:instrText>
          </w:r>
          <w:r>
            <w:rPr>
              <w:rFonts w:ascii="Times New Roman" w:hAnsi="Times New Roman" w:eastAsia="宋体"/>
            </w:rPr>
            <w:fldChar w:fldCharType="separate"/>
          </w:r>
          <w:r>
            <w:rPr>
              <w:rFonts w:ascii="Times New Roman" w:hAnsi="Times New Roman" w:eastAsia="宋体"/>
            </w:rPr>
            <w:t>1.4 原赛题要求与成果对应关系</w:t>
          </w:r>
          <w:r>
            <w:tab/>
          </w:r>
          <w:r>
            <w:fldChar w:fldCharType="begin"/>
          </w:r>
          <w:r>
            <w:instrText xml:space="preserve"> PAGEREF _Toc29338 \h </w:instrText>
          </w:r>
          <w:r>
            <w:fldChar w:fldCharType="separate"/>
          </w:r>
          <w:r>
            <w:t>5</w:t>
          </w:r>
          <w:r>
            <w:fldChar w:fldCharType="end"/>
          </w:r>
          <w:r>
            <w:rPr>
              <w:rFonts w:ascii="Times New Roman" w:hAnsi="Times New Roman" w:eastAsia="宋体"/>
              <w:color w:val="1F4E79"/>
            </w:rPr>
            <w:fldChar w:fldCharType="end"/>
          </w:r>
        </w:p>
        <w:p w14:paraId="2935FA93">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_Toc28930 </w:instrText>
          </w:r>
          <w:r>
            <w:rPr>
              <w:rFonts w:ascii="Times New Roman" w:hAnsi="Times New Roman" w:eastAsia="宋体"/>
            </w:rPr>
            <w:fldChar w:fldCharType="separate"/>
          </w:r>
          <w:r>
            <w:rPr>
              <w:rFonts w:ascii="Times New Roman" w:hAnsi="Times New Roman" w:eastAsia="宋体"/>
            </w:rPr>
            <w:t>2 总体架构与数据流</w:t>
          </w:r>
          <w:r>
            <w:tab/>
          </w:r>
          <w:r>
            <w:fldChar w:fldCharType="begin"/>
          </w:r>
          <w:r>
            <w:instrText xml:space="preserve"> PAGEREF _Toc28930 \h </w:instrText>
          </w:r>
          <w:r>
            <w:fldChar w:fldCharType="separate"/>
          </w:r>
          <w:r>
            <w:t>7</w:t>
          </w:r>
          <w:r>
            <w:fldChar w:fldCharType="end"/>
          </w:r>
          <w:r>
            <w:rPr>
              <w:rFonts w:ascii="Times New Roman" w:hAnsi="Times New Roman" w:eastAsia="宋体"/>
              <w:color w:val="1F4E79"/>
            </w:rPr>
            <w:fldChar w:fldCharType="end"/>
          </w:r>
        </w:p>
        <w:p w14:paraId="711641F3">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_Toc13910 </w:instrText>
          </w:r>
          <w:r>
            <w:rPr>
              <w:rFonts w:ascii="Times New Roman" w:hAnsi="Times New Roman" w:eastAsia="宋体"/>
            </w:rPr>
            <w:fldChar w:fldCharType="separate"/>
          </w:r>
          <w:r>
            <w:rPr>
              <w:rFonts w:ascii="Times New Roman" w:hAnsi="Times New Roman" w:eastAsia="宋体"/>
            </w:rPr>
            <w:t>2.1 云—边—端混合决策落地机制</w:t>
          </w:r>
          <w:r>
            <w:tab/>
          </w:r>
          <w:r>
            <w:fldChar w:fldCharType="begin"/>
          </w:r>
          <w:r>
            <w:instrText xml:space="preserve"> PAGEREF _Toc13910 \h </w:instrText>
          </w:r>
          <w:r>
            <w:fldChar w:fldCharType="separate"/>
          </w:r>
          <w:r>
            <w:t>7</w:t>
          </w:r>
          <w:r>
            <w:fldChar w:fldCharType="end"/>
          </w:r>
          <w:r>
            <w:rPr>
              <w:rFonts w:ascii="Times New Roman" w:hAnsi="Times New Roman" w:eastAsia="宋体"/>
              <w:color w:val="1F4E79"/>
            </w:rPr>
            <w:fldChar w:fldCharType="end"/>
          </w:r>
        </w:p>
        <w:p w14:paraId="04F235E5">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_Toc31716 </w:instrText>
          </w:r>
          <w:r>
            <w:rPr>
              <w:rFonts w:ascii="Times New Roman" w:hAnsi="Times New Roman" w:eastAsia="宋体"/>
            </w:rPr>
            <w:fldChar w:fldCharType="separate"/>
          </w:r>
          <w:r>
            <w:rPr>
              <w:rFonts w:ascii="Times New Roman" w:hAnsi="Times New Roman" w:eastAsia="宋体"/>
            </w:rPr>
            <w:t>3 功能一：智能交通协同管控算法的抽象设计与建模</w:t>
          </w:r>
          <w:r>
            <w:tab/>
          </w:r>
          <w:r>
            <w:fldChar w:fldCharType="begin"/>
          </w:r>
          <w:r>
            <w:instrText xml:space="preserve"> PAGEREF _Toc31716 \h </w:instrText>
          </w:r>
          <w:r>
            <w:fldChar w:fldCharType="separate"/>
          </w:r>
          <w:r>
            <w:t>8</w:t>
          </w:r>
          <w:r>
            <w:fldChar w:fldCharType="end"/>
          </w:r>
          <w:r>
            <w:rPr>
              <w:rFonts w:ascii="Times New Roman" w:hAnsi="Times New Roman" w:eastAsia="宋体"/>
              <w:color w:val="1F4E79"/>
            </w:rPr>
            <w:fldChar w:fldCharType="end"/>
          </w:r>
        </w:p>
        <w:p w14:paraId="74BA126D">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_Toc9480 </w:instrText>
          </w:r>
          <w:r>
            <w:rPr>
              <w:rFonts w:ascii="Times New Roman" w:hAnsi="Times New Roman" w:eastAsia="宋体"/>
            </w:rPr>
            <w:fldChar w:fldCharType="separate"/>
          </w:r>
          <w:r>
            <w:rPr>
              <w:rFonts w:hint="eastAsia" w:ascii="Times New Roman" w:hAnsi="Times New Roman" w:eastAsia="宋体"/>
              <w:lang w:val="en-US" w:eastAsia="zh-CN"/>
            </w:rPr>
            <w:t>3.1</w:t>
          </w:r>
          <w:r>
            <w:rPr>
              <w:rFonts w:ascii="Times New Roman" w:hAnsi="Times New Roman" w:eastAsia="宋体"/>
            </w:rPr>
            <w:t>任务一：场景建模与数据接口设计</w:t>
          </w:r>
          <w:r>
            <w:tab/>
          </w:r>
          <w:r>
            <w:fldChar w:fldCharType="begin"/>
          </w:r>
          <w:r>
            <w:instrText xml:space="preserve"> PAGEREF _Toc9480 \h </w:instrText>
          </w:r>
          <w:r>
            <w:fldChar w:fldCharType="separate"/>
          </w:r>
          <w:r>
            <w:t>8</w:t>
          </w:r>
          <w:r>
            <w:fldChar w:fldCharType="end"/>
          </w:r>
          <w:r>
            <w:rPr>
              <w:rFonts w:ascii="Times New Roman" w:hAnsi="Times New Roman" w:eastAsia="宋体"/>
              <w:color w:val="1F4E79"/>
            </w:rPr>
            <w:fldChar w:fldCharType="end"/>
          </w:r>
        </w:p>
        <w:p w14:paraId="4DDD3753">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_Toc19685 </w:instrText>
          </w:r>
          <w:r>
            <w:rPr>
              <w:rFonts w:ascii="Times New Roman" w:hAnsi="Times New Roman" w:eastAsia="宋体"/>
            </w:rPr>
            <w:fldChar w:fldCharType="separate"/>
          </w:r>
          <w:r>
            <w:rPr>
              <w:rFonts w:hint="eastAsia" w:ascii="Times New Roman" w:hAnsi="Times New Roman" w:eastAsia="宋体"/>
              <w:lang w:val="en-US" w:eastAsia="zh-CN"/>
            </w:rPr>
            <w:t>3.2任务二：算法逻辑设计与可视化仿真</w:t>
          </w:r>
          <w:r>
            <w:tab/>
          </w:r>
          <w:r>
            <w:fldChar w:fldCharType="begin"/>
          </w:r>
          <w:r>
            <w:instrText xml:space="preserve"> PAGEREF _Toc19685 \h </w:instrText>
          </w:r>
          <w:r>
            <w:fldChar w:fldCharType="separate"/>
          </w:r>
          <w:r>
            <w:t>9</w:t>
          </w:r>
          <w:r>
            <w:fldChar w:fldCharType="end"/>
          </w:r>
          <w:r>
            <w:rPr>
              <w:rFonts w:ascii="Times New Roman" w:hAnsi="Times New Roman" w:eastAsia="宋体"/>
              <w:color w:val="1F4E79"/>
            </w:rPr>
            <w:fldChar w:fldCharType="end"/>
          </w:r>
        </w:p>
        <w:p w14:paraId="7E217A70">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_Toc31069 </w:instrText>
          </w:r>
          <w:r>
            <w:rPr>
              <w:rFonts w:ascii="Times New Roman" w:hAnsi="Times New Roman" w:eastAsia="宋体"/>
            </w:rPr>
            <w:fldChar w:fldCharType="separate"/>
          </w:r>
          <w:r>
            <w:rPr>
              <w:rFonts w:hint="eastAsia" w:ascii="Times New Roman" w:hAnsi="Times New Roman" w:eastAsia="宋体"/>
              <w:lang w:val="en-US" w:eastAsia="zh-CN"/>
            </w:rPr>
            <w:t>3.3任务三：智能交通决策模型研究与设计</w:t>
          </w:r>
          <w:r>
            <w:tab/>
          </w:r>
          <w:r>
            <w:fldChar w:fldCharType="begin"/>
          </w:r>
          <w:r>
            <w:instrText xml:space="preserve"> PAGEREF _Toc31069 \h </w:instrText>
          </w:r>
          <w:r>
            <w:fldChar w:fldCharType="separate"/>
          </w:r>
          <w:r>
            <w:t>9</w:t>
          </w:r>
          <w:r>
            <w:fldChar w:fldCharType="end"/>
          </w:r>
          <w:r>
            <w:rPr>
              <w:rFonts w:ascii="Times New Roman" w:hAnsi="Times New Roman" w:eastAsia="宋体"/>
              <w:color w:val="1F4E79"/>
            </w:rPr>
            <w:fldChar w:fldCharType="end"/>
          </w:r>
        </w:p>
        <w:p w14:paraId="0747D7A1">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_Toc7670 </w:instrText>
          </w:r>
          <w:r>
            <w:rPr>
              <w:rFonts w:ascii="Times New Roman" w:hAnsi="Times New Roman" w:eastAsia="宋体"/>
            </w:rPr>
            <w:fldChar w:fldCharType="separate"/>
          </w:r>
          <w:r>
            <w:rPr>
              <w:rFonts w:ascii="Times New Roman" w:hAnsi="Times New Roman" w:eastAsia="宋体"/>
            </w:rPr>
            <w:t>3.</w:t>
          </w:r>
          <w:r>
            <w:rPr>
              <w:rFonts w:hint="eastAsia" w:ascii="Times New Roman" w:hAnsi="Times New Roman" w:eastAsia="宋体"/>
              <w:lang w:val="en-US" w:eastAsia="zh-CN"/>
            </w:rPr>
            <w:t>4</w:t>
          </w:r>
          <w:r>
            <w:rPr>
              <w:rFonts w:ascii="Times New Roman" w:hAnsi="Times New Roman" w:eastAsia="宋体"/>
            </w:rPr>
            <w:t xml:space="preserve"> OSM 到 SUMO</w:t>
          </w:r>
          <w:r>
            <w:tab/>
          </w:r>
          <w:r>
            <w:fldChar w:fldCharType="begin"/>
          </w:r>
          <w:r>
            <w:instrText xml:space="preserve"> PAGEREF _Toc7670 \h </w:instrText>
          </w:r>
          <w:r>
            <w:fldChar w:fldCharType="separate"/>
          </w:r>
          <w:r>
            <w:t>10</w:t>
          </w:r>
          <w:r>
            <w:fldChar w:fldCharType="end"/>
          </w:r>
          <w:r>
            <w:rPr>
              <w:rFonts w:ascii="Times New Roman" w:hAnsi="Times New Roman" w:eastAsia="宋体"/>
              <w:color w:val="1F4E79"/>
            </w:rPr>
            <w:fldChar w:fldCharType="end"/>
          </w:r>
        </w:p>
        <w:p w14:paraId="78971476">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_Toc12186 </w:instrText>
          </w:r>
          <w:r>
            <w:rPr>
              <w:rFonts w:ascii="Times New Roman" w:hAnsi="Times New Roman" w:eastAsia="宋体"/>
            </w:rPr>
            <w:fldChar w:fldCharType="separate"/>
          </w:r>
          <w:r>
            <w:rPr>
              <w:rFonts w:ascii="Times New Roman" w:hAnsi="Times New Roman" w:eastAsia="宋体"/>
            </w:rPr>
            <w:t>3.</w:t>
          </w:r>
          <w:r>
            <w:rPr>
              <w:rFonts w:hint="eastAsia" w:ascii="Times New Roman" w:hAnsi="Times New Roman" w:eastAsia="宋体"/>
              <w:lang w:val="en-US" w:eastAsia="zh-CN"/>
            </w:rPr>
            <w:t>5</w:t>
          </w:r>
          <w:r>
            <w:rPr>
              <w:rFonts w:ascii="Times New Roman" w:hAnsi="Times New Roman" w:eastAsia="宋体"/>
            </w:rPr>
            <w:t xml:space="preserve"> 观测—动作接口</w:t>
          </w:r>
          <w:r>
            <w:tab/>
          </w:r>
          <w:r>
            <w:fldChar w:fldCharType="begin"/>
          </w:r>
          <w:r>
            <w:instrText xml:space="preserve"> PAGEREF _Toc12186 \h </w:instrText>
          </w:r>
          <w:r>
            <w:fldChar w:fldCharType="separate"/>
          </w:r>
          <w:r>
            <w:t>10</w:t>
          </w:r>
          <w:r>
            <w:fldChar w:fldCharType="end"/>
          </w:r>
          <w:r>
            <w:rPr>
              <w:rFonts w:ascii="Times New Roman" w:hAnsi="Times New Roman" w:eastAsia="宋体"/>
              <w:color w:val="1F4E79"/>
            </w:rPr>
            <w:fldChar w:fldCharType="end"/>
          </w:r>
        </w:p>
        <w:p w14:paraId="3C732BA4">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_Toc17428 </w:instrText>
          </w:r>
          <w:r>
            <w:rPr>
              <w:rFonts w:ascii="Times New Roman" w:hAnsi="Times New Roman" w:eastAsia="宋体"/>
            </w:rPr>
            <w:fldChar w:fldCharType="separate"/>
          </w:r>
          <w:r>
            <w:rPr>
              <w:rFonts w:ascii="Times New Roman" w:hAnsi="Times New Roman" w:eastAsia="宋体"/>
            </w:rPr>
            <w:t>4 功能二：高保真仿真验证平台的通用性架构搭建</w:t>
          </w:r>
          <w:r>
            <w:tab/>
          </w:r>
          <w:r>
            <w:fldChar w:fldCharType="begin"/>
          </w:r>
          <w:r>
            <w:instrText xml:space="preserve"> PAGEREF _Toc17428 \h </w:instrText>
          </w:r>
          <w:r>
            <w:fldChar w:fldCharType="separate"/>
          </w:r>
          <w:r>
            <w:t>11</w:t>
          </w:r>
          <w:r>
            <w:fldChar w:fldCharType="end"/>
          </w:r>
          <w:r>
            <w:rPr>
              <w:rFonts w:ascii="Times New Roman" w:hAnsi="Times New Roman" w:eastAsia="宋体"/>
              <w:color w:val="1F4E79"/>
            </w:rPr>
            <w:fldChar w:fldCharType="end"/>
          </w:r>
        </w:p>
        <w:p w14:paraId="0F044400">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_Toc4965 </w:instrText>
          </w:r>
          <w:r>
            <w:rPr>
              <w:rFonts w:ascii="Times New Roman" w:hAnsi="Times New Roman" w:eastAsia="宋体"/>
            </w:rPr>
            <w:fldChar w:fldCharType="separate"/>
          </w:r>
          <w:r>
            <w:rPr>
              <w:rFonts w:hint="eastAsia" w:ascii="Times New Roman" w:hAnsi="Times New Roman" w:eastAsia="宋体"/>
              <w:lang w:val="en-US" w:eastAsia="zh-CN"/>
            </w:rPr>
            <w:t>4.1</w:t>
          </w:r>
          <w:r>
            <w:rPr>
              <w:rFonts w:ascii="Times New Roman" w:hAnsi="Times New Roman" w:eastAsia="宋体"/>
            </w:rPr>
            <w:t>任务一：雄安新区20路口场景构建与数据导入</w:t>
          </w:r>
          <w:r>
            <w:tab/>
          </w:r>
          <w:r>
            <w:fldChar w:fldCharType="begin"/>
          </w:r>
          <w:r>
            <w:instrText xml:space="preserve"> PAGEREF _Toc4965 \h </w:instrText>
          </w:r>
          <w:r>
            <w:fldChar w:fldCharType="separate"/>
          </w:r>
          <w:r>
            <w:t>11</w:t>
          </w:r>
          <w:r>
            <w:fldChar w:fldCharType="end"/>
          </w:r>
          <w:r>
            <w:rPr>
              <w:rFonts w:ascii="Times New Roman" w:hAnsi="Times New Roman" w:eastAsia="宋体"/>
              <w:color w:val="1F4E79"/>
            </w:rPr>
            <w:fldChar w:fldCharType="end"/>
          </w:r>
        </w:p>
        <w:p w14:paraId="73449346">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_Toc1124 </w:instrText>
          </w:r>
          <w:r>
            <w:rPr>
              <w:rFonts w:ascii="Times New Roman" w:hAnsi="Times New Roman" w:eastAsia="宋体"/>
            </w:rPr>
            <w:fldChar w:fldCharType="separate"/>
          </w:r>
          <w:r>
            <w:rPr>
              <w:rFonts w:hint="eastAsia" w:ascii="Times New Roman" w:hAnsi="Times New Roman" w:eastAsia="宋体"/>
              <w:lang w:val="en-US" w:eastAsia="zh-CN"/>
            </w:rPr>
            <w:t>4.2任务二：CityFlow 仿真、SPCN 算法与 SACF 接口集成</w:t>
          </w:r>
          <w:r>
            <w:tab/>
          </w:r>
          <w:r>
            <w:fldChar w:fldCharType="begin"/>
          </w:r>
          <w:r>
            <w:instrText xml:space="preserve"> PAGEREF _Toc1124 \h </w:instrText>
          </w:r>
          <w:r>
            <w:fldChar w:fldCharType="separate"/>
          </w:r>
          <w:r>
            <w:t>11</w:t>
          </w:r>
          <w:r>
            <w:fldChar w:fldCharType="end"/>
          </w:r>
          <w:r>
            <w:rPr>
              <w:rFonts w:ascii="Times New Roman" w:hAnsi="Times New Roman" w:eastAsia="宋体"/>
              <w:color w:val="1F4E79"/>
            </w:rPr>
            <w:fldChar w:fldCharType="end"/>
          </w:r>
        </w:p>
        <w:p w14:paraId="4B6AC2A4">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_Toc17668 </w:instrText>
          </w:r>
          <w:r>
            <w:rPr>
              <w:rFonts w:ascii="Times New Roman" w:hAnsi="Times New Roman" w:eastAsia="宋体"/>
            </w:rPr>
            <w:fldChar w:fldCharType="separate"/>
          </w:r>
          <w:r>
            <w:rPr>
              <w:rFonts w:hint="eastAsia" w:ascii="Times New Roman" w:hAnsi="Times New Roman" w:eastAsia="宋体"/>
              <w:lang w:val="en-US" w:eastAsia="zh-CN"/>
            </w:rPr>
            <w:t>4.3任务三：Docker 部署与关键模块性能检查</w:t>
          </w:r>
          <w:r>
            <w:tab/>
          </w:r>
          <w:r>
            <w:fldChar w:fldCharType="begin"/>
          </w:r>
          <w:r>
            <w:instrText xml:space="preserve"> PAGEREF _Toc17668 \h </w:instrText>
          </w:r>
          <w:r>
            <w:fldChar w:fldCharType="separate"/>
          </w:r>
          <w:r>
            <w:t>11</w:t>
          </w:r>
          <w:r>
            <w:fldChar w:fldCharType="end"/>
          </w:r>
          <w:r>
            <w:rPr>
              <w:rFonts w:ascii="Times New Roman" w:hAnsi="Times New Roman" w:eastAsia="宋体"/>
              <w:color w:val="1F4E79"/>
            </w:rPr>
            <w:fldChar w:fldCharType="end"/>
          </w:r>
        </w:p>
        <w:p w14:paraId="23EB3DB0">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_Toc30463 </w:instrText>
          </w:r>
          <w:r>
            <w:rPr>
              <w:rFonts w:ascii="Times New Roman" w:hAnsi="Times New Roman" w:eastAsia="宋体"/>
            </w:rPr>
            <w:fldChar w:fldCharType="separate"/>
          </w:r>
          <w:r>
            <w:rPr>
              <w:rFonts w:ascii="Times New Roman" w:hAnsi="Times New Roman" w:eastAsia="宋体"/>
            </w:rPr>
            <w:t>5 功能三：赛道B经典算法场景适配与协同创新扩展</w:t>
          </w:r>
          <w:r>
            <w:tab/>
          </w:r>
          <w:r>
            <w:fldChar w:fldCharType="begin"/>
          </w:r>
          <w:r>
            <w:instrText xml:space="preserve"> PAGEREF _Toc30463 \h </w:instrText>
          </w:r>
          <w:r>
            <w:fldChar w:fldCharType="separate"/>
          </w:r>
          <w:r>
            <w:t>12</w:t>
          </w:r>
          <w:r>
            <w:fldChar w:fldCharType="end"/>
          </w:r>
          <w:r>
            <w:rPr>
              <w:rFonts w:ascii="Times New Roman" w:hAnsi="Times New Roman" w:eastAsia="宋体"/>
              <w:color w:val="1F4E79"/>
            </w:rPr>
            <w:fldChar w:fldCharType="end"/>
          </w:r>
        </w:p>
        <w:p w14:paraId="6494C326">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_Toc14698 </w:instrText>
          </w:r>
          <w:r>
            <w:rPr>
              <w:rFonts w:ascii="Times New Roman" w:hAnsi="Times New Roman" w:eastAsia="宋体"/>
            </w:rPr>
            <w:fldChar w:fldCharType="separate"/>
          </w:r>
          <w:r>
            <w:rPr>
              <w:rFonts w:ascii="Times New Roman" w:hAnsi="Times New Roman" w:eastAsia="宋体"/>
            </w:rPr>
            <w:t>5.1 基线与传统控制</w:t>
          </w:r>
          <w:r>
            <w:tab/>
          </w:r>
          <w:r>
            <w:fldChar w:fldCharType="begin"/>
          </w:r>
          <w:r>
            <w:instrText xml:space="preserve"> PAGEREF _Toc14698 \h </w:instrText>
          </w:r>
          <w:r>
            <w:fldChar w:fldCharType="separate"/>
          </w:r>
          <w:r>
            <w:t>12</w:t>
          </w:r>
          <w:r>
            <w:fldChar w:fldCharType="end"/>
          </w:r>
          <w:r>
            <w:rPr>
              <w:rFonts w:ascii="Times New Roman" w:hAnsi="Times New Roman" w:eastAsia="宋体"/>
              <w:color w:val="1F4E79"/>
            </w:rPr>
            <w:fldChar w:fldCharType="end"/>
          </w:r>
        </w:p>
        <w:p w14:paraId="556C28AF">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_Toc3400 </w:instrText>
          </w:r>
          <w:r>
            <w:rPr>
              <w:rFonts w:ascii="Times New Roman" w:hAnsi="Times New Roman" w:eastAsia="宋体"/>
            </w:rPr>
            <w:fldChar w:fldCharType="separate"/>
          </w:r>
          <w:r>
            <w:rPr>
              <w:rFonts w:ascii="Times New Roman" w:hAnsi="Times New Roman" w:eastAsia="宋体"/>
            </w:rPr>
            <w:t xml:space="preserve">5.2 </w:t>
          </w:r>
          <w:r>
            <w:rPr>
              <w:rFonts w:hint="eastAsia" w:ascii="Times New Roman" w:hAnsi="Times New Roman" w:eastAsia="宋体"/>
              <w:lang w:val="en-US" w:eastAsia="zh-CN"/>
            </w:rPr>
            <w:t>融序协同控制机制（Fusion-Sequence Cooperative Control，FSCC）</w:t>
          </w:r>
          <w:r>
            <w:tab/>
          </w:r>
          <w:r>
            <w:fldChar w:fldCharType="begin"/>
          </w:r>
          <w:r>
            <w:instrText xml:space="preserve"> PAGEREF _Toc3400 \h </w:instrText>
          </w:r>
          <w:r>
            <w:fldChar w:fldCharType="separate"/>
          </w:r>
          <w:r>
            <w:t>13</w:t>
          </w:r>
          <w:r>
            <w:fldChar w:fldCharType="end"/>
          </w:r>
          <w:r>
            <w:rPr>
              <w:rFonts w:ascii="Times New Roman" w:hAnsi="Times New Roman" w:eastAsia="宋体"/>
              <w:color w:val="1F4E79"/>
            </w:rPr>
            <w:fldChar w:fldCharType="end"/>
          </w:r>
        </w:p>
        <w:p w14:paraId="00834102">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_Toc5059 </w:instrText>
          </w:r>
          <w:r>
            <w:rPr>
              <w:rFonts w:ascii="Times New Roman" w:hAnsi="Times New Roman" w:eastAsia="宋体"/>
            </w:rPr>
            <w:fldChar w:fldCharType="separate"/>
          </w:r>
          <w:r>
            <w:rPr>
              <w:rFonts w:ascii="Times New Roman" w:hAnsi="Times New Roman" w:eastAsia="宋体"/>
            </w:rPr>
            <w:t>5.3 在线</w:t>
          </w:r>
          <w:r>
            <w:rPr>
              <w:rFonts w:hint="eastAsia" w:ascii="Times New Roman" w:hAnsi="Times New Roman" w:eastAsia="宋体"/>
              <w:lang w:val="en-US" w:eastAsia="zh-CN"/>
            </w:rPr>
            <w:t>决策流程</w:t>
          </w:r>
          <w:r>
            <w:tab/>
          </w:r>
          <w:r>
            <w:fldChar w:fldCharType="begin"/>
          </w:r>
          <w:r>
            <w:instrText xml:space="preserve"> PAGEREF _Toc5059 \h </w:instrText>
          </w:r>
          <w:r>
            <w:fldChar w:fldCharType="separate"/>
          </w:r>
          <w:r>
            <w:t>15</w:t>
          </w:r>
          <w:r>
            <w:fldChar w:fldCharType="end"/>
          </w:r>
          <w:r>
            <w:rPr>
              <w:rFonts w:ascii="Times New Roman" w:hAnsi="Times New Roman" w:eastAsia="宋体"/>
              <w:color w:val="1F4E79"/>
            </w:rPr>
            <w:fldChar w:fldCharType="end"/>
          </w:r>
        </w:p>
        <w:p w14:paraId="06C63AF2">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_Toc16321 </w:instrText>
          </w:r>
          <w:r>
            <w:rPr>
              <w:rFonts w:ascii="Times New Roman" w:hAnsi="Times New Roman" w:eastAsia="宋体"/>
            </w:rPr>
            <w:fldChar w:fldCharType="separate"/>
          </w:r>
          <w:r>
            <w:rPr>
              <w:rFonts w:ascii="Times New Roman" w:hAnsi="Times New Roman" w:eastAsia="宋体"/>
            </w:rPr>
            <w:t>5.4 计算复杂度与安全约束</w:t>
          </w:r>
          <w:r>
            <w:tab/>
          </w:r>
          <w:r>
            <w:fldChar w:fldCharType="begin"/>
          </w:r>
          <w:r>
            <w:instrText xml:space="preserve"> PAGEREF _Toc16321 \h </w:instrText>
          </w:r>
          <w:r>
            <w:fldChar w:fldCharType="separate"/>
          </w:r>
          <w:r>
            <w:t>16</w:t>
          </w:r>
          <w:r>
            <w:fldChar w:fldCharType="end"/>
          </w:r>
          <w:r>
            <w:rPr>
              <w:rFonts w:ascii="Times New Roman" w:hAnsi="Times New Roman" w:eastAsia="宋体"/>
              <w:color w:val="1F4E79"/>
            </w:rPr>
            <w:fldChar w:fldCharType="end"/>
          </w:r>
        </w:p>
        <w:p w14:paraId="3D9B4B0B">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_Toc27752 </w:instrText>
          </w:r>
          <w:r>
            <w:rPr>
              <w:rFonts w:ascii="Times New Roman" w:hAnsi="Times New Roman" w:eastAsia="宋体"/>
            </w:rPr>
            <w:fldChar w:fldCharType="separate"/>
          </w:r>
          <w:r>
            <w:rPr>
              <w:rFonts w:hint="eastAsia" w:ascii="Times New Roman" w:hAnsi="Times New Roman" w:eastAsia="宋体"/>
              <w:lang w:val="en-US" w:eastAsia="zh-CN"/>
            </w:rPr>
            <w:t>5</w:t>
          </w:r>
          <w:r>
            <w:rPr>
              <w:rFonts w:ascii="Times New Roman" w:hAnsi="Times New Roman" w:eastAsia="宋体"/>
            </w:rPr>
            <w:t>.</w:t>
          </w:r>
          <w:r>
            <w:rPr>
              <w:rFonts w:hint="eastAsia" w:ascii="Times New Roman" w:hAnsi="Times New Roman" w:eastAsia="宋体"/>
              <w:lang w:val="en-US" w:eastAsia="zh-CN"/>
            </w:rPr>
            <w:t>5</w:t>
          </w:r>
          <w:r>
            <w:rPr>
              <w:rFonts w:ascii="Times New Roman" w:hAnsi="Times New Roman" w:eastAsia="宋体"/>
            </w:rPr>
            <w:t xml:space="preserve"> 路网运行与动态监测</w:t>
          </w:r>
          <w:r>
            <w:tab/>
          </w:r>
          <w:r>
            <w:fldChar w:fldCharType="begin"/>
          </w:r>
          <w:r>
            <w:instrText xml:space="preserve"> PAGEREF _Toc27752 \h </w:instrText>
          </w:r>
          <w:r>
            <w:fldChar w:fldCharType="separate"/>
          </w:r>
          <w:r>
            <w:t>16</w:t>
          </w:r>
          <w:r>
            <w:fldChar w:fldCharType="end"/>
          </w:r>
          <w:r>
            <w:rPr>
              <w:rFonts w:ascii="Times New Roman" w:hAnsi="Times New Roman" w:eastAsia="宋体"/>
              <w:color w:val="1F4E79"/>
            </w:rPr>
            <w:fldChar w:fldCharType="end"/>
          </w:r>
        </w:p>
        <w:p w14:paraId="1385D7D8">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_Toc18363 </w:instrText>
          </w:r>
          <w:r>
            <w:rPr>
              <w:rFonts w:ascii="Times New Roman" w:hAnsi="Times New Roman" w:eastAsia="宋体"/>
            </w:rPr>
            <w:fldChar w:fldCharType="separate"/>
          </w:r>
          <w:r>
            <w:rPr>
              <w:rFonts w:hint="eastAsia" w:ascii="Times New Roman" w:hAnsi="Times New Roman" w:eastAsia="宋体"/>
              <w:lang w:val="en-US" w:eastAsia="zh-CN"/>
            </w:rPr>
            <w:t>5</w:t>
          </w:r>
          <w:r>
            <w:rPr>
              <w:rFonts w:ascii="Times New Roman" w:hAnsi="Times New Roman" w:eastAsia="宋体"/>
            </w:rPr>
            <w:t>.</w:t>
          </w:r>
          <w:r>
            <w:rPr>
              <w:rFonts w:hint="eastAsia" w:ascii="Times New Roman" w:hAnsi="Times New Roman" w:eastAsia="宋体"/>
              <w:lang w:val="en-US" w:eastAsia="zh-CN"/>
            </w:rPr>
            <w:t>6</w:t>
          </w:r>
          <w:r>
            <w:rPr>
              <w:rFonts w:ascii="Times New Roman" w:hAnsi="Times New Roman" w:eastAsia="宋体"/>
            </w:rPr>
            <w:t xml:space="preserve"> 插件契约</w:t>
          </w:r>
          <w:r>
            <w:tab/>
          </w:r>
          <w:r>
            <w:fldChar w:fldCharType="begin"/>
          </w:r>
          <w:r>
            <w:instrText xml:space="preserve"> PAGEREF _Toc18363 \h </w:instrText>
          </w:r>
          <w:r>
            <w:fldChar w:fldCharType="separate"/>
          </w:r>
          <w:r>
            <w:t>17</w:t>
          </w:r>
          <w:r>
            <w:fldChar w:fldCharType="end"/>
          </w:r>
          <w:r>
            <w:rPr>
              <w:rFonts w:ascii="Times New Roman" w:hAnsi="Times New Roman" w:eastAsia="宋体"/>
              <w:color w:val="1F4E79"/>
            </w:rPr>
            <w:fldChar w:fldCharType="end"/>
          </w:r>
        </w:p>
        <w:p w14:paraId="2BF99764">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_Toc30813 </w:instrText>
          </w:r>
          <w:r>
            <w:rPr>
              <w:rFonts w:ascii="Times New Roman" w:hAnsi="Times New Roman" w:eastAsia="宋体"/>
            </w:rPr>
            <w:fldChar w:fldCharType="separate"/>
          </w:r>
          <w:r>
            <w:rPr>
              <w:rFonts w:ascii="Times New Roman" w:hAnsi="Times New Roman" w:eastAsia="宋体"/>
            </w:rPr>
            <w:t>6 实验设计与结果分析</w:t>
          </w:r>
          <w:r>
            <w:tab/>
          </w:r>
          <w:r>
            <w:fldChar w:fldCharType="begin"/>
          </w:r>
          <w:r>
            <w:instrText xml:space="preserve"> PAGEREF _Toc30813 \h </w:instrText>
          </w:r>
          <w:r>
            <w:fldChar w:fldCharType="separate"/>
          </w:r>
          <w:r>
            <w:t>17</w:t>
          </w:r>
          <w:r>
            <w:fldChar w:fldCharType="end"/>
          </w:r>
          <w:r>
            <w:rPr>
              <w:rFonts w:ascii="Times New Roman" w:hAnsi="Times New Roman" w:eastAsia="宋体"/>
              <w:color w:val="1F4E79"/>
            </w:rPr>
            <w:fldChar w:fldCharType="end"/>
          </w:r>
        </w:p>
        <w:p w14:paraId="5B5AA390">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_Toc11093 </w:instrText>
          </w:r>
          <w:r>
            <w:rPr>
              <w:rFonts w:ascii="Times New Roman" w:hAnsi="Times New Roman" w:eastAsia="宋体"/>
            </w:rPr>
            <w:fldChar w:fldCharType="separate"/>
          </w:r>
          <w:r>
            <w:rPr>
              <w:rFonts w:ascii="Times New Roman" w:hAnsi="Times New Roman" w:eastAsia="宋体"/>
            </w:rPr>
            <w:t>6.1 评估口径</w:t>
          </w:r>
          <w:r>
            <w:tab/>
          </w:r>
          <w:r>
            <w:fldChar w:fldCharType="begin"/>
          </w:r>
          <w:r>
            <w:instrText xml:space="preserve"> PAGEREF _Toc11093 \h </w:instrText>
          </w:r>
          <w:r>
            <w:fldChar w:fldCharType="separate"/>
          </w:r>
          <w:r>
            <w:t>18</w:t>
          </w:r>
          <w:r>
            <w:fldChar w:fldCharType="end"/>
          </w:r>
          <w:r>
            <w:rPr>
              <w:rFonts w:ascii="Times New Roman" w:hAnsi="Times New Roman" w:eastAsia="宋体"/>
              <w:color w:val="1F4E79"/>
            </w:rPr>
            <w:fldChar w:fldCharType="end"/>
          </w:r>
        </w:p>
        <w:p w14:paraId="2911B919">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_Toc24003 </w:instrText>
          </w:r>
          <w:r>
            <w:rPr>
              <w:rFonts w:ascii="Times New Roman" w:hAnsi="Times New Roman" w:eastAsia="宋体"/>
            </w:rPr>
            <w:fldChar w:fldCharType="separate"/>
          </w:r>
          <w:r>
            <w:rPr>
              <w:rFonts w:ascii="Times New Roman" w:hAnsi="Times New Roman" w:eastAsia="宋体"/>
              <w:bCs w:val="0"/>
            </w:rPr>
            <w:t>6.2 三时段全量消融实验</w:t>
          </w:r>
          <w:r>
            <w:tab/>
          </w:r>
          <w:r>
            <w:fldChar w:fldCharType="begin"/>
          </w:r>
          <w:r>
            <w:instrText xml:space="preserve"> PAGEREF _Toc24003 \h </w:instrText>
          </w:r>
          <w:r>
            <w:fldChar w:fldCharType="separate"/>
          </w:r>
          <w:r>
            <w:t>18</w:t>
          </w:r>
          <w:r>
            <w:fldChar w:fldCharType="end"/>
          </w:r>
          <w:r>
            <w:rPr>
              <w:rFonts w:ascii="Times New Roman" w:hAnsi="Times New Roman" w:eastAsia="宋体"/>
              <w:color w:val="1F4E79"/>
            </w:rPr>
            <w:fldChar w:fldCharType="end"/>
          </w:r>
        </w:p>
        <w:p w14:paraId="214CF8FA">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_Toc22182 </w:instrText>
          </w:r>
          <w:r>
            <w:rPr>
              <w:rFonts w:ascii="Times New Roman" w:hAnsi="Times New Roman" w:eastAsia="宋体"/>
            </w:rPr>
            <w:fldChar w:fldCharType="separate"/>
          </w:r>
          <w:r>
            <w:rPr>
              <w:rFonts w:ascii="Times New Roman" w:hAnsi="Times New Roman" w:eastAsia="宋体"/>
            </w:rPr>
            <w:t>7 工程化、安全与标准化</w:t>
          </w:r>
          <w:r>
            <w:tab/>
          </w:r>
          <w:r>
            <w:fldChar w:fldCharType="begin"/>
          </w:r>
          <w:r>
            <w:instrText xml:space="preserve"> PAGEREF _Toc22182 \h </w:instrText>
          </w:r>
          <w:r>
            <w:fldChar w:fldCharType="separate"/>
          </w:r>
          <w:r>
            <w:t>22</w:t>
          </w:r>
          <w:r>
            <w:fldChar w:fldCharType="end"/>
          </w:r>
          <w:r>
            <w:rPr>
              <w:rFonts w:ascii="Times New Roman" w:hAnsi="Times New Roman" w:eastAsia="宋体"/>
              <w:color w:val="1F4E79"/>
            </w:rPr>
            <w:fldChar w:fldCharType="end"/>
          </w:r>
        </w:p>
        <w:p w14:paraId="1737510A">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_Toc9450 </w:instrText>
          </w:r>
          <w:r>
            <w:rPr>
              <w:rFonts w:ascii="Times New Roman" w:hAnsi="Times New Roman" w:eastAsia="宋体"/>
            </w:rPr>
            <w:fldChar w:fldCharType="separate"/>
          </w:r>
          <w:r>
            <w:rPr>
              <w:rFonts w:ascii="Times New Roman" w:hAnsi="Times New Roman" w:eastAsia="宋体"/>
            </w:rPr>
            <w:t>7.1 能耗、排放与统计严谨性说明</w:t>
          </w:r>
          <w:r>
            <w:tab/>
          </w:r>
          <w:r>
            <w:fldChar w:fldCharType="begin"/>
          </w:r>
          <w:r>
            <w:instrText xml:space="preserve"> PAGEREF _Toc9450 \h </w:instrText>
          </w:r>
          <w:r>
            <w:fldChar w:fldCharType="separate"/>
          </w:r>
          <w:r>
            <w:t>22</w:t>
          </w:r>
          <w:r>
            <w:fldChar w:fldCharType="end"/>
          </w:r>
          <w:r>
            <w:rPr>
              <w:rFonts w:ascii="Times New Roman" w:hAnsi="Times New Roman" w:eastAsia="宋体"/>
              <w:color w:val="1F4E79"/>
            </w:rPr>
            <w:fldChar w:fldCharType="end"/>
          </w:r>
        </w:p>
        <w:p w14:paraId="3C2D50C4">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_Toc4871 </w:instrText>
          </w:r>
          <w:r>
            <w:rPr>
              <w:rFonts w:ascii="Times New Roman" w:hAnsi="Times New Roman" w:eastAsia="宋体"/>
            </w:rPr>
            <w:fldChar w:fldCharType="separate"/>
          </w:r>
          <w:r>
            <w:rPr>
              <w:rFonts w:ascii="Times New Roman" w:hAnsi="Times New Roman" w:eastAsia="宋体"/>
            </w:rPr>
            <w:t>7.2 实际场景应用演示方案</w:t>
          </w:r>
          <w:r>
            <w:tab/>
          </w:r>
          <w:r>
            <w:fldChar w:fldCharType="begin"/>
          </w:r>
          <w:r>
            <w:instrText xml:space="preserve"> PAGEREF _Toc4871 \h </w:instrText>
          </w:r>
          <w:r>
            <w:fldChar w:fldCharType="separate"/>
          </w:r>
          <w:r>
            <w:t>23</w:t>
          </w:r>
          <w:r>
            <w:fldChar w:fldCharType="end"/>
          </w:r>
          <w:r>
            <w:rPr>
              <w:rFonts w:ascii="Times New Roman" w:hAnsi="Times New Roman" w:eastAsia="宋体"/>
              <w:color w:val="1F4E79"/>
            </w:rPr>
            <w:fldChar w:fldCharType="end"/>
          </w:r>
        </w:p>
        <w:p w14:paraId="327A923D">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_Toc29414 </w:instrText>
          </w:r>
          <w:r>
            <w:rPr>
              <w:rFonts w:ascii="Times New Roman" w:hAnsi="Times New Roman" w:eastAsia="宋体"/>
            </w:rPr>
            <w:fldChar w:fldCharType="separate"/>
          </w:r>
          <w:r>
            <w:rPr>
              <w:rFonts w:hint="eastAsia" w:ascii="Times New Roman" w:hAnsi="Times New Roman" w:eastAsia="宋体"/>
              <w:lang w:val="en-US" w:eastAsia="zh-CN"/>
            </w:rPr>
            <w:t>8 交通信号控制方法概述</w:t>
          </w:r>
          <w:r>
            <w:tab/>
          </w:r>
          <w:r>
            <w:fldChar w:fldCharType="begin"/>
          </w:r>
          <w:r>
            <w:instrText xml:space="preserve"> PAGEREF _Toc29414 \h </w:instrText>
          </w:r>
          <w:r>
            <w:fldChar w:fldCharType="separate"/>
          </w:r>
          <w:r>
            <w:t>24</w:t>
          </w:r>
          <w:r>
            <w:fldChar w:fldCharType="end"/>
          </w:r>
          <w:r>
            <w:rPr>
              <w:rFonts w:ascii="Times New Roman" w:hAnsi="Times New Roman" w:eastAsia="宋体"/>
              <w:color w:val="1F4E79"/>
            </w:rPr>
            <w:fldChar w:fldCharType="end"/>
          </w:r>
        </w:p>
        <w:p w14:paraId="6D2A5378">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_Toc30165 </w:instrText>
          </w:r>
          <w:r>
            <w:rPr>
              <w:rFonts w:ascii="Times New Roman" w:hAnsi="Times New Roman" w:eastAsia="宋体"/>
            </w:rPr>
            <w:fldChar w:fldCharType="separate"/>
          </w:r>
          <w:r>
            <w:rPr>
              <w:rFonts w:hint="eastAsia" w:ascii="Times New Roman" w:hAnsi="Times New Roman" w:eastAsia="宋体"/>
              <w:lang w:val="en-US" w:eastAsia="zh-CN"/>
            </w:rPr>
            <w:t>8.1传统</w:t>
          </w:r>
          <w:r>
            <w:rPr>
              <w:rFonts w:ascii="Times New Roman" w:hAnsi="Times New Roman" w:eastAsia="宋体"/>
            </w:rPr>
            <w:t>交通信号控制方法</w:t>
          </w:r>
          <w:r>
            <w:tab/>
          </w:r>
          <w:r>
            <w:fldChar w:fldCharType="begin"/>
          </w:r>
          <w:r>
            <w:instrText xml:space="preserve"> PAGEREF _Toc30165 \h </w:instrText>
          </w:r>
          <w:r>
            <w:fldChar w:fldCharType="separate"/>
          </w:r>
          <w:r>
            <w:t>24</w:t>
          </w:r>
          <w:r>
            <w:fldChar w:fldCharType="end"/>
          </w:r>
          <w:r>
            <w:rPr>
              <w:rFonts w:ascii="Times New Roman" w:hAnsi="Times New Roman" w:eastAsia="宋体"/>
              <w:color w:val="1F4E79"/>
            </w:rPr>
            <w:fldChar w:fldCharType="end"/>
          </w:r>
        </w:p>
        <w:p w14:paraId="17964478">
          <w:pPr>
            <w:pStyle w:val="29"/>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_Toc25043 </w:instrText>
          </w:r>
          <w:r>
            <w:rPr>
              <w:rFonts w:ascii="Times New Roman" w:hAnsi="Times New Roman" w:eastAsia="宋体"/>
            </w:rPr>
            <w:fldChar w:fldCharType="separate"/>
          </w:r>
          <w:r>
            <w:rPr>
              <w:rFonts w:hint="eastAsia" w:ascii="Times New Roman" w:hAnsi="Times New Roman" w:eastAsia="宋体"/>
              <w:lang w:val="en-US" w:eastAsia="zh-CN"/>
            </w:rPr>
            <w:t>8.2本文方法相对传统方法的改进</w:t>
          </w:r>
          <w:r>
            <w:tab/>
          </w:r>
          <w:r>
            <w:fldChar w:fldCharType="begin"/>
          </w:r>
          <w:r>
            <w:instrText xml:space="preserve"> PAGEREF _Toc25043 \h </w:instrText>
          </w:r>
          <w:r>
            <w:fldChar w:fldCharType="separate"/>
          </w:r>
          <w:r>
            <w:t>25</w:t>
          </w:r>
          <w:r>
            <w:fldChar w:fldCharType="end"/>
          </w:r>
          <w:r>
            <w:rPr>
              <w:rFonts w:ascii="Times New Roman" w:hAnsi="Times New Roman" w:eastAsia="宋体"/>
              <w:color w:val="1F4E79"/>
            </w:rPr>
            <w:fldChar w:fldCharType="end"/>
          </w:r>
        </w:p>
        <w:p w14:paraId="07DEACCD">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_Toc27176 </w:instrText>
          </w:r>
          <w:r>
            <w:rPr>
              <w:rFonts w:ascii="Times New Roman" w:hAnsi="Times New Roman" w:eastAsia="宋体"/>
            </w:rPr>
            <w:fldChar w:fldCharType="separate"/>
          </w:r>
          <w:r>
            <w:rPr>
              <w:rFonts w:hint="eastAsia" w:ascii="Times New Roman" w:hAnsi="Times New Roman" w:eastAsia="宋体"/>
              <w:lang w:val="en-US" w:eastAsia="zh-CN"/>
            </w:rPr>
            <w:t>9</w:t>
          </w:r>
          <w:r>
            <w:rPr>
              <w:rFonts w:ascii="Times New Roman" w:hAnsi="Times New Roman" w:eastAsia="宋体"/>
            </w:rPr>
            <w:t xml:space="preserve"> 复现说明与结论</w:t>
          </w:r>
          <w:r>
            <w:tab/>
          </w:r>
          <w:r>
            <w:fldChar w:fldCharType="begin"/>
          </w:r>
          <w:r>
            <w:instrText xml:space="preserve"> PAGEREF _Toc27176 \h </w:instrText>
          </w:r>
          <w:r>
            <w:fldChar w:fldCharType="separate"/>
          </w:r>
          <w:r>
            <w:t>25</w:t>
          </w:r>
          <w:r>
            <w:fldChar w:fldCharType="end"/>
          </w:r>
          <w:r>
            <w:rPr>
              <w:rFonts w:ascii="Times New Roman" w:hAnsi="Times New Roman" w:eastAsia="宋体"/>
              <w:color w:val="1F4E79"/>
            </w:rPr>
            <w:fldChar w:fldCharType="end"/>
          </w:r>
        </w:p>
        <w:p w14:paraId="7E2069C8">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_Toc11306 </w:instrText>
          </w:r>
          <w:r>
            <w:rPr>
              <w:rFonts w:ascii="Times New Roman" w:hAnsi="Times New Roman" w:eastAsia="宋体"/>
            </w:rPr>
            <w:fldChar w:fldCharType="separate"/>
          </w:r>
          <w:r>
            <w:rPr>
              <w:rFonts w:ascii="Times New Roman" w:hAnsi="Times New Roman" w:eastAsia="宋体"/>
            </w:rPr>
            <w:t>附录A 接口字段与结果格式</w:t>
          </w:r>
          <w:r>
            <w:tab/>
          </w:r>
          <w:r>
            <w:fldChar w:fldCharType="begin"/>
          </w:r>
          <w:r>
            <w:instrText xml:space="preserve"> PAGEREF _Toc11306 \h </w:instrText>
          </w:r>
          <w:r>
            <w:fldChar w:fldCharType="separate"/>
          </w:r>
          <w:r>
            <w:t>25</w:t>
          </w:r>
          <w:r>
            <w:fldChar w:fldCharType="end"/>
          </w:r>
          <w:r>
            <w:rPr>
              <w:rFonts w:ascii="Times New Roman" w:hAnsi="Times New Roman" w:eastAsia="宋体"/>
              <w:color w:val="1F4E79"/>
            </w:rPr>
            <w:fldChar w:fldCharType="end"/>
          </w:r>
        </w:p>
        <w:p w14:paraId="498666D4">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_Toc21837 </w:instrText>
          </w:r>
          <w:r>
            <w:rPr>
              <w:rFonts w:ascii="Times New Roman" w:hAnsi="Times New Roman" w:eastAsia="宋体"/>
            </w:rPr>
            <w:fldChar w:fldCharType="separate"/>
          </w:r>
          <w:r>
            <w:rPr>
              <w:rFonts w:ascii="Times New Roman" w:hAnsi="Times New Roman" w:eastAsia="宋体"/>
            </w:rPr>
            <w:t>附录B 指标口径与材料索引</w:t>
          </w:r>
          <w:r>
            <w:tab/>
          </w:r>
          <w:r>
            <w:fldChar w:fldCharType="begin"/>
          </w:r>
          <w:r>
            <w:instrText xml:space="preserve"> PAGEREF _Toc21837 \h </w:instrText>
          </w:r>
          <w:r>
            <w:fldChar w:fldCharType="separate"/>
          </w:r>
          <w:r>
            <w:t>26</w:t>
          </w:r>
          <w:r>
            <w:fldChar w:fldCharType="end"/>
          </w:r>
          <w:r>
            <w:rPr>
              <w:rFonts w:ascii="Times New Roman" w:hAnsi="Times New Roman" w:eastAsia="宋体"/>
              <w:color w:val="1F4E79"/>
            </w:rPr>
            <w:fldChar w:fldCharType="end"/>
          </w:r>
        </w:p>
        <w:p w14:paraId="65902B09">
          <w:pPr>
            <w:pStyle w:val="26"/>
            <w:keepNext w:val="0"/>
            <w:keepLines w:val="0"/>
            <w:pageBreakBefore w:val="0"/>
            <w:widowControl/>
            <w:tabs>
              <w:tab w:val="right" w:leader="dot" w:pos="9314"/>
            </w:tabs>
            <w:kinsoku/>
            <w:wordWrap/>
            <w:overflowPunct/>
            <w:topLinePunct w:val="0"/>
            <w:autoSpaceDE/>
            <w:autoSpaceDN/>
            <w:bidi w:val="0"/>
            <w:adjustRightInd/>
            <w:snapToGrid/>
            <w:spacing w:after="100" w:line="192" w:lineRule="auto"/>
            <w:textAlignment w:val="auto"/>
          </w:pPr>
          <w:r>
            <w:rPr>
              <w:rFonts w:ascii="Times New Roman" w:hAnsi="Times New Roman" w:eastAsia="宋体"/>
              <w:color w:val="1F4E79"/>
            </w:rPr>
            <w:fldChar w:fldCharType="begin"/>
          </w:r>
          <w:r>
            <w:rPr>
              <w:rFonts w:ascii="Times New Roman" w:hAnsi="Times New Roman" w:eastAsia="宋体"/>
            </w:rPr>
            <w:instrText xml:space="preserve"> HYPERLINK \l _Toc19418 </w:instrText>
          </w:r>
          <w:r>
            <w:rPr>
              <w:rFonts w:ascii="Times New Roman" w:hAnsi="Times New Roman" w:eastAsia="宋体"/>
            </w:rPr>
            <w:fldChar w:fldCharType="separate"/>
          </w:r>
          <w:r>
            <w:rPr>
              <w:rFonts w:hint="eastAsia" w:ascii="Times New Roman" w:hAnsi="Times New Roman" w:eastAsia="宋体"/>
              <w:lang w:val="en-US" w:eastAsia="zh-CN"/>
            </w:rPr>
            <w:t>参考文献</w:t>
          </w:r>
          <w:r>
            <w:tab/>
          </w:r>
          <w:r>
            <w:fldChar w:fldCharType="begin"/>
          </w:r>
          <w:r>
            <w:instrText xml:space="preserve"> PAGEREF _Toc19418 \h </w:instrText>
          </w:r>
          <w:r>
            <w:fldChar w:fldCharType="separate"/>
          </w:r>
          <w:r>
            <w:t>27</w:t>
          </w:r>
          <w:r>
            <w:fldChar w:fldCharType="end"/>
          </w:r>
          <w:r>
            <w:rPr>
              <w:rFonts w:ascii="Times New Roman" w:hAnsi="Times New Roman" w:eastAsia="宋体"/>
              <w:color w:val="1F4E79"/>
            </w:rPr>
            <w:fldChar w:fldCharType="end"/>
          </w:r>
        </w:p>
        <w:p w14:paraId="47806D30">
          <w:pPr>
            <w:keepNext w:val="0"/>
            <w:keepLines w:val="0"/>
            <w:pageBreakBefore w:val="0"/>
            <w:widowControl/>
            <w:kinsoku/>
            <w:wordWrap/>
            <w:overflowPunct/>
            <w:topLinePunct w:val="0"/>
            <w:autoSpaceDE/>
            <w:autoSpaceDN/>
            <w:bidi w:val="0"/>
            <w:adjustRightInd/>
            <w:snapToGrid/>
            <w:spacing w:line="240" w:lineRule="auto"/>
            <w:jc w:val="both"/>
            <w:textAlignment w:val="auto"/>
          </w:pPr>
          <w:r>
            <w:rPr>
              <w:rFonts w:ascii="Times New Roman" w:hAnsi="Times New Roman" w:eastAsia="宋体"/>
              <w:color w:val="1F4E79"/>
            </w:rPr>
            <w:fldChar w:fldCharType="end"/>
          </w:r>
        </w:p>
      </w:sdtContent>
    </w:sdt>
    <w:p w14:paraId="0118A7F2">
      <w:pPr>
        <w:keepNext w:val="0"/>
        <w:keepLines w:val="0"/>
        <w:pageBreakBefore w:val="0"/>
        <w:widowControl/>
        <w:kinsoku/>
        <w:wordWrap/>
        <w:overflowPunct/>
        <w:topLinePunct w:val="0"/>
        <w:autoSpaceDE/>
        <w:autoSpaceDN/>
        <w:bidi w:val="0"/>
        <w:adjustRightInd/>
        <w:snapToGrid/>
        <w:spacing w:line="240" w:lineRule="auto"/>
        <w:jc w:val="center"/>
        <w:textAlignment w:val="auto"/>
      </w:pP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TOC \o "1-3" \h \z \u</w:instrText>
      </w:r>
      <w:r>
        <w:rPr>
          <w:rFonts w:ascii="Times New Roman" w:hAnsi="Times New Roman" w:eastAsia="宋体" w:cs="Times New Roman"/>
          <w:sz w:val="24"/>
        </w:rPr>
        <w:fldChar w:fldCharType="separate"/>
      </w:r>
      <w:r>
        <w:rPr>
          <w:rFonts w:ascii="Times New Roman" w:hAnsi="Times New Roman" w:eastAsia="宋体" w:cs="Times New Roman"/>
          <w:sz w:val="24"/>
        </w:rPr>
        <w:fldChar w:fldCharType="end"/>
      </w:r>
      <w:bookmarkStart w:id="0" w:name="bmk_825850"/>
      <w:bookmarkStart w:id="1" w:name="_Toc16405"/>
      <w:r>
        <w:rPr>
          <w:rFonts w:ascii="Times New Roman" w:hAnsi="Times New Roman" w:eastAsia="宋体"/>
          <w:b/>
          <w:color w:val="1F4E79"/>
          <w:sz w:val="32"/>
        </w:rPr>
        <w:t>摘要</w:t>
      </w:r>
      <w:bookmarkEnd w:id="0"/>
      <w:bookmarkEnd w:id="1"/>
    </w:p>
    <w:p w14:paraId="414FA4E8">
      <w:pPr>
        <w:spacing w:after="120" w:line="360" w:lineRule="auto"/>
        <w:ind w:firstLine="420"/>
      </w:pPr>
      <w:r>
        <w:rPr>
          <w:rFonts w:ascii="Times New Roman" w:hAnsi="Times New Roman" w:eastAsia="宋体" w:cs="Times New Roman"/>
          <w:sz w:val="24"/>
        </w:rPr>
        <w:t>本报告面向雄安新区“窄路密网”、路口间距短和交通需求时变等特点，提出并实现融序协同控制机制（Fusion-Sequence Cooperative Control，FSCC）。FSCC以赛道B要求的经典交通管控算法场景适配、参数调优和性能评估为基础，将SACF、SPCN与TRANSYT风格控制组织为具有明确职责边界的分层协同机制：SACF提供冻结的可迁移动作先验，SPCN建模信号相位之间的竞争关系并输出有界修正，TRANSYT风格控制依据共同周期、绿信比、相位偏移和车辆到达波形成走廊协调方案。通过统一的状态—动作接口、压力增益门控和安全回退策略，FSCC在保证控制可解释、可复算和可回滚的同时，实现局部路口响应与多路口时序协调。</w:t>
      </w:r>
    </w:p>
    <w:p w14:paraId="03E51AE8">
      <w:pPr>
        <w:spacing w:after="120" w:line="360" w:lineRule="auto"/>
        <w:ind w:firstLine="480"/>
      </w:pPr>
      <w:r>
        <w:rPr>
          <w:rFonts w:ascii="Times New Roman" w:hAnsi="Times New Roman" w:eastAsia="宋体" w:cs="Times New Roman"/>
          <w:sz w:val="24"/>
        </w:rPr>
        <w:t>从验收角度看，平台同时回答三个问题：场景是否来自可审计的真实数据、算法是否能在统一接口下公平比较、结论是否能由原始轨迹重新计算。20 路口、三时段和压力扰动实验共同构成证据链，结果中的收益均以固定配时为基准，并明确区分旅行时间、延迟代理量、队列代理量和吞吐率。</w:t>
      </w:r>
    </w:p>
    <w:p w14:paraId="0855D103">
      <w:pPr>
        <w:spacing w:after="120" w:line="360" w:lineRule="auto"/>
        <w:ind w:firstLine="420"/>
        <w:rPr>
          <w:rFonts w:ascii="Times New Roman" w:hAnsi="Times New Roman" w:eastAsia="宋体"/>
          <w:b w:val="0"/>
          <w:sz w:val="24"/>
        </w:rPr>
      </w:pPr>
      <w:r>
        <w:rPr>
          <w:rFonts w:ascii="Times New Roman" w:hAnsi="Times New Roman" w:eastAsia="宋体" w:cs="Times New Roman"/>
          <w:b w:val="0"/>
          <w:sz w:val="24"/>
        </w:rPr>
        <w:t>针对雄安新区“窄路密网”中路口间距短、交通流耦合强和需求时变显著的问题，本文构建面向场景建模、仿真执行、融序协同控制、指标评估和结果可视化的车路云一体化验证平台。平台以OSM/SUMO接口和CityFlow 20路口场景为基础，通过统一的observation/action契约实现固定配时、最大压力、TRANSYT风格控制以及FSCC的可插拔运行。FSCC以冻结SACF、SPCN相位竞争网络和TRANSYT风格走廊协调为核心，在规则约束下输出单一可执行相位动作；其中，SACF提供迁移先验，SPCN提供局部竞争修正，TRANSYT提供跨路口时序协调。</w:t>
      </w:r>
    </w:p>
    <w:p w14:paraId="731B8F93">
      <w:pPr>
        <w:spacing w:after="120" w:line="360" w:lineRule="auto"/>
        <w:ind w:firstLine="420"/>
      </w:pPr>
      <w:r>
        <w:rPr>
          <w:rFonts w:ascii="Times New Roman" w:hAnsi="Times New Roman" w:eastAsia="宋体" w:cs="Times New Roman"/>
          <w:b w:val="0"/>
          <w:sz w:val="24"/>
        </w:rPr>
        <w:t>在固定随机种子、统一场景、统一交通流、7500个仿真步和统一指标口径下，FSCC相对于固定配时方案的平均旅行时间改善为4.52%（早高峰）、8.15%（平峰）和7.00%（晚高峰），平均队列代理量改善为8.27%、14.09%和12.33%，吞吐率保持在0.999704至0.999816之间。在10%至30%平峰需求压力扰动下，FSCC的平均旅行时间降幅为7.51%至8.07%。上述数据为固定随机种子下的可复算点估计，用于说明FSCC在当前仿真条件下的潜在收益，不将其表述为跨随机种子的统计显著性结论。</w:t>
      </w:r>
    </w:p>
    <w:p w14:paraId="7ED32582">
      <w:pPr>
        <w:spacing w:after="120" w:line="360" w:lineRule="auto"/>
        <w:ind w:firstLine="420"/>
      </w:pPr>
      <w:r>
        <w:rPr>
          <w:rFonts w:ascii="Times New Roman" w:hAnsi="Times New Roman" w:eastAsia="宋体" w:cs="Times New Roman"/>
          <w:b w:val="0"/>
          <w:sz w:val="24"/>
        </w:rPr>
        <w:t>关键词：车路云一体化；融序协同控制机制；Fusion-Sequence Cooperative Control；FSCC；CityFlow；SACF；SPCN；TRANSYT；协同信号控制</w:t>
      </w:r>
    </w:p>
    <w:p w14:paraId="08917343">
      <w:pPr>
        <w:pStyle w:val="3"/>
      </w:pPr>
      <w:bookmarkStart w:id="2" w:name="bmk_60193"/>
      <w:bookmarkStart w:id="3" w:name="_Toc16477"/>
      <w:r>
        <w:rPr>
          <w:rFonts w:ascii="Times New Roman" w:hAnsi="Times New Roman" w:eastAsia="宋体"/>
          <w:b/>
          <w:color w:val="1F4E79"/>
          <w:sz w:val="32"/>
        </w:rPr>
        <w:t>1 需求分析与验收目标</w:t>
      </w:r>
      <w:bookmarkEnd w:id="2"/>
      <w:bookmarkEnd w:id="3"/>
    </w:p>
    <w:p w14:paraId="7981C7C6">
      <w:pPr>
        <w:spacing w:after="120" w:line="360" w:lineRule="auto"/>
        <w:ind w:firstLine="480"/>
      </w:pPr>
      <w:r>
        <w:rPr>
          <w:rFonts w:ascii="Times New Roman" w:hAnsi="Times New Roman" w:eastAsia="宋体" w:cs="Times New Roman"/>
          <w:sz w:val="24"/>
        </w:rPr>
        <w:t>雄安新区典型交通问题具有明显的系统性：单个路口的局部最优可能造成下游溢出，短时间的放行收益可能转化为相邻路口更长的排队，固定配时在需求突变时又缺乏快速响应。因此，系统设计将需求拆成“场景可信、接口稳定、决策协同、结果可复核”四个层次，并为每一层设置可执行的验收证据。</w:t>
      </w:r>
    </w:p>
    <w:p w14:paraId="023F2B89">
      <w:pPr>
        <w:spacing w:after="120" w:line="360" w:lineRule="auto"/>
        <w:ind w:firstLine="420"/>
      </w:pPr>
      <w:r>
        <w:rPr>
          <w:rFonts w:ascii="Times New Roman" w:hAnsi="Times New Roman" w:eastAsia="宋体" w:cs="Times New Roman"/>
          <w:sz w:val="24"/>
        </w:rPr>
        <w:t>在技术创新性方面，本文将创新凝练为融序协同控制机制（FSCC）。FSCC并不以黑盒学习模型替代传统交通机理，而是将规则控制、迁移动作先验、相位竞争建模和走廊时序协调组织为可审计的闭环：SACF冻结主干保留既有策略知识，SPCN只输出有界残差以细化竞争相位排序，TRANSYT风格层负责周期、绿信比和偏移协调，最终由安全门控统一决定是否接受局部修正。该机制使每项创新均能在配置、动作轨迹、覆盖次数和消融结果中被单独核验。</w:t>
      </w:r>
    </w:p>
    <w:p w14:paraId="565E7132">
      <w:pPr>
        <w:pStyle w:val="4"/>
      </w:pPr>
      <w:bookmarkStart w:id="4" w:name="bmk_663029"/>
      <w:bookmarkStart w:id="5" w:name="_Toc7341"/>
      <w:r>
        <w:rPr>
          <w:rFonts w:ascii="Times New Roman" w:hAnsi="Times New Roman" w:eastAsia="宋体"/>
          <w:b/>
          <w:color w:val="2F5597"/>
          <w:sz w:val="26"/>
        </w:rPr>
        <w:t>1.1 需求转化</w:t>
      </w:r>
      <w:bookmarkEnd w:id="4"/>
      <w:bookmarkEnd w:id="5"/>
    </w:p>
    <w:p w14:paraId="605A3686">
      <w:pPr>
        <w:spacing w:after="120" w:line="360" w:lineRule="auto"/>
        <w:ind w:firstLine="480"/>
      </w:pPr>
      <w:r>
        <w:rPr>
          <w:rFonts w:ascii="Times New Roman" w:hAnsi="Times New Roman" w:eastAsia="宋体" w:cs="Times New Roman"/>
          <w:b w:val="0"/>
          <w:sz w:val="24"/>
        </w:rPr>
        <w:t>系统需求转化为三条可验证链路：可配置、可审计的典型路网和交通流；车—路—云状态采集与控制动作统一接口；规则控制、学习控制和协同优化的公平对比与复算。平台覆盖独立十字、三岔、五岔路口、1×3 走廊和 20 路口联动网络。</w:t>
      </w:r>
    </w:p>
    <w:p w14:paraId="64BD8767">
      <w:pPr>
        <w:pStyle w:val="4"/>
      </w:pPr>
      <w:bookmarkStart w:id="6" w:name="bmk_628529"/>
      <w:bookmarkStart w:id="7" w:name="_Toc6193"/>
      <w:r>
        <w:rPr>
          <w:rFonts w:ascii="Times New Roman" w:hAnsi="Times New Roman" w:eastAsia="宋体"/>
          <w:b/>
          <w:color w:val="2F5597"/>
          <w:sz w:val="26"/>
        </w:rPr>
        <w:t>1.2 相关研究与技术路线</w:t>
      </w:r>
      <w:bookmarkEnd w:id="6"/>
      <w:bookmarkEnd w:id="7"/>
    </w:p>
    <w:p w14:paraId="507F91FE">
      <w:pPr>
        <w:spacing w:after="120" w:line="360" w:lineRule="auto"/>
        <w:ind w:firstLine="420"/>
      </w:pPr>
      <w:r>
        <w:rPr>
          <w:rFonts w:ascii="Times New Roman" w:hAnsi="Times New Roman" w:eastAsia="宋体" w:cs="Times New Roman"/>
          <w:b w:val="0"/>
          <w:sz w:val="24"/>
        </w:rPr>
        <w:t>信号控制研究通常分为固定配时、感知驱动的自适应控制、基于压力的规则控制和多智能体强化学习等类型。固定配时具有稳定、易复现的特点，但难以应对潮汐流和突发需求；最大压力方法能够利用上下游排队差异进行局部响应，具有较好的可解释性；TRANSYT类方法关注周期、绿信比和相位差，适合处理走廊级时序协调；SACF类方法通过动作变换降低策略迁移风险；SPCN则通过相位竞争关系建模提升不同路口结构下的泛化能力。本文将上述方法组织为FSCC分层控制机制：SACF负责迁移先验，SPCN负责局部相位竞争修正，TRANSYT负责网络时序协调，并由规则安全约束统一控制动作输出，从而缓解学习策略难解释、规则策略难协同以及仿真结果难复算等问题。</w:t>
      </w:r>
    </w:p>
    <w:p w14:paraId="2EC49B34">
      <w:pPr>
        <w:pStyle w:val="4"/>
      </w:pPr>
      <w:bookmarkStart w:id="8" w:name="_Toc15480"/>
      <w:bookmarkStart w:id="9" w:name="bmk_817510"/>
      <w:r>
        <w:rPr>
          <w:rFonts w:ascii="Times New Roman" w:hAnsi="Times New Roman" w:eastAsia="宋体"/>
          <w:b/>
          <w:color w:val="2F5597"/>
          <w:sz w:val="26"/>
        </w:rPr>
        <w:t>1.3 项目实施链路与成果分工</w:t>
      </w:r>
      <w:bookmarkEnd w:id="8"/>
      <w:bookmarkEnd w:id="9"/>
    </w:p>
    <w:p w14:paraId="22634374">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项目实施过程分为“硬性任务完成阶段”和“协同创新扩展阶段”。</w:t>
      </w:r>
    </w:p>
    <w:p w14:paraId="240030AA">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一阶段围绕原赛题的基础要求展开。首先，根据雄安新区窄路密网交通特征构建典型路网和交通流场景，完成道路拓扑、路口连接、车辆流量和信号方案的统一配置。其次，建立车路云状态采集和控制动作接口，明确车辆位置、车道需求、排队状态、当前相位和信号控制动作的字段、类型、取值范围和时间关系。随后，将固定配时、最大压力和 TRANSYT 风格控制接入仿真平台，实现经典交通管控算法在统一场景下的独立运行。最后，通过参数候选范围、固定比较配置、三时段实验和基线对比，完成赛道 B 要求的场景适配、参数调优和性能评估。</w:t>
      </w:r>
    </w:p>
    <w:p w14:paraId="4CD6CF51">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第二阶段围绕算法融合和系统创新展开。在经典算法能够独立运行并完成公平比较的基础上，引入冻结 SACF 模型、SPCN 相位竞争模型和 TRANSYT 风格协调层。SACF 主干在推理阶段保持参数冻结，主要用于提供可迁移的动作先验；SPCN 学习局部相位之间的竞争关系，并以受限残差方式参与动作评分；TRANSYT 风格协调层根据共同周期、绿信比和路口拓扑偏移提供走廊级控制先验。最终，通过统一动作接口将传统控制、学习修正和网络协调结果合成为单一的八相位控制动作。</w:t>
      </w:r>
    </w:p>
    <w:p w14:paraId="3F590741">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第三阶段围绕结果复核和工程交付展开。项目针对早高峰、平峰和晚高峰开展完整仿真，并在平峰场景下增加 10%、20% 和 30% 交通需求压力扰动实验。同时，通过去除 SACF、去除 SPCN、去除 TRANSYT 等消融实验分析各模块的独立作用和组合收益。最终形成可运行程序、算法报告、实验评估报告、原始 CSV/JSON 数据、指标图表、轨迹记录、复算脚本和实际场景演示材料。</w:t>
      </w:r>
    </w:p>
    <w:p w14:paraId="7A3F134C">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这种两阶段实施链路保证了项目</w:t>
      </w:r>
      <w:r>
        <w:rPr>
          <w:rFonts w:hint="eastAsia" w:ascii="Times New Roman" w:hAnsi="Times New Roman" w:eastAsia="宋体" w:cs="Times New Roman"/>
          <w:b w:val="0"/>
          <w:sz w:val="24"/>
          <w:lang w:val="en-US" w:eastAsia="zh-CN"/>
        </w:rPr>
        <w:t>完成了</w:t>
      </w:r>
      <w:r>
        <w:rPr>
          <w:rFonts w:ascii="Times New Roman" w:hAnsi="Times New Roman" w:eastAsia="宋体" w:cs="Times New Roman"/>
          <w:b w:val="0"/>
          <w:sz w:val="24"/>
        </w:rPr>
        <w:t>以协同算法替代经典算法硬性要求，</w:t>
      </w:r>
      <w:r>
        <w:rPr>
          <w:rFonts w:hint="eastAsia" w:ascii="Times New Roman" w:hAnsi="Times New Roman" w:eastAsia="宋体" w:cs="Times New Roman"/>
          <w:b w:val="0"/>
          <w:sz w:val="24"/>
          <w:lang w:val="en-US" w:eastAsia="zh-CN"/>
        </w:rPr>
        <w:t>同时</w:t>
      </w:r>
      <w:r>
        <w:rPr>
          <w:rFonts w:ascii="Times New Roman" w:hAnsi="Times New Roman" w:eastAsia="宋体" w:cs="Times New Roman"/>
          <w:b w:val="0"/>
          <w:sz w:val="24"/>
        </w:rPr>
        <w:t>在经典算法完成赛题任务后，进一步以协同算法体现技术创新性。</w:t>
      </w:r>
    </w:p>
    <w:p w14:paraId="1692962C">
      <w:pPr>
        <w:pStyle w:val="4"/>
        <w:rPr>
          <w:rFonts w:ascii="Times New Roman" w:hAnsi="Times New Roman" w:eastAsia="宋体"/>
          <w:b/>
          <w:color w:val="2F5597"/>
          <w:sz w:val="26"/>
        </w:rPr>
      </w:pPr>
      <w:bookmarkStart w:id="10" w:name="_Toc29338"/>
      <w:r>
        <w:rPr>
          <w:rFonts w:ascii="Times New Roman" w:hAnsi="Times New Roman" w:eastAsia="宋体"/>
          <w:b/>
          <w:color w:val="2F5597"/>
          <w:sz w:val="26"/>
        </w:rPr>
        <w:t>1.4 原赛题要求与成果对应关系</w:t>
      </w:r>
      <w:bookmarkEnd w:id="10"/>
    </w:p>
    <w:p w14:paraId="5C377D63">
      <w:pPr>
        <w:spacing w:after="120" w:line="360" w:lineRule="auto"/>
        <w:ind w:firstLine="480"/>
        <w:rPr>
          <w:rFonts w:ascii="Times New Roman" w:hAnsi="Times New Roman" w:eastAsia="宋体" w:cs="Times New Roman"/>
          <w:b w:val="0"/>
          <w:sz w:val="24"/>
        </w:rPr>
      </w:pPr>
      <w:r>
        <w:rPr>
          <w:rFonts w:ascii="Times New Roman" w:hAnsi="Times New Roman" w:eastAsia="宋体" w:cs="Times New Roman"/>
          <w:b w:val="0"/>
          <w:sz w:val="24"/>
        </w:rPr>
        <w:t>在硬性任务完成后，项目进一步引入SACF、SPCN和TRANSYT风格协调机制作为创新扩展：SACF提供冻结迁移先验，SPCN建模相位竞争，TRANSYT风格协调层处理相邻路口的到达波和相位偏移。协同控制器通过压力增益、拥堵门控、最小保持时间和动作范围约束限制学习修正，并通过组件消融和压力扰动实验验证各模块作用。因此，协同算法属于算法融合和系统架构创新加分项，而不是赛道B的前置硬性条件。</w:t>
      </w:r>
    </w:p>
    <w:p w14:paraId="2BADFDE6">
      <w:pPr>
        <w:spacing w:after="120" w:line="360" w:lineRule="auto"/>
        <w:ind w:firstLine="480"/>
        <w:rPr>
          <w:rFonts w:ascii="Times New Roman" w:hAnsi="Times New Roman" w:eastAsia="宋体" w:cs="Times New Roman"/>
          <w:b w:val="0"/>
          <w:sz w:val="24"/>
        </w:rPr>
      </w:pPr>
      <w:r>
        <w:rPr>
          <w:rFonts w:ascii="Times New Roman" w:hAnsi="Times New Roman" w:eastAsia="宋体" w:cs="Times New Roman"/>
          <w:b w:val="0"/>
          <w:sz w:val="24"/>
        </w:rPr>
        <w:t>按照原赛题，功能三赛道B的硬性任务包括：在雄安新区典型“窄路密网”场景中完成一种经典交通管控算法的场景适配，进行参数调优和性能评估，并提供可运行的仿真程序、部署说明、实验评估和基线对比。本项目以固定配时、最大压力和TRANSYT风格控制构成经典算法基线，使用20个受控路口、早高峰/平峰/晚高峰交通流和统一评价指标完成验证。</w:t>
      </w:r>
    </w:p>
    <w:p w14:paraId="1C0A56CF">
      <w:pPr>
        <w:pStyle w:val="15"/>
        <w:spacing w:after="120" w:line="360" w:lineRule="auto"/>
        <w:jc w:val="center"/>
        <w:rPr>
          <w:rFonts w:ascii="Times New Roman" w:hAnsi="Times New Roman" w:eastAsia="宋体" w:cs="Times New Roman"/>
          <w:b w:val="0"/>
          <w:sz w:val="24"/>
        </w:rPr>
      </w:pPr>
    </w:p>
    <w:p w14:paraId="4F4171A0">
      <w:pPr>
        <w:pStyle w:val="15"/>
        <w:spacing w:after="120" w:line="360" w:lineRule="auto"/>
        <w:jc w:val="center"/>
        <w:rPr>
          <w:rFonts w:ascii="Times New Roman" w:hAnsi="Times New Roman" w:eastAsia="宋体" w:cs="Times New Roman"/>
          <w:sz w:val="24"/>
        </w:rPr>
      </w:pPr>
      <w:r>
        <w:rPr>
          <w:rFonts w:ascii="Times New Roman" w:hAnsi="Times New Roman" w:eastAsia="宋体" w:cs="Times New Roman"/>
          <w:b w:val="0"/>
          <w:sz w:val="24"/>
        </w:rPr>
        <w:t>表1-1 需求—实现—证据映射</w:t>
      </w:r>
    </w:p>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41"/>
        <w:gridCol w:w="4364"/>
        <w:gridCol w:w="3825"/>
      </w:tblGrid>
      <w:tr w14:paraId="427C97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34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1812AB2">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验收维度</w:t>
            </w:r>
          </w:p>
        </w:tc>
        <w:tc>
          <w:tcPr>
            <w:tcW w:w="4364"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7B7F9E7">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对应实现</w:t>
            </w:r>
          </w:p>
        </w:tc>
        <w:tc>
          <w:tcPr>
            <w:tcW w:w="3825"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A162423">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证据</w:t>
            </w:r>
          </w:p>
        </w:tc>
      </w:tr>
      <w:tr w14:paraId="2A7A99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42" w:type="dxa"/>
            <w:tcBorders>
              <w:top w:val="single" w:color="auto" w:sz="4" w:space="0"/>
              <w:left w:val="nil"/>
              <w:bottom w:val="nil"/>
              <w:right w:val="nil"/>
            </w:tcBorders>
            <w:noWrap w:val="0"/>
            <w:tcMar>
              <w:top w:w="-1" w:type="dxa"/>
              <w:left w:w="-1" w:type="dxa"/>
              <w:bottom w:w="-1" w:type="dxa"/>
              <w:right w:w="-1" w:type="dxa"/>
            </w:tcMar>
            <w:vAlign w:val="center"/>
          </w:tcPr>
          <w:p w14:paraId="7CC4C12B">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场景与仿真</w:t>
            </w:r>
          </w:p>
        </w:tc>
        <w:tc>
          <w:tcPr>
            <w:tcW w:w="4364" w:type="dxa"/>
            <w:tcBorders>
              <w:top w:val="single" w:color="auto" w:sz="4" w:space="0"/>
              <w:left w:val="nil"/>
              <w:bottom w:val="nil"/>
              <w:right w:val="nil"/>
            </w:tcBorders>
            <w:noWrap w:val="0"/>
            <w:tcMar>
              <w:top w:w="-1" w:type="dxa"/>
              <w:left w:w="-1" w:type="dxa"/>
              <w:bottom w:w="-1" w:type="dxa"/>
              <w:right w:w="-1" w:type="dxa"/>
            </w:tcMar>
            <w:vAlign w:val="center"/>
          </w:tcPr>
          <w:p w14:paraId="12DB63E2">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20 路口 CityFlow、OSM/SUMO</w:t>
            </w:r>
          </w:p>
        </w:tc>
        <w:tc>
          <w:tcPr>
            <w:tcW w:w="3825" w:type="dxa"/>
            <w:tcBorders>
              <w:top w:val="single" w:color="auto" w:sz="4" w:space="0"/>
              <w:left w:val="nil"/>
              <w:bottom w:val="nil"/>
              <w:right w:val="nil"/>
            </w:tcBorders>
            <w:noWrap w:val="0"/>
            <w:tcMar>
              <w:top w:w="-1" w:type="dxa"/>
              <w:left w:w="-1" w:type="dxa"/>
              <w:bottom w:w="-1" w:type="dxa"/>
              <w:right w:w="-1" w:type="dxa"/>
            </w:tcMar>
            <w:vAlign w:val="center"/>
          </w:tcPr>
          <w:p w14:paraId="3C3B00B8">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20 个路口、294 条道路；三时段车流</w:t>
            </w:r>
          </w:p>
        </w:tc>
      </w:tr>
      <w:tr w14:paraId="499CDC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42" w:type="dxa"/>
            <w:tcBorders>
              <w:top w:val="nil"/>
              <w:left w:val="nil"/>
              <w:bottom w:val="nil"/>
              <w:right w:val="nil"/>
            </w:tcBorders>
            <w:noWrap w:val="0"/>
            <w:tcMar>
              <w:top w:w="-1" w:type="dxa"/>
              <w:left w:w="-1" w:type="dxa"/>
              <w:bottom w:w="-1" w:type="dxa"/>
              <w:right w:w="-1" w:type="dxa"/>
            </w:tcMar>
            <w:vAlign w:val="center"/>
          </w:tcPr>
          <w:p w14:paraId="3CCBC3EE">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算法实现</w:t>
            </w:r>
          </w:p>
        </w:tc>
        <w:tc>
          <w:tcPr>
            <w:tcW w:w="4364" w:type="dxa"/>
            <w:tcBorders>
              <w:top w:val="nil"/>
              <w:left w:val="nil"/>
              <w:bottom w:val="nil"/>
              <w:right w:val="nil"/>
            </w:tcBorders>
            <w:noWrap w:val="0"/>
            <w:tcMar>
              <w:top w:w="-1" w:type="dxa"/>
              <w:left w:w="-1" w:type="dxa"/>
              <w:bottom w:w="-1" w:type="dxa"/>
              <w:right w:w="-1" w:type="dxa"/>
            </w:tcMar>
            <w:vAlign w:val="center"/>
          </w:tcPr>
          <w:p w14:paraId="6BC4267C">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固定、最大压力、TRANSYT、SACF、SPCN</w:t>
            </w:r>
          </w:p>
        </w:tc>
        <w:tc>
          <w:tcPr>
            <w:tcW w:w="3825" w:type="dxa"/>
            <w:tcBorders>
              <w:top w:val="nil"/>
              <w:left w:val="nil"/>
              <w:bottom w:val="nil"/>
              <w:right w:val="nil"/>
            </w:tcBorders>
            <w:noWrap w:val="0"/>
            <w:tcMar>
              <w:top w:w="-1" w:type="dxa"/>
              <w:left w:w="-1" w:type="dxa"/>
              <w:bottom w:w="-1" w:type="dxa"/>
              <w:right w:w="-1" w:type="dxa"/>
            </w:tcMar>
            <w:vAlign w:val="center"/>
          </w:tcPr>
          <w:p w14:paraId="31860F02">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统一插件契约，动作 0..7</w:t>
            </w:r>
          </w:p>
        </w:tc>
      </w:tr>
      <w:tr w14:paraId="4BC175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42" w:type="dxa"/>
            <w:tcBorders>
              <w:top w:val="nil"/>
              <w:left w:val="nil"/>
              <w:bottom w:val="nil"/>
              <w:right w:val="nil"/>
            </w:tcBorders>
            <w:noWrap w:val="0"/>
            <w:tcMar>
              <w:top w:w="-1" w:type="dxa"/>
              <w:left w:w="-1" w:type="dxa"/>
              <w:bottom w:w="-1" w:type="dxa"/>
              <w:right w:w="-1" w:type="dxa"/>
            </w:tcMar>
            <w:vAlign w:val="center"/>
          </w:tcPr>
          <w:p w14:paraId="792BDFE5">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实验评估</w:t>
            </w:r>
          </w:p>
        </w:tc>
        <w:tc>
          <w:tcPr>
            <w:tcW w:w="4364" w:type="dxa"/>
            <w:tcBorders>
              <w:top w:val="nil"/>
              <w:left w:val="nil"/>
              <w:bottom w:val="nil"/>
              <w:right w:val="nil"/>
            </w:tcBorders>
            <w:noWrap w:val="0"/>
            <w:tcMar>
              <w:top w:w="-1" w:type="dxa"/>
              <w:left w:w="-1" w:type="dxa"/>
              <w:bottom w:w="-1" w:type="dxa"/>
              <w:right w:w="-1" w:type="dxa"/>
            </w:tcMar>
            <w:vAlign w:val="center"/>
          </w:tcPr>
          <w:p w14:paraId="597DBA0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三时段消融、压力扰动、单路口对比</w:t>
            </w:r>
          </w:p>
        </w:tc>
        <w:tc>
          <w:tcPr>
            <w:tcW w:w="3825" w:type="dxa"/>
            <w:tcBorders>
              <w:top w:val="nil"/>
              <w:left w:val="nil"/>
              <w:bottom w:val="nil"/>
              <w:right w:val="nil"/>
            </w:tcBorders>
            <w:noWrap w:val="0"/>
            <w:tcMar>
              <w:top w:w="-1" w:type="dxa"/>
              <w:left w:w="-1" w:type="dxa"/>
              <w:bottom w:w="-1" w:type="dxa"/>
              <w:right w:w="-1" w:type="dxa"/>
            </w:tcMar>
            <w:vAlign w:val="center"/>
          </w:tcPr>
          <w:p w14:paraId="65687ECF">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旅行时间、延迟、队列、吞吐率</w:t>
            </w:r>
          </w:p>
        </w:tc>
      </w:tr>
      <w:tr w14:paraId="69BA0F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42" w:type="dxa"/>
            <w:tcBorders>
              <w:top w:val="nil"/>
              <w:left w:val="nil"/>
              <w:bottom w:val="single" w:color="auto" w:sz="12" w:space="0"/>
              <w:right w:val="nil"/>
            </w:tcBorders>
            <w:noWrap w:val="0"/>
            <w:tcMar>
              <w:top w:w="-1" w:type="dxa"/>
              <w:left w:w="-1" w:type="dxa"/>
              <w:bottom w:w="-1" w:type="dxa"/>
              <w:right w:w="-1" w:type="dxa"/>
            </w:tcMar>
            <w:vAlign w:val="center"/>
          </w:tcPr>
          <w:p w14:paraId="3DCF6BE8">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工程化</w:t>
            </w:r>
          </w:p>
        </w:tc>
        <w:tc>
          <w:tcPr>
            <w:tcW w:w="4364" w:type="dxa"/>
            <w:tcBorders>
              <w:top w:val="nil"/>
              <w:left w:val="nil"/>
              <w:bottom w:val="single" w:color="auto" w:sz="12" w:space="0"/>
              <w:right w:val="nil"/>
            </w:tcBorders>
            <w:noWrap w:val="0"/>
            <w:tcMar>
              <w:top w:w="-1" w:type="dxa"/>
              <w:left w:w="-1" w:type="dxa"/>
              <w:bottom w:w="-1" w:type="dxa"/>
              <w:right w:w="-1" w:type="dxa"/>
            </w:tcMar>
            <w:vAlign w:val="center"/>
          </w:tcPr>
          <w:p w14:paraId="6EEDF1A1">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配置/模型/结果契约、Dashboard</w:t>
            </w:r>
          </w:p>
        </w:tc>
        <w:tc>
          <w:tcPr>
            <w:tcW w:w="3825" w:type="dxa"/>
            <w:tcBorders>
              <w:top w:val="nil"/>
              <w:left w:val="nil"/>
              <w:bottom w:val="single" w:color="auto" w:sz="12" w:space="0"/>
              <w:right w:val="nil"/>
            </w:tcBorders>
            <w:noWrap w:val="0"/>
            <w:tcMar>
              <w:top w:w="-1" w:type="dxa"/>
              <w:left w:w="-1" w:type="dxa"/>
              <w:bottom w:w="-1" w:type="dxa"/>
              <w:right w:w="-1" w:type="dxa"/>
            </w:tcMar>
            <w:vAlign w:val="center"/>
          </w:tcPr>
          <w:p w14:paraId="3EED450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JSON Schema、CSV/JSONL、冻结权重</w:t>
            </w:r>
          </w:p>
        </w:tc>
      </w:tr>
    </w:tbl>
    <w:p w14:paraId="090D9DAE">
      <w:pPr>
        <w:spacing w:after="120" w:line="360" w:lineRule="auto"/>
        <w:ind w:firstLine="480"/>
        <w:rPr>
          <w:rFonts w:ascii="Times New Roman" w:hAnsi="Times New Roman" w:eastAsia="宋体" w:cs="Times New Roman"/>
          <w:b w:val="0"/>
          <w:sz w:val="24"/>
        </w:rPr>
      </w:pPr>
    </w:p>
    <w:p w14:paraId="532503AA">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赛道 B 的硬性完成项主要包括以下内容。</w:t>
      </w:r>
    </w:p>
    <w:p w14:paraId="09F64B2D">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第一，完成雄安新区典型交通场景的仿真建模。项目构建了包含 20 个受控路口的 CityFlow 仿真场景，场景数据包括路网、道路连接关系、路口拓扑、交通流、车辆类型、信号相位和分时段需求配置。场景包含早高峰、平峰和晚高峰三类交通需求，并通过数据清单、来源审计文件和场景校验脚本保证交通流总量、路口数量和道路连接关系的一致性。</w:t>
      </w:r>
    </w:p>
    <w:p w14:paraId="067036C3">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第二，完成经典交通管控算法的场景适配。项目实现了固定配时、最大压力和 TRANSYT 风格三类传统控制策略。其中，固定配时用于提供稳定的基础参照，最大压力用于表达基于上下游交通压力的局部自适应控制，TRANSYT 风格控制用于根据交通需求和路口拓扑关系进行周期、绿信比和相位偏移协调。项目将这些方法接入统一的 SignalAlgorithm 插件接口，使不同控制算法能够在相同仿真环境中运行。</w:t>
      </w:r>
    </w:p>
    <w:p w14:paraId="7D7C6C17">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第三，完成参数调优和性能评估。项目针对固定配时保持周期、最大压力切换条件、TRANSYT 风格周期长度、需求平滑系数和即时需求权重等参数设置候选范围，并确定用于公平比较的最终配置。正式实验统一采用 7500 个仿真步、10 秒决策间隔、固定随机种子和相同交通流输入，评价平均旅行时间、估计延迟、平均队列代理量、最大队列代理量和吞吐率等指标。</w:t>
      </w:r>
    </w:p>
    <w:p w14:paraId="5E96D921">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第四，完成传统基线对比。项目以固定配时作为主要基准，并将经典交通控制方法与协同策略放入相同场景、相同流量、相同运行时长和相同指标口径下进行比较。所有正式实验结果均保留 metrics.csv、trace JSON、实时运行记录和场景配置文件，能够从原始结果重新计算报告中的指标。</w:t>
      </w:r>
    </w:p>
    <w:p w14:paraId="69A13730">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第五，完成可运行程序、部署说明和实验材料。项目提交包包含仿真场景、算法源代码、模型权重、配置文件、Dockerfile、运行脚本、接口文档、实验结果、指标图表和复算脚本，可以支持从场景校验、算法运行到结果汇总的完整流程。</w:t>
      </w:r>
    </w:p>
    <w:p w14:paraId="25FE3DEB">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在上述硬性任务完成后，项目进一步设置协同算法创新扩展。该扩展包括三个方面：一是使用冻结 SACF 模型提供策略迁移先验，降低模型从既有场景迁移到雄安新场景时的动作风险；二是使用 SPCN 模型刻画交通信号相位之间的竞争关系，并学习受约束的相位修正；三是使用 TRANSYT 风格协调层处理相邻路口之间的到达波、相位偏移和走廊通行关系。协同策略通过门控机制限制学习模块的调整范围，并在动作异常、状态缺失或模型不确定时回退至规则控制。</w:t>
      </w:r>
    </w:p>
    <w:p w14:paraId="0807F902">
      <w:pPr>
        <w:spacing w:after="120" w:line="360" w:lineRule="auto"/>
        <w:ind w:firstLine="480"/>
        <w:rPr>
          <w:rFonts w:ascii="Times New Roman" w:hAnsi="Times New Roman" w:eastAsia="宋体"/>
          <w:b w:val="0"/>
          <w:sz w:val="24"/>
        </w:rPr>
      </w:pPr>
      <w:r>
        <w:rPr>
          <w:rFonts w:ascii="Times New Roman" w:hAnsi="Times New Roman" w:eastAsia="宋体" w:cs="Times New Roman"/>
          <w:b w:val="0"/>
          <w:sz w:val="24"/>
        </w:rPr>
        <w:t>因此，本项目的赛题定位为：</w:t>
      </w:r>
      <w:r>
        <w:rPr>
          <w:rFonts w:hint="eastAsia" w:ascii="Times New Roman" w:hAnsi="Times New Roman" w:eastAsia="宋体" w:cs="Times New Roman"/>
          <w:b w:val="0"/>
          <w:sz w:val="24"/>
        </w:rPr>
        <w:t>经典交通管控算法的场景适配、参数调优和性能评估是赛道 B 的硬性主线；SACF、SPCN 与 TRANSYT 风格协调机制的融合，是在完成硬性任务基础上的算法创新和工程化加分项。</w:t>
      </w:r>
    </w:p>
    <w:p w14:paraId="4D1B7DDD">
      <w:pPr>
        <w:pStyle w:val="3"/>
      </w:pPr>
      <w:bookmarkStart w:id="11" w:name="_Toc28930"/>
      <w:r>
        <w:rPr>
          <w:rFonts w:ascii="Times New Roman" w:hAnsi="Times New Roman" w:eastAsia="宋体"/>
          <w:b/>
          <w:color w:val="1F4E79"/>
          <w:sz w:val="32"/>
        </w:rPr>
        <w:t>2 总体架构与数据流</w:t>
      </w:r>
      <w:bookmarkEnd w:id="11"/>
    </w:p>
    <w:p w14:paraId="6FD27BF7">
      <w:pPr>
        <w:pStyle w:val="4"/>
        <w:rPr>
          <w:rFonts w:ascii="Times New Roman" w:hAnsi="Times New Roman" w:eastAsia="宋体"/>
          <w:b/>
          <w:color w:val="2F5597"/>
          <w:sz w:val="26"/>
        </w:rPr>
      </w:pPr>
      <w:bookmarkStart w:id="12" w:name="_Toc13910"/>
      <w:r>
        <w:rPr>
          <w:rFonts w:ascii="Times New Roman" w:hAnsi="Times New Roman" w:eastAsia="宋体"/>
          <w:b/>
          <w:color w:val="2F5597"/>
          <w:sz w:val="26"/>
        </w:rPr>
        <w:t>2.1 云—边—端混合决策落地机制</w:t>
      </w:r>
      <w:bookmarkEnd w:id="12"/>
    </w:p>
    <w:p w14:paraId="6F114481">
      <w:pPr>
        <w:spacing w:after="120" w:line="360" w:lineRule="auto"/>
        <w:ind w:firstLine="480"/>
      </w:pPr>
      <w:r>
        <w:rPr>
          <w:rFonts w:ascii="Times New Roman" w:hAnsi="Times New Roman" w:eastAsia="宋体" w:cs="Times New Roman"/>
          <w:b w:val="0"/>
          <w:sz w:val="24"/>
        </w:rPr>
        <w:t>为响应赛题中的混合决策与城市大脑需求，系统将控制功能映射到云、边、端三个可部署层级。端侧面向车辆、路侧感知设备和信号机，提供位置、速度、相位与设备状态；边侧面向单路口或路口群，完成观测压缩、局部相位决策和硬安全约束；云侧面向城市大脑，维护模型版本、汇聚跨路口指标、识别区域拥堵并下发协调建议。三层通过统一 Schema 交换数据，避免模型直接越过安全边界控制设备。</w:t>
      </w:r>
    </w:p>
    <w:p w14:paraId="43982DCE">
      <w:pPr>
        <w:spacing w:after="120" w:line="360" w:lineRule="auto"/>
        <w:ind w:firstLine="480"/>
      </w:pPr>
      <w:r>
        <w:rPr>
          <w:rFonts w:ascii="Times New Roman" w:hAnsi="Times New Roman" w:eastAsia="宋体" w:cs="Times New Roman"/>
          <w:b w:val="0"/>
          <w:sz w:val="24"/>
        </w:rPr>
        <w:t>在每个控制周期，端侧首先上报带时间戳的车道与车辆状态；边侧将其编码为稳定的观测向量，调用 C-MP、SACF 与 SPCN 产生候选动作，并执行最小绿灯、黄灯清空、相位范围和异常值校验；云侧不替代边侧实时控制，而是以较低频率输出走廊偏移、策略版本、拥堵告警和审计策略。该分工兼顾低时延、局部安全与全局协调。</w:t>
      </w:r>
    </w:p>
    <w:p w14:paraId="1290C4CF">
      <w:pPr>
        <w:jc w:val="center"/>
      </w:pPr>
      <w:r>
        <w:rPr>
          <w:rFonts w:ascii="Times New Roman" w:hAnsi="Times New Roman" w:eastAsia="宋体" w:cs="Times New Roman"/>
          <w:sz w:val="24"/>
        </w:rPr>
        <w:drawing>
          <wp:inline distT="0" distB="0" distL="114300" distR="114300">
            <wp:extent cx="4514850" cy="245808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7"/>
                    <a:stretch>
                      <a:fillRect/>
                    </a:stretch>
                  </pic:blipFill>
                  <pic:spPr>
                    <a:xfrm>
                      <a:off x="0" y="0"/>
                      <a:ext cx="4514850" cy="2458085"/>
                    </a:xfrm>
                    <a:prstGeom prst="rect">
                      <a:avLst/>
                    </a:prstGeom>
                  </pic:spPr>
                </pic:pic>
              </a:graphicData>
            </a:graphic>
          </wp:inline>
        </w:drawing>
      </w:r>
    </w:p>
    <w:p w14:paraId="36272FED">
      <w:pPr>
        <w:pStyle w:val="15"/>
        <w:jc w:val="center"/>
      </w:pPr>
      <w:r>
        <w:rPr>
          <w:rFonts w:ascii="Times New Roman" w:hAnsi="Times New Roman" w:eastAsia="宋体" w:cs="Times New Roman"/>
          <w:b/>
          <w:sz w:val="24"/>
        </w:rPr>
        <w:t>图2-1 云—边—端混合决策架构与数据闭环</w:t>
      </w:r>
    </w:p>
    <w:p w14:paraId="0F2591B4">
      <w:pPr>
        <w:spacing w:after="120" w:line="360" w:lineRule="auto"/>
        <w:ind w:firstLine="480"/>
      </w:pPr>
      <w:r>
        <w:rPr>
          <w:rFonts w:ascii="Times New Roman" w:hAnsi="Times New Roman" w:eastAsia="宋体" w:cs="Times New Roman"/>
          <w:sz w:val="24"/>
        </w:rPr>
        <w:t>系统采用数据平面与控制平面分离的思路。数据平面负责路网、车流、车辆位置和信号状态的采集与传输，控制平面负责算法注册、模型加载、动作约束和结果审计。两者通过版本化 Schema 连接，因而可以在不改动仿真主循环的情况下替换算法，也可以在不改变算法接口的情况下切换 SUMO 与 CityFlow。</w:t>
      </w:r>
    </w:p>
    <w:p w14:paraId="30C728A0">
      <w:pPr>
        <w:spacing w:after="120" w:line="360" w:lineRule="auto"/>
        <w:ind w:firstLine="480"/>
      </w:pPr>
      <w:r>
        <w:rPr>
          <w:rFonts w:ascii="Times New Roman" w:hAnsi="Times New Roman" w:eastAsia="宋体" w:cs="Times New Roman"/>
          <w:sz w:val="24"/>
        </w:rPr>
        <w:t>云侧聚合跨路口指标并维护模型版本，边侧执行低时延的状态压缩、压力计算和安全校验，端侧负责信号相位执行与车辆建议。该映射使平台既适合离线科研验证，也为后续接入路侧设备、边缘计算节点和城市级交通平台预留了清晰边界。</w:t>
      </w:r>
    </w:p>
    <w:p w14:paraId="4A6B2DB7">
      <w:pPr>
        <w:spacing w:after="120" w:line="360" w:lineRule="auto"/>
        <w:ind w:firstLine="480"/>
      </w:pPr>
      <w:r>
        <w:rPr>
          <w:rFonts w:ascii="Times New Roman" w:hAnsi="Times New Roman" w:eastAsia="宋体" w:cs="Times New Roman"/>
          <w:b w:val="0"/>
          <w:sz w:val="24"/>
        </w:rPr>
        <w:t>平台采用分层解耦架构：场景层保存 roadnet、flow、拓扑、信号方案和审计清单；引擎层屏蔽 SUMO/CityFlow 启动与步进；采集层将车道状态转换为固定维度观测；算法层通过注册表加载控制器；结果层保存轨迹、指标和离线仪表盘。端到端流程为“加载场景→采集状态→算法选相位→执行器映射→推进仿真→写入轨迹与指标”。</w:t>
      </w:r>
    </w:p>
    <w:p w14:paraId="3DF64F7F">
      <w:pPr>
        <w:spacing w:after="120" w:line="360" w:lineRule="auto"/>
        <w:ind w:firstLine="480"/>
      </w:pPr>
      <w:r>
        <w:rPr>
          <w:rFonts w:ascii="Times New Roman" w:hAnsi="Times New Roman" w:eastAsia="宋体" w:cs="Times New Roman"/>
          <w:b w:val="0"/>
          <w:sz w:val="24"/>
        </w:rPr>
        <w:t>在云—边—端映射上，云侧负责模型版本、跨路口全局指标和策略训练；边侧负责路口状态聚合、相位安全约束和低时延决策；端侧对应信号机、车辆与路侧感知设备，执行相位和速度建议。仿真平台以统一契约模拟三层之间的数据交换，因此既能验证算法效果，也能提前暴露通信延迟、状态缺失和动作越界等部署问题。</w:t>
      </w:r>
    </w:p>
    <w:p w14:paraId="72610850">
      <w:pPr>
        <w:pStyle w:val="15"/>
        <w:spacing w:after="120" w:line="360" w:lineRule="auto"/>
        <w:jc w:val="center"/>
      </w:pPr>
      <w:r>
        <w:rPr>
          <w:rFonts w:ascii="Times New Roman" w:hAnsi="Times New Roman" w:eastAsia="宋体" w:cs="Times New Roman"/>
          <w:b w:val="0"/>
          <w:sz w:val="24"/>
        </w:rPr>
        <w:t>表2-1 平台分层与模块边界</w:t>
      </w:r>
    </w:p>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76"/>
        <w:gridCol w:w="3504"/>
        <w:gridCol w:w="2595"/>
        <w:gridCol w:w="2455"/>
      </w:tblGrid>
      <w:tr w14:paraId="0C9296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76"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1E4AFF0">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层次</w:t>
            </w:r>
          </w:p>
        </w:tc>
        <w:tc>
          <w:tcPr>
            <w:tcW w:w="3504"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1BA9FB8">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模块</w:t>
            </w:r>
          </w:p>
        </w:tc>
        <w:tc>
          <w:tcPr>
            <w:tcW w:w="2595"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44254EF">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输入→输出</w:t>
            </w:r>
          </w:p>
        </w:tc>
        <w:tc>
          <w:tcPr>
            <w:tcW w:w="2455"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42DA00F">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约束</w:t>
            </w:r>
          </w:p>
        </w:tc>
      </w:tr>
      <w:tr w14:paraId="02D9F5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6" w:type="dxa"/>
            <w:tcBorders>
              <w:top w:val="single" w:color="auto" w:sz="4" w:space="0"/>
              <w:left w:val="nil"/>
              <w:bottom w:val="nil"/>
              <w:right w:val="nil"/>
            </w:tcBorders>
            <w:noWrap w:val="0"/>
            <w:tcMar>
              <w:top w:w="-1" w:type="dxa"/>
              <w:left w:w="-1" w:type="dxa"/>
              <w:bottom w:w="-1" w:type="dxa"/>
              <w:right w:w="-1" w:type="dxa"/>
            </w:tcMar>
            <w:vAlign w:val="center"/>
          </w:tcPr>
          <w:p w14:paraId="4E5D7A8A">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场景层</w:t>
            </w:r>
          </w:p>
        </w:tc>
        <w:tc>
          <w:tcPr>
            <w:tcW w:w="3504" w:type="dxa"/>
            <w:tcBorders>
              <w:top w:val="single" w:color="auto" w:sz="4" w:space="0"/>
              <w:left w:val="nil"/>
              <w:bottom w:val="nil"/>
              <w:right w:val="nil"/>
            </w:tcBorders>
            <w:noWrap w:val="0"/>
            <w:tcMar>
              <w:top w:w="-1" w:type="dxa"/>
              <w:left w:w="-1" w:type="dxa"/>
              <w:bottom w:w="-1" w:type="dxa"/>
              <w:right w:w="-1" w:type="dxa"/>
            </w:tcMar>
            <w:vAlign w:val="center"/>
          </w:tcPr>
          <w:p w14:paraId="4A25D9B2">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OSMnx/netconvert、CityFlow 数据</w:t>
            </w:r>
          </w:p>
        </w:tc>
        <w:tc>
          <w:tcPr>
            <w:tcW w:w="2595" w:type="dxa"/>
            <w:tcBorders>
              <w:top w:val="single" w:color="auto" w:sz="4" w:space="0"/>
              <w:left w:val="nil"/>
              <w:bottom w:val="nil"/>
              <w:right w:val="nil"/>
            </w:tcBorders>
            <w:noWrap w:val="0"/>
            <w:tcMar>
              <w:top w:w="-1" w:type="dxa"/>
              <w:left w:w="-1" w:type="dxa"/>
              <w:bottom w:w="-1" w:type="dxa"/>
              <w:right w:w="-1" w:type="dxa"/>
            </w:tcMar>
            <w:vAlign w:val="center"/>
          </w:tcPr>
          <w:p w14:paraId="48E995E5">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坐标/roadnet/flow→配置</w:t>
            </w:r>
          </w:p>
        </w:tc>
        <w:tc>
          <w:tcPr>
            <w:tcW w:w="2455" w:type="dxa"/>
            <w:tcBorders>
              <w:top w:val="single" w:color="auto" w:sz="4" w:space="0"/>
              <w:left w:val="nil"/>
              <w:bottom w:val="nil"/>
              <w:right w:val="nil"/>
            </w:tcBorders>
            <w:noWrap w:val="0"/>
            <w:tcMar>
              <w:top w:w="-1" w:type="dxa"/>
              <w:left w:w="-1" w:type="dxa"/>
              <w:bottom w:w="-1" w:type="dxa"/>
              <w:right w:w="-1" w:type="dxa"/>
            </w:tcMar>
            <w:vAlign w:val="center"/>
          </w:tcPr>
          <w:p w14:paraId="3CEAF35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来源可审计</w:t>
            </w:r>
          </w:p>
        </w:tc>
      </w:tr>
      <w:tr w14:paraId="0B0FC12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6" w:type="dxa"/>
            <w:tcBorders>
              <w:top w:val="nil"/>
              <w:left w:val="nil"/>
              <w:bottom w:val="nil"/>
              <w:right w:val="nil"/>
            </w:tcBorders>
            <w:noWrap w:val="0"/>
            <w:tcMar>
              <w:top w:w="-1" w:type="dxa"/>
              <w:left w:w="-1" w:type="dxa"/>
              <w:bottom w:w="-1" w:type="dxa"/>
              <w:right w:w="-1" w:type="dxa"/>
            </w:tcMar>
            <w:vAlign w:val="center"/>
          </w:tcPr>
          <w:p w14:paraId="07D9E76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引擎层</w:t>
            </w:r>
          </w:p>
        </w:tc>
        <w:tc>
          <w:tcPr>
            <w:tcW w:w="3504" w:type="dxa"/>
            <w:tcBorders>
              <w:top w:val="nil"/>
              <w:left w:val="nil"/>
              <w:bottom w:val="nil"/>
              <w:right w:val="nil"/>
            </w:tcBorders>
            <w:noWrap w:val="0"/>
            <w:tcMar>
              <w:top w:w="-1" w:type="dxa"/>
              <w:left w:w="-1" w:type="dxa"/>
              <w:bottom w:w="-1" w:type="dxa"/>
              <w:right w:w="-1" w:type="dxa"/>
            </w:tcMar>
            <w:vAlign w:val="center"/>
          </w:tcPr>
          <w:p w14:paraId="659834DC">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TraCI/CityFlow runner</w:t>
            </w:r>
          </w:p>
        </w:tc>
        <w:tc>
          <w:tcPr>
            <w:tcW w:w="2595" w:type="dxa"/>
            <w:tcBorders>
              <w:top w:val="nil"/>
              <w:left w:val="nil"/>
              <w:bottom w:val="nil"/>
              <w:right w:val="nil"/>
            </w:tcBorders>
            <w:noWrap w:val="0"/>
            <w:tcMar>
              <w:top w:w="-1" w:type="dxa"/>
              <w:left w:w="-1" w:type="dxa"/>
              <w:bottom w:w="-1" w:type="dxa"/>
              <w:right w:w="-1" w:type="dxa"/>
            </w:tcMar>
            <w:vAlign w:val="center"/>
          </w:tcPr>
          <w:p w14:paraId="73CEB325">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配置/算法→状态</w:t>
            </w:r>
          </w:p>
        </w:tc>
        <w:tc>
          <w:tcPr>
            <w:tcW w:w="2455" w:type="dxa"/>
            <w:tcBorders>
              <w:top w:val="nil"/>
              <w:left w:val="nil"/>
              <w:bottom w:val="nil"/>
              <w:right w:val="nil"/>
            </w:tcBorders>
            <w:noWrap w:val="0"/>
            <w:tcMar>
              <w:top w:w="-1" w:type="dxa"/>
              <w:left w:w="-1" w:type="dxa"/>
              <w:bottom w:w="-1" w:type="dxa"/>
              <w:right w:w="-1" w:type="dxa"/>
            </w:tcMar>
            <w:vAlign w:val="center"/>
          </w:tcPr>
          <w:p w14:paraId="43206E56">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缺依赖明确报错</w:t>
            </w:r>
          </w:p>
        </w:tc>
      </w:tr>
      <w:tr w14:paraId="7039490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6" w:type="dxa"/>
            <w:tcBorders>
              <w:top w:val="nil"/>
              <w:left w:val="nil"/>
              <w:bottom w:val="nil"/>
              <w:right w:val="nil"/>
            </w:tcBorders>
            <w:noWrap w:val="0"/>
            <w:tcMar>
              <w:top w:w="-1" w:type="dxa"/>
              <w:left w:w="-1" w:type="dxa"/>
              <w:bottom w:w="-1" w:type="dxa"/>
              <w:right w:w="-1" w:type="dxa"/>
            </w:tcMar>
            <w:vAlign w:val="center"/>
          </w:tcPr>
          <w:p w14:paraId="1FAFF6FA">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采集层</w:t>
            </w:r>
          </w:p>
        </w:tc>
        <w:tc>
          <w:tcPr>
            <w:tcW w:w="3504" w:type="dxa"/>
            <w:tcBorders>
              <w:top w:val="nil"/>
              <w:left w:val="nil"/>
              <w:bottom w:val="nil"/>
              <w:right w:val="nil"/>
            </w:tcBorders>
            <w:noWrap w:val="0"/>
            <w:tcMar>
              <w:top w:w="-1" w:type="dxa"/>
              <w:left w:w="-1" w:type="dxa"/>
              <w:bottom w:w="-1" w:type="dxa"/>
              <w:right w:w="-1" w:type="dxa"/>
            </w:tcMar>
            <w:vAlign w:val="center"/>
          </w:tcPr>
          <w:p w14:paraId="5EF9D16A">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collect_state</w:t>
            </w:r>
          </w:p>
        </w:tc>
        <w:tc>
          <w:tcPr>
            <w:tcW w:w="2595" w:type="dxa"/>
            <w:tcBorders>
              <w:top w:val="nil"/>
              <w:left w:val="nil"/>
              <w:bottom w:val="nil"/>
              <w:right w:val="nil"/>
            </w:tcBorders>
            <w:noWrap w:val="0"/>
            <w:tcMar>
              <w:top w:w="-1" w:type="dxa"/>
              <w:left w:w="-1" w:type="dxa"/>
              <w:bottom w:w="-1" w:type="dxa"/>
              <w:right w:w="-1" w:type="dxa"/>
            </w:tcMar>
            <w:vAlign w:val="center"/>
          </w:tcPr>
          <w:p w14:paraId="3409F0AB">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车道状态→[N,12]/[N,20]</w:t>
            </w:r>
          </w:p>
        </w:tc>
        <w:tc>
          <w:tcPr>
            <w:tcW w:w="2455" w:type="dxa"/>
            <w:tcBorders>
              <w:top w:val="nil"/>
              <w:left w:val="nil"/>
              <w:bottom w:val="nil"/>
              <w:right w:val="nil"/>
            </w:tcBorders>
            <w:noWrap w:val="0"/>
            <w:tcMar>
              <w:top w:w="-1" w:type="dxa"/>
              <w:left w:w="-1" w:type="dxa"/>
              <w:bottom w:w="-1" w:type="dxa"/>
              <w:right w:w="-1" w:type="dxa"/>
            </w:tcMar>
            <w:vAlign w:val="center"/>
          </w:tcPr>
          <w:p w14:paraId="00064AA4">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固定顺序、有限值</w:t>
            </w:r>
          </w:p>
        </w:tc>
      </w:tr>
      <w:tr w14:paraId="2BCDE7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6" w:type="dxa"/>
            <w:tcBorders>
              <w:top w:val="nil"/>
              <w:left w:val="nil"/>
              <w:bottom w:val="nil"/>
              <w:right w:val="nil"/>
            </w:tcBorders>
            <w:noWrap w:val="0"/>
            <w:tcMar>
              <w:top w:w="-1" w:type="dxa"/>
              <w:left w:w="-1" w:type="dxa"/>
              <w:bottom w:w="-1" w:type="dxa"/>
              <w:right w:w="-1" w:type="dxa"/>
            </w:tcMar>
            <w:vAlign w:val="center"/>
          </w:tcPr>
          <w:p w14:paraId="6902560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算法层</w:t>
            </w:r>
          </w:p>
        </w:tc>
        <w:tc>
          <w:tcPr>
            <w:tcW w:w="3504" w:type="dxa"/>
            <w:tcBorders>
              <w:top w:val="nil"/>
              <w:left w:val="nil"/>
              <w:bottom w:val="nil"/>
              <w:right w:val="nil"/>
            </w:tcBorders>
            <w:noWrap w:val="0"/>
            <w:tcMar>
              <w:top w:w="-1" w:type="dxa"/>
              <w:left w:w="-1" w:type="dxa"/>
              <w:bottom w:w="-1" w:type="dxa"/>
              <w:right w:w="-1" w:type="dxa"/>
            </w:tcMar>
            <w:vAlign w:val="center"/>
          </w:tcPr>
          <w:p w14:paraId="726D9B23">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SignalAlgorithm、SACF、SPCN</w:t>
            </w:r>
          </w:p>
        </w:tc>
        <w:tc>
          <w:tcPr>
            <w:tcW w:w="2595" w:type="dxa"/>
            <w:tcBorders>
              <w:top w:val="nil"/>
              <w:left w:val="nil"/>
              <w:bottom w:val="nil"/>
              <w:right w:val="nil"/>
            </w:tcBorders>
            <w:noWrap w:val="0"/>
            <w:tcMar>
              <w:top w:w="-1" w:type="dxa"/>
              <w:left w:w="-1" w:type="dxa"/>
              <w:bottom w:w="-1" w:type="dxa"/>
              <w:right w:w="-1" w:type="dxa"/>
            </w:tcMar>
            <w:vAlign w:val="center"/>
          </w:tcPr>
          <w:p w14:paraId="17FBE84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状态→[N]动作</w:t>
            </w:r>
          </w:p>
        </w:tc>
        <w:tc>
          <w:tcPr>
            <w:tcW w:w="2455" w:type="dxa"/>
            <w:tcBorders>
              <w:top w:val="nil"/>
              <w:left w:val="nil"/>
              <w:bottom w:val="nil"/>
              <w:right w:val="nil"/>
            </w:tcBorders>
            <w:noWrap w:val="0"/>
            <w:tcMar>
              <w:top w:w="-1" w:type="dxa"/>
              <w:left w:w="-1" w:type="dxa"/>
              <w:bottom w:w="-1" w:type="dxa"/>
              <w:right w:w="-1" w:type="dxa"/>
            </w:tcMar>
            <w:vAlign w:val="center"/>
          </w:tcPr>
          <w:p w14:paraId="421324B3">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0..7，越界拒绝</w:t>
            </w:r>
          </w:p>
        </w:tc>
      </w:tr>
      <w:tr w14:paraId="636EA5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76" w:type="dxa"/>
            <w:tcBorders>
              <w:top w:val="nil"/>
              <w:left w:val="nil"/>
              <w:bottom w:val="single" w:color="auto" w:sz="12" w:space="0"/>
              <w:right w:val="nil"/>
            </w:tcBorders>
            <w:noWrap w:val="0"/>
            <w:tcMar>
              <w:top w:w="-1" w:type="dxa"/>
              <w:left w:w="-1" w:type="dxa"/>
              <w:bottom w:w="-1" w:type="dxa"/>
              <w:right w:w="-1" w:type="dxa"/>
            </w:tcMar>
            <w:vAlign w:val="center"/>
          </w:tcPr>
          <w:p w14:paraId="2ED51105">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结果层</w:t>
            </w:r>
          </w:p>
        </w:tc>
        <w:tc>
          <w:tcPr>
            <w:tcW w:w="3504" w:type="dxa"/>
            <w:tcBorders>
              <w:top w:val="nil"/>
              <w:left w:val="nil"/>
              <w:bottom w:val="single" w:color="auto" w:sz="12" w:space="0"/>
              <w:right w:val="nil"/>
            </w:tcBorders>
            <w:noWrap w:val="0"/>
            <w:tcMar>
              <w:top w:w="-1" w:type="dxa"/>
              <w:left w:w="-1" w:type="dxa"/>
              <w:bottom w:w="-1" w:type="dxa"/>
              <w:right w:w="-1" w:type="dxa"/>
            </w:tcMar>
            <w:vAlign w:val="center"/>
          </w:tcPr>
          <w:p w14:paraId="10BF6CCA">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metrics、trace、Dashboard</w:t>
            </w:r>
          </w:p>
        </w:tc>
        <w:tc>
          <w:tcPr>
            <w:tcW w:w="2595" w:type="dxa"/>
            <w:tcBorders>
              <w:top w:val="nil"/>
              <w:left w:val="nil"/>
              <w:bottom w:val="single" w:color="auto" w:sz="12" w:space="0"/>
              <w:right w:val="nil"/>
            </w:tcBorders>
            <w:noWrap w:val="0"/>
            <w:tcMar>
              <w:top w:w="-1" w:type="dxa"/>
              <w:left w:w="-1" w:type="dxa"/>
              <w:bottom w:w="-1" w:type="dxa"/>
              <w:right w:w="-1" w:type="dxa"/>
            </w:tcMar>
            <w:vAlign w:val="center"/>
          </w:tcPr>
          <w:p w14:paraId="24E01B7D">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轨迹→指标/可视化</w:t>
            </w:r>
          </w:p>
        </w:tc>
        <w:tc>
          <w:tcPr>
            <w:tcW w:w="2455" w:type="dxa"/>
            <w:tcBorders>
              <w:top w:val="nil"/>
              <w:left w:val="nil"/>
              <w:bottom w:val="single" w:color="auto" w:sz="12" w:space="0"/>
              <w:right w:val="nil"/>
            </w:tcBorders>
            <w:noWrap w:val="0"/>
            <w:tcMar>
              <w:top w:w="-1" w:type="dxa"/>
              <w:left w:w="-1" w:type="dxa"/>
              <w:bottom w:w="-1" w:type="dxa"/>
              <w:right w:w="-1" w:type="dxa"/>
            </w:tcMar>
            <w:vAlign w:val="center"/>
          </w:tcPr>
          <w:p w14:paraId="6D363790">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仅完整运行写 complete</w:t>
            </w:r>
          </w:p>
        </w:tc>
      </w:tr>
    </w:tbl>
    <w:p w14:paraId="6014DFEF">
      <w:pPr>
        <w:spacing w:after="120" w:line="360" w:lineRule="auto"/>
      </w:pPr>
    </w:p>
    <w:p w14:paraId="55E802F9">
      <w:pPr>
        <w:pStyle w:val="3"/>
      </w:pPr>
      <w:bookmarkStart w:id="13" w:name="_Toc31716"/>
      <w:bookmarkStart w:id="14" w:name="bmk_953441"/>
      <w:r>
        <w:rPr>
          <w:rFonts w:ascii="Times New Roman" w:hAnsi="Times New Roman" w:eastAsia="宋体"/>
          <w:b/>
          <w:color w:val="1F4E79"/>
          <w:sz w:val="32"/>
        </w:rPr>
        <w:t>3 功能一：智能交通协同管控算法的抽象设计与建模</w:t>
      </w:r>
      <w:bookmarkEnd w:id="13"/>
      <w:bookmarkEnd w:id="14"/>
    </w:p>
    <w:p w14:paraId="1142A401">
      <w:r>
        <w:t>功能一包含三个任务，目标是完成从典型场景抽象、交通控制逻辑验证到智能决策模型研究的完整算法设计链路。我们按照《项目概述》和原赛题的任务划分组织如下。</w:t>
      </w:r>
    </w:p>
    <w:p w14:paraId="04F21B34">
      <w:pPr>
        <w:pStyle w:val="4"/>
        <w:rPr>
          <w:rFonts w:ascii="Times New Roman" w:hAnsi="Times New Roman" w:eastAsia="宋体"/>
          <w:b/>
          <w:color w:val="2F5597"/>
          <w:sz w:val="26"/>
        </w:rPr>
      </w:pPr>
      <w:bookmarkStart w:id="15" w:name="_Toc9480"/>
      <w:r>
        <w:rPr>
          <w:rFonts w:hint="eastAsia" w:ascii="Times New Roman" w:hAnsi="Times New Roman" w:eastAsia="宋体"/>
          <w:b/>
          <w:color w:val="2F5597"/>
          <w:sz w:val="26"/>
          <w:lang w:val="en-US" w:eastAsia="zh-CN"/>
        </w:rPr>
        <w:t>3.1</w:t>
      </w:r>
      <w:r>
        <w:rPr>
          <w:rFonts w:ascii="Times New Roman" w:hAnsi="Times New Roman" w:eastAsia="宋体"/>
          <w:b/>
          <w:color w:val="2F5597"/>
          <w:sz w:val="26"/>
        </w:rPr>
        <w:t>任务一：场景建模与数据接口设计</w:t>
      </w:r>
      <w:bookmarkEnd w:id="15"/>
    </w:p>
    <w:p w14:paraId="17BB9C4B">
      <w:r>
        <w:t>我们围绕典型路口和雄安新区交通场景梳理车辆、路侧设备、信号机与云端平台之间的数据流向，完成 OSM 数据获取、SUMO 路网转换和仿真会话接口设计。接口明确输入的车辆位置、车道需求、排队状态、当前信号相位和时间信息，以及输出的信号相位、持续时间和控制动作。通过 JSON Schema、接口示例和错误处理机制，保证场景数据和算法调用过程可校验、可追踪、可复现。</w:t>
      </w:r>
    </w:p>
    <w:p w14:paraId="0616B699">
      <w:pPr>
        <w:pStyle w:val="4"/>
        <w:rPr>
          <w:rFonts w:hint="eastAsia" w:ascii="Times New Roman" w:hAnsi="Times New Roman" w:eastAsia="宋体"/>
          <w:b/>
          <w:color w:val="2F5597"/>
          <w:sz w:val="26"/>
          <w:lang w:val="en-US" w:eastAsia="zh-CN"/>
        </w:rPr>
      </w:pPr>
      <w:bookmarkStart w:id="16" w:name="_Toc19685"/>
      <w:r>
        <w:rPr>
          <w:rFonts w:hint="eastAsia" w:ascii="Times New Roman" w:hAnsi="Times New Roman" w:eastAsia="宋体"/>
          <w:b/>
          <w:color w:val="2F5597"/>
          <w:sz w:val="26"/>
          <w:lang w:val="en-US" w:eastAsia="zh-CN"/>
        </w:rPr>
        <w:t>3.2任务二：算法逻辑设计与可视化仿真</w:t>
      </w:r>
      <w:bookmarkEnd w:id="16"/>
    </w:p>
    <w:p w14:paraId="71D7A385">
      <w:r>
        <w:t>我们选择交通信号控制策略，在仿真环境中实现控制器核心逻辑，并通过可视化界面观察信号动作、车辆状态和队列变化。实验至少设置固定配时基线，使用相同场景、相同交通流和相同仿真时长进行对比，输出平均速度、平均旅行时间、排队长度和吞吐率等基础性能图表。该任务验证交通控制逻辑能够真正进入仿真主循环，而不是只生成离线指标。</w:t>
      </w:r>
    </w:p>
    <w:p w14:paraId="1DCAACC2">
      <w:pPr>
        <w:pStyle w:val="4"/>
        <w:rPr>
          <w:rFonts w:hint="eastAsia" w:ascii="Times New Roman" w:hAnsi="Times New Roman" w:eastAsia="宋体"/>
          <w:b/>
          <w:color w:val="2F5597"/>
          <w:sz w:val="26"/>
          <w:lang w:val="en-US" w:eastAsia="zh-CN"/>
        </w:rPr>
      </w:pPr>
      <w:bookmarkStart w:id="17" w:name="_Toc31069"/>
      <w:r>
        <w:rPr>
          <w:rFonts w:hint="eastAsia" w:ascii="Times New Roman" w:hAnsi="Times New Roman" w:eastAsia="宋体"/>
          <w:b/>
          <w:color w:val="2F5597"/>
          <w:sz w:val="26"/>
          <w:lang w:val="en-US" w:eastAsia="zh-CN"/>
        </w:rPr>
        <w:t>3.3任务三：智能交通决策模型研究与设计</w:t>
      </w:r>
      <w:bookmarkEnd w:id="17"/>
    </w:p>
    <w:p w14:paraId="0A68C592">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我们针对多路口协同控制和拥堵疏散问题，研究轻量化智能决策模型。项目采用 SACF 迁移框架，并在 CityFlow 的 1×3 走廊场景中嵌入 C-MP 压力控制先验，完成模型流程设计、训练或推理代码、模型加载和仿真验证。模型输出与传统方法进行对比，用于说明规则控制与学习决策结合的潜在优势。该任务属于功能一的智能模型研究，不等同于功能三赛道 B 的经典算法硬性任务。</w:t>
      </w:r>
    </w:p>
    <w:p w14:paraId="309C7B30">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功能一的验收证据包括 OSM/SUMO 场景生成代码、接口服务和 Schema、控制器及可视化脚本、模型配置与权重、运行截图或录屏以及基础性能对比数据。</w:t>
      </w:r>
    </w:p>
    <w:p w14:paraId="179381B2">
      <w:pPr>
        <w:spacing w:after="120" w:line="360" w:lineRule="auto"/>
        <w:ind w:firstLine="480"/>
      </w:pPr>
      <w:r>
        <w:rPr>
          <w:rFonts w:ascii="Times New Roman" w:hAnsi="Times New Roman" w:eastAsia="宋体" w:cs="Times New Roman"/>
          <w:sz w:val="24"/>
        </w:rPr>
        <w:t>OSM/SUMO 链路解决的是“从地图到可运行仿真”的问题。服务将坐标、半径和持续时间转化为标准路网与路线文件，并保留配置文件对输入文件的引用关系。接口错误、外部依赖缺失或会话状态异常时返回可诊断信息，而不是生成看似成功但无法复现的结果。</w:t>
      </w:r>
    </w:p>
    <w:p w14:paraId="7483E032">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观测接口采用统一字段字典，时间、路口、相位、排队、车辆数、速度和占有率均定义单位与范围。动作接口要求执行“状态—动作—步进”顺序，保证每一次控制决策都可以在轨迹中找到对应的输入、输出和仿真时间。</w:t>
      </w:r>
    </w:p>
    <w:p w14:paraId="58C76AFC">
      <w:pPr>
        <w:jc w:val="center"/>
      </w:pPr>
      <w:r>
        <w:rPr>
          <w:rFonts w:ascii="Times New Roman" w:hAnsi="Times New Roman" w:eastAsia="宋体" w:cs="Times New Roman"/>
          <w:sz w:val="24"/>
        </w:rPr>
        <w:drawing>
          <wp:inline distT="0" distB="0" distL="114300" distR="114300">
            <wp:extent cx="4029710" cy="2279650"/>
            <wp:effectExtent l="0" t="0" r="8890" b="635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8"/>
                    <a:stretch>
                      <a:fillRect/>
                    </a:stretch>
                  </pic:blipFill>
                  <pic:spPr>
                    <a:xfrm>
                      <a:off x="0" y="0"/>
                      <a:ext cx="4029710" cy="2279650"/>
                    </a:xfrm>
                    <a:prstGeom prst="rect">
                      <a:avLst/>
                    </a:prstGeom>
                  </pic:spPr>
                </pic:pic>
              </a:graphicData>
            </a:graphic>
          </wp:inline>
        </w:drawing>
      </w:r>
    </w:p>
    <w:p w14:paraId="7BF633E9">
      <w:pPr>
        <w:pStyle w:val="15"/>
        <w:spacing w:after="120" w:line="360" w:lineRule="auto"/>
        <w:jc w:val="center"/>
      </w:pPr>
      <w:r>
        <w:rPr>
          <w:rFonts w:ascii="Times New Roman" w:hAnsi="Times New Roman" w:eastAsia="宋体" w:cs="Times New Roman"/>
          <w:b w:val="0"/>
          <w:sz w:val="24"/>
        </w:rPr>
        <w:t>图</w:t>
      </w:r>
      <w:r>
        <w:rPr>
          <w:rFonts w:hint="eastAsia" w:ascii="Times New Roman" w:hAnsi="Times New Roman" w:cs="Times New Roman"/>
          <w:b w:val="0"/>
          <w:sz w:val="24"/>
          <w:lang w:val="en-US" w:eastAsia="zh-CN"/>
        </w:rPr>
        <w:t>3</w:t>
      </w:r>
      <w:r>
        <w:rPr>
          <w:rFonts w:ascii="Times New Roman" w:hAnsi="Times New Roman" w:eastAsia="宋体" w:cs="Times New Roman"/>
          <w:b w:val="0"/>
          <w:sz w:val="24"/>
        </w:rPr>
        <w:t>-</w:t>
      </w:r>
      <w:r>
        <w:rPr>
          <w:rFonts w:hint="eastAsia" w:ascii="Times New Roman" w:hAnsi="Times New Roman" w:cs="Times New Roman"/>
          <w:b w:val="0"/>
          <w:sz w:val="24"/>
          <w:lang w:val="en-US" w:eastAsia="zh-CN"/>
        </w:rPr>
        <w:t>1</w:t>
      </w:r>
      <w:r>
        <w:rPr>
          <w:rFonts w:ascii="Times New Roman" w:hAnsi="Times New Roman" w:eastAsia="宋体" w:cs="Times New Roman"/>
          <w:b w:val="0"/>
          <w:sz w:val="24"/>
        </w:rPr>
        <w:t xml:space="preserve"> C-MP 上下游车队权重与最大压力决策流程</w:t>
      </w:r>
    </w:p>
    <w:p w14:paraId="5187E752">
      <w:pPr>
        <w:spacing w:after="120" w:line="360" w:lineRule="auto"/>
        <w:ind w:firstLine="480"/>
      </w:pPr>
      <w:r>
        <w:rPr>
          <w:rFonts w:ascii="Times New Roman" w:hAnsi="Times New Roman" w:eastAsia="宋体" w:cs="Times New Roman"/>
          <w:sz w:val="24"/>
        </w:rPr>
        <w:t>C-MP 在最大压力基础上加入车队识别和权重调节，使控制器能够区分“上游有车但下游无空间”和“上下游均具备通行条件”两类状态，从而降低盲目放行造成的溢出风险。</w:t>
      </w:r>
    </w:p>
    <w:p w14:paraId="0D6E5C32">
      <w:pPr>
        <w:spacing w:before="80" w:after="160"/>
        <w:jc w:val="center"/>
      </w:pPr>
      <m:oMathPara>
        <m:oMath>
          <m:r>
            <m:rPr/>
            <m:t>P(a) =</m:t>
          </m:r>
          <m:sSub>
            <m:sSubPr/>
            <m:e>
              <m:r>
                <m:rPr/>
                <m:t>Σ</m:t>
              </m:r>
            </m:e>
            <m:sub>
              <m:r>
                <m:rPr/>
                <m:t>(l,m)∈L(a)</m:t>
              </m:r>
            </m:sub>
          </m:sSub>
          <m:r>
            <m:rPr/>
            <m:t>(</m:t>
          </m:r>
          <m:sSub>
            <m:sSubPr/>
            <m:e>
              <m:r>
                <m:rPr/>
                <m:t>q</m:t>
              </m:r>
            </m:e>
            <m:sub>
              <m:r>
                <m:rPr/>
                <m:t>l</m:t>
              </m:r>
            </m:sub>
          </m:sSub>
          <m:r>
            <m:rPr/>
            <m:t>−</m:t>
          </m:r>
          <m:sSub>
            <m:sSubPr/>
            <m:e>
              <m:r>
                <m:rPr/>
                <m:t>q</m:t>
              </m:r>
            </m:e>
            <m:sub>
              <m:r>
                <m:rPr/>
                <m:t>m</m:t>
              </m:r>
            </m:sub>
          </m:sSub>
          <m:r>
            <m:rPr/>
            <m:t>)</m:t>
          </m:r>
          <m:sSub>
            <m:sSubPr/>
            <m:e>
              <m:r>
                <m:rPr/>
                <m:t>s</m:t>
              </m:r>
            </m:e>
            <m:sub>
              <m:r>
                <m:rPr/>
                <m:t>l</m:t>
              </m:r>
            </m:sub>
          </m:sSub>
        </m:oMath>
      </m:oMathPara>
    </w:p>
    <w:p w14:paraId="19EF693A">
      <w:pPr>
        <w:spacing w:before="80" w:after="160"/>
        <w:jc w:val="center"/>
      </w:pPr>
      <m:oMathPara>
        <m:oMath>
          <m:sSub>
            <m:sSubPr/>
            <m:e>
              <m:r>
                <m:rPr/>
                <m:t>Q</m:t>
              </m:r>
            </m:e>
            <m:sub>
              <m:r>
                <m:rPr/>
                <m:t>final</m:t>
              </m:r>
            </m:sub>
          </m:sSub>
          <m:r>
            <m:rPr/>
            <m:t>(i,a) =</m:t>
          </m:r>
          <m:sSub>
            <m:sSubPr/>
            <m:e>
              <m:r>
                <m:rPr/>
                <m:t>Q</m:t>
              </m:r>
            </m:e>
            <m:sub>
              <m:r>
                <m:rPr/>
                <m:t>SACF</m:t>
              </m:r>
            </m:sub>
          </m:sSub>
          <m:r>
            <m:rPr/>
            <m:t>(i,a) + w</m:t>
          </m:r>
          <m:sSub>
            <m:sSubPr/>
            <m:e>
              <m:r>
                <m:rPr/>
                <m:t>s</m:t>
              </m:r>
            </m:e>
            <m:sub>
              <m:r>
                <m:rPr/>
                <m:t>i</m:t>
              </m:r>
            </m:sub>
          </m:sSub>
          <m:sSub>
            <m:sSubPr/>
            <m:e>
              <m:r>
                <m:rPr/>
                <m:t>Q</m:t>
              </m:r>
            </m:e>
            <m:sub>
              <m:r>
                <m:rPr/>
                <m:t>SPCN</m:t>
              </m:r>
            </m:sub>
          </m:sSub>
          <m:r>
            <m:rPr/>
            <m:t>(i,a),  w</m:t>
          </m:r>
          <m:sSub>
            <m:sSubPr/>
            <m:e>
              <m:r>
                <m:rPr/>
                <m:t>s</m:t>
              </m:r>
            </m:e>
            <m:sub>
              <m:r>
                <m:rPr/>
                <m:t>i</m:t>
              </m:r>
            </m:sub>
          </m:sSub>
          <m:r>
            <m:rPr/>
            <m:t>=</m:t>
          </m:r>
          <m:sSub>
            <m:sSubPr/>
            <m:e>
              <m:r>
                <m:rPr/>
                <m:t>w</m:t>
              </m:r>
            </m:e>
            <m:sub>
              <m:r>
                <m:rPr/>
                <m:t>max</m:t>
              </m:r>
            </m:sub>
          </m:sSub>
          <m:r>
            <m:rPr/>
            <m:t>σ(gθ(</m:t>
          </m:r>
          <m:sSub>
            <m:sSubPr/>
            <m:e>
              <m:r>
                <m:rPr/>
                <m:t>s</m:t>
              </m:r>
            </m:e>
            <m:sub>
              <m:r>
                <m:rPr/>
                <m:t>i</m:t>
              </m:r>
            </m:sub>
          </m:sSub>
          <m:r>
            <m:rPr/>
            <m:t>))</m:t>
          </m:r>
        </m:oMath>
      </m:oMathPara>
    </w:p>
    <w:p w14:paraId="4F70604F">
      <w:pPr>
        <w:spacing w:before="80" w:after="160"/>
        <w:jc w:val="center"/>
      </w:pPr>
      <m:oMathPara>
        <m:oMath>
          <m:sSub>
            <m:sSubPr/>
            <m:e>
              <m:r>
                <m:rPr/>
                <m:t>S</m:t>
              </m:r>
            </m:e>
            <m:sub>
              <m:r>
                <m:rPr/>
                <m:t>i</m:t>
              </m:r>
            </m:sub>
          </m:sSub>
          <m:r>
            <m:rPr/>
            <m:t>(a) = 1.00</m:t>
          </m:r>
          <m:sSub>
            <m:sSubPr/>
            <m:e>
              <m:r>
                <m:rPr/>
                <m:t>P</m:t>
              </m:r>
            </m:e>
            <m:sub>
              <m:r>
                <m:rPr/>
                <m:t>i</m:t>
              </m:r>
            </m:sub>
          </m:sSub>
          <m:r>
            <m:rPr/>
            <m:t>(a) + 0.08</m:t>
          </m:r>
          <m:sSub>
            <m:sSubPr/>
            <m:e>
              <m:r>
                <m:rPr/>
                <m:t>F</m:t>
              </m:r>
            </m:e>
            <m:sub>
              <m:r>
                <m:rPr/>
                <m:t>i</m:t>
              </m:r>
            </m:sub>
          </m:sSub>
          <m:r>
            <m:rPr/>
            <m:t>(a),  Δ</m:t>
          </m:r>
          <m:sSub>
            <m:sSubPr/>
            <m:e>
              <m:r>
                <m:rPr/>
                <m:t>P</m:t>
              </m:r>
            </m:e>
            <m:sub>
              <m:r>
                <m:rPr/>
                <m:t>i</m:t>
              </m:r>
            </m:sub>
          </m:sSub>
          <m:r>
            <m:rPr/>
            <m:t>(a) ≤ 0.03</m:t>
          </m:r>
        </m:oMath>
      </m:oMathPara>
    </w:p>
    <w:p w14:paraId="7A602145">
      <w:pPr>
        <w:spacing w:before="80" w:after="160"/>
        <w:jc w:val="center"/>
      </w:pPr>
      <m:oMathPara>
        <m:oMath>
          <m:sSub>
            <m:sSubPr/>
            <m:e>
              <m:r>
                <m:rPr/>
                <m:t>R</m:t>
              </m:r>
            </m:e>
            <m:sub>
              <m:r>
                <m:rPr/>
                <m:t>t</m:t>
              </m:r>
            </m:sub>
          </m:sSub>
          <m:r>
            <m:rPr/>
            <m:t>= −</m:t>
          </m:r>
          <m:sSub>
            <m:sSubPr/>
            <m:e>
              <m:r>
                <m:rPr/>
                <m:t>λ</m:t>
              </m:r>
            </m:e>
            <m:sub>
              <m:r>
                <m:rPr/>
                <m:t>q</m:t>
              </m:r>
            </m:sub>
          </m:sSub>
          <m:sSub>
            <m:sSubPr/>
            <m:e>
              <m:r>
                <m:rPr/>
                <m:t>Q</m:t>
              </m:r>
            </m:e>
            <m:sub>
              <m:r>
                <m:rPr/>
                <m:t>t</m:t>
              </m:r>
            </m:sub>
          </m:sSub>
          <m:r>
            <m:rPr/>
            <m:t>−</m:t>
          </m:r>
          <m:sSub>
            <m:sSubPr/>
            <m:e>
              <m:r>
                <m:rPr/>
                <m:t>λ</m:t>
              </m:r>
            </m:e>
            <m:sub>
              <m:r>
                <m:rPr/>
                <m:t>d</m:t>
              </m:r>
            </m:sub>
          </m:sSub>
          <m:sSub>
            <m:sSubPr/>
            <m:e>
              <m:r>
                <m:rPr/>
                <m:t>D</m:t>
              </m:r>
            </m:e>
            <m:sub>
              <m:r>
                <m:rPr/>
                <m:t>t</m:t>
              </m:r>
            </m:sub>
          </m:sSub>
          <m:r>
            <m:rPr/>
            <m:t>+</m:t>
          </m:r>
          <m:sSub>
            <m:sSubPr/>
            <m:e>
              <m:r>
                <m:rPr/>
                <m:t>λ</m:t>
              </m:r>
            </m:e>
            <m:sub>
              <m:r>
                <m:rPr/>
                <m:t>f</m:t>
              </m:r>
            </m:sub>
          </m:sSub>
          <m:sSub>
            <m:sSubPr/>
            <m:e>
              <m:r>
                <m:rPr/>
                <m:t>F</m:t>
              </m:r>
            </m:e>
            <m:sub>
              <m:r>
                <m:rPr/>
                <m:t>t</m:t>
              </m:r>
            </m:sub>
          </m:sSub>
          <m:r>
            <m:rPr/>
            <m:t>−</m:t>
          </m:r>
          <m:sSub>
            <m:sSubPr/>
            <m:e>
              <m:r>
                <m:rPr/>
                <m:t>λ</m:t>
              </m:r>
            </m:e>
            <m:sub>
              <m:r>
                <m:rPr/>
                <m:t>s</m:t>
              </m:r>
            </m:sub>
          </m:sSub>
          <m:sSub>
            <m:sSubPr/>
            <m:e>
              <m:r>
                <m:rPr/>
                <m:t>C</m:t>
              </m:r>
            </m:e>
            <m:sub>
              <m:r>
                <m:rPr/>
                <m:t>t</m:t>
              </m:r>
            </m:sub>
          </m:sSub>
        </m:oMath>
      </m:oMathPara>
    </w:p>
    <w:p w14:paraId="7F2A3670">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其中</w:t>
      </w:r>
      <m:oMath>
        <m:sSub>
          <m:sSubPr/>
          <m:e>
            <m:r>
              <m:rPr/>
              <m:t>Q</m:t>
            </m:r>
          </m:e>
          <m:sub>
            <m:r>
              <m:rPr>
                <m:sty m:val="p"/>
              </m:rPr>
              <m:t>t</m:t>
            </m:r>
          </m:sub>
        </m:sSub>
      </m:oMath>
      <w:r>
        <w:rPr>
          <w:rFonts w:ascii="Times New Roman" w:hAnsi="Times New Roman" w:eastAsia="宋体" w:cs="Times New Roman"/>
          <w:sz w:val="24"/>
        </w:rPr>
        <w:t>为归一化排队量，</w:t>
      </w:r>
      <m:oMath>
        <m:sSub>
          <m:sSubPr/>
          <m:e>
            <m:r>
              <m:rPr/>
              <m:t>D</m:t>
            </m:r>
          </m:e>
          <m:sub>
            <m:r>
              <m:rPr>
                <m:sty m:val="p"/>
              </m:rPr>
              <m:t>t</m:t>
            </m:r>
          </m:sub>
        </m:sSub>
      </m:oMath>
      <w:r>
        <w:rPr>
          <w:rFonts w:ascii="Times New Roman" w:hAnsi="Times New Roman" w:eastAsia="宋体" w:cs="Times New Roman"/>
          <w:sz w:val="24"/>
        </w:rPr>
        <w:t>为延迟代理量，</w:t>
      </w:r>
      <m:oMath>
        <m:sSub>
          <m:sSubPr/>
          <m:e>
            <m:r>
              <m:rPr/>
              <m:t>F</m:t>
            </m:r>
          </m:e>
          <m:sub>
            <m:r>
              <m:rPr>
                <m:sty m:val="p"/>
              </m:rPr>
              <m:t>t</m:t>
            </m:r>
          </m:sub>
        </m:sSub>
      </m:oMath>
      <w:r>
        <w:rPr>
          <w:rFonts w:ascii="Times New Roman" w:hAnsi="Times New Roman" w:eastAsia="宋体" w:cs="Times New Roman"/>
          <w:sz w:val="24"/>
        </w:rPr>
        <w:t>为完成车辆增量，</w:t>
      </w:r>
      <m:oMath>
        <m:sSub>
          <m:sSubPr/>
          <m:e>
            <m:r>
              <m:rPr/>
              <m:t>C</m:t>
            </m:r>
          </m:e>
          <m:sub>
            <m:r>
              <m:rPr>
                <m:sty m:val="p"/>
              </m:rPr>
              <m:t>t</m:t>
            </m:r>
          </m:sub>
        </m:sSub>
      </m:oMath>
      <w:r>
        <w:rPr>
          <w:rFonts w:ascii="Times New Roman" w:hAnsi="Times New Roman" w:eastAsia="宋体" w:cs="Times New Roman"/>
          <w:sz w:val="24"/>
        </w:rPr>
        <w:t>为相位切换代价。训练阶段以相对 C-MP teacher 的 advantage 作为监督信号，采用 Double-DQN 与 Huber loss，避免极端拥堵样本对梯度产生过大影响；推理阶段不更新 SACF 主干，仅加载已验证的 SPCN 适配器。</w:t>
      </w:r>
    </w:p>
    <w:p w14:paraId="590EA784">
      <w:pPr>
        <w:pStyle w:val="4"/>
      </w:pPr>
      <w:bookmarkStart w:id="18" w:name="bmk_913341"/>
      <w:bookmarkStart w:id="19" w:name="_Toc7670"/>
      <w:r>
        <w:rPr>
          <w:rFonts w:ascii="Times New Roman" w:hAnsi="Times New Roman" w:eastAsia="宋体"/>
          <w:b/>
          <w:color w:val="2F5597"/>
          <w:sz w:val="26"/>
        </w:rPr>
        <w:t>3.</w:t>
      </w:r>
      <w:r>
        <w:rPr>
          <w:rFonts w:hint="eastAsia" w:ascii="Times New Roman" w:hAnsi="Times New Roman" w:eastAsia="宋体"/>
          <w:b/>
          <w:color w:val="2F5597"/>
          <w:sz w:val="26"/>
          <w:lang w:val="en-US" w:eastAsia="zh-CN"/>
        </w:rPr>
        <w:t>4</w:t>
      </w:r>
      <w:r>
        <w:rPr>
          <w:rFonts w:ascii="Times New Roman" w:hAnsi="Times New Roman" w:eastAsia="宋体"/>
          <w:b/>
          <w:color w:val="2F5597"/>
          <w:sz w:val="26"/>
        </w:rPr>
        <w:t xml:space="preserve"> OSM 到 SUMO</w:t>
      </w:r>
      <w:bookmarkEnd w:id="18"/>
      <w:bookmarkEnd w:id="19"/>
    </w:p>
    <w:p w14:paraId="4827AD4F">
      <w:pPr>
        <w:spacing w:after="120" w:line="360" w:lineRule="auto"/>
        <w:ind w:firstLine="480"/>
      </w:pPr>
      <w:r>
        <w:rPr>
          <w:rFonts w:ascii="Times New Roman" w:hAnsi="Times New Roman" w:eastAsia="宋体" w:cs="Times New Roman"/>
          <w:b w:val="0"/>
          <w:sz w:val="24"/>
        </w:rPr>
        <w:t>场景生成服务接收 latitude、longitude、radius_m、duration_s，经 OSMnx 获取道路网络，再由 netconvert 生成 network.net.xml、traffic.rou.xml 和 scenario.sumocfg，并打包 ZIP。Flask 服务提供健康检查、元数据、场景生成和仿真会话接口；单进程模式下同一时刻仅允许一个 SUMO 会话。</w:t>
      </w:r>
    </w:p>
    <w:p w14:paraId="23F79C18">
      <w:pPr>
        <w:pStyle w:val="4"/>
      </w:pPr>
      <w:bookmarkStart w:id="20" w:name="_Toc12186"/>
      <w:bookmarkStart w:id="21" w:name="bmk_191482"/>
      <w:r>
        <w:rPr>
          <w:rFonts w:ascii="Times New Roman" w:hAnsi="Times New Roman" w:eastAsia="宋体"/>
          <w:b/>
          <w:color w:val="2F5597"/>
          <w:sz w:val="26"/>
        </w:rPr>
        <w:t>3.</w:t>
      </w:r>
      <w:r>
        <w:rPr>
          <w:rFonts w:hint="eastAsia" w:ascii="Times New Roman" w:hAnsi="Times New Roman" w:eastAsia="宋体"/>
          <w:b/>
          <w:color w:val="2F5597"/>
          <w:sz w:val="26"/>
          <w:lang w:val="en-US" w:eastAsia="zh-CN"/>
        </w:rPr>
        <w:t>5</w:t>
      </w:r>
      <w:r>
        <w:rPr>
          <w:rFonts w:ascii="Times New Roman" w:hAnsi="Times New Roman" w:eastAsia="宋体"/>
          <w:b/>
          <w:color w:val="2F5597"/>
          <w:sz w:val="26"/>
        </w:rPr>
        <w:t xml:space="preserve"> 观测—动作接口</w:t>
      </w:r>
      <w:bookmarkEnd w:id="20"/>
      <w:bookmarkEnd w:id="21"/>
    </w:p>
    <w:p w14:paraId="50BB4507">
      <w:pPr>
        <w:spacing w:after="120" w:line="360" w:lineRule="auto"/>
        <w:ind w:firstLine="480"/>
      </w:pPr>
      <w:r>
        <w:rPr>
          <w:rFonts w:ascii="Times New Roman" w:hAnsi="Times New Roman" w:eastAsia="宋体" w:cs="Times New Roman"/>
          <w:b w:val="0"/>
          <w:sz w:val="24"/>
        </w:rPr>
        <w:t>场景建模遵循“原始数据不改写、转换过程可追踪、输出文件可独立运行”的原则。路网转换阶段保留节点、道路、车道、roadLink 和信号相位关系；流量阶段按早高峰、平峰、晚高峰生成路线；接口阶段通过 JSON Schema 对字段类型、范围和必填项进行校验。这样可以把地图建模误差、接口错误和算法误差分开定位。</w:t>
      </w:r>
    </w:p>
    <w:p w14:paraId="2324056B">
      <w:pPr>
        <w:pStyle w:val="15"/>
        <w:spacing w:after="120" w:line="360" w:lineRule="auto"/>
        <w:jc w:val="center"/>
      </w:pPr>
      <w:r>
        <w:rPr>
          <w:rFonts w:ascii="Times New Roman" w:hAnsi="Times New Roman" w:eastAsia="宋体" w:cs="Times New Roman"/>
          <w:b w:val="0"/>
          <w:sz w:val="24"/>
        </w:rPr>
        <w:t>表3-1 SUMO 联调接口</w:t>
      </w:r>
    </w:p>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00"/>
        <w:gridCol w:w="2614"/>
        <w:gridCol w:w="3293"/>
        <w:gridCol w:w="2423"/>
      </w:tblGrid>
      <w:tr w14:paraId="007866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01"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1027473">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接口</w:t>
            </w:r>
          </w:p>
        </w:tc>
        <w:tc>
          <w:tcPr>
            <w:tcW w:w="2614"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F057F7A">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方法</w:t>
            </w:r>
          </w:p>
        </w:tc>
        <w:tc>
          <w:tcPr>
            <w:tcW w:w="3293"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0F54561F">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关键字段</w:t>
            </w:r>
          </w:p>
        </w:tc>
        <w:tc>
          <w:tcPr>
            <w:tcW w:w="2423"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A1A5A62">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约束</w:t>
            </w:r>
          </w:p>
        </w:tc>
      </w:tr>
      <w:tr w14:paraId="23040B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1" w:type="dxa"/>
            <w:tcBorders>
              <w:top w:val="single" w:color="auto" w:sz="4" w:space="0"/>
              <w:left w:val="nil"/>
              <w:bottom w:val="nil"/>
              <w:right w:val="nil"/>
            </w:tcBorders>
            <w:noWrap w:val="0"/>
            <w:tcMar>
              <w:top w:w="-1" w:type="dxa"/>
              <w:left w:w="-1" w:type="dxa"/>
              <w:bottom w:w="-1" w:type="dxa"/>
              <w:right w:w="-1" w:type="dxa"/>
            </w:tcMar>
            <w:vAlign w:val="center"/>
          </w:tcPr>
          <w:p w14:paraId="3C3D0D5D">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启动会话</w:t>
            </w:r>
          </w:p>
        </w:tc>
        <w:tc>
          <w:tcPr>
            <w:tcW w:w="2614" w:type="dxa"/>
            <w:tcBorders>
              <w:top w:val="single" w:color="auto" w:sz="4" w:space="0"/>
              <w:left w:val="nil"/>
              <w:bottom w:val="nil"/>
              <w:right w:val="nil"/>
            </w:tcBorders>
            <w:noWrap w:val="0"/>
            <w:tcMar>
              <w:top w:w="-1" w:type="dxa"/>
              <w:left w:w="-1" w:type="dxa"/>
              <w:bottom w:w="-1" w:type="dxa"/>
              <w:right w:w="-1" w:type="dxa"/>
            </w:tcMar>
            <w:vAlign w:val="center"/>
          </w:tcPr>
          <w:p w14:paraId="7BA427FA">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POST /v1/simulation/start</w:t>
            </w:r>
          </w:p>
        </w:tc>
        <w:tc>
          <w:tcPr>
            <w:tcW w:w="3293" w:type="dxa"/>
            <w:tcBorders>
              <w:top w:val="single" w:color="auto" w:sz="4" w:space="0"/>
              <w:left w:val="nil"/>
              <w:bottom w:val="nil"/>
              <w:right w:val="nil"/>
            </w:tcBorders>
            <w:noWrap w:val="0"/>
            <w:tcMar>
              <w:top w:w="-1" w:type="dxa"/>
              <w:left w:w="-1" w:type="dxa"/>
              <w:bottom w:w="-1" w:type="dxa"/>
              <w:right w:w="-1" w:type="dxa"/>
            </w:tcMar>
            <w:vAlign w:val="center"/>
          </w:tcPr>
          <w:p w14:paraId="78536977">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config_path</w:t>
            </w:r>
          </w:p>
        </w:tc>
        <w:tc>
          <w:tcPr>
            <w:tcW w:w="2423" w:type="dxa"/>
            <w:tcBorders>
              <w:top w:val="single" w:color="auto" w:sz="4" w:space="0"/>
              <w:left w:val="nil"/>
              <w:bottom w:val="nil"/>
              <w:right w:val="nil"/>
            </w:tcBorders>
            <w:noWrap w:val="0"/>
            <w:tcMar>
              <w:top w:w="-1" w:type="dxa"/>
              <w:left w:w="-1" w:type="dxa"/>
              <w:bottom w:w="-1" w:type="dxa"/>
              <w:right w:w="-1" w:type="dxa"/>
            </w:tcMar>
            <w:vAlign w:val="center"/>
          </w:tcPr>
          <w:p w14:paraId="725F560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返回路口 ID</w:t>
            </w:r>
          </w:p>
        </w:tc>
      </w:tr>
      <w:tr w14:paraId="7F7EBA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1" w:type="dxa"/>
            <w:tcBorders>
              <w:top w:val="nil"/>
              <w:left w:val="nil"/>
              <w:bottom w:val="nil"/>
              <w:right w:val="nil"/>
            </w:tcBorders>
            <w:noWrap w:val="0"/>
            <w:tcMar>
              <w:top w:w="-1" w:type="dxa"/>
              <w:left w:w="-1" w:type="dxa"/>
              <w:bottom w:w="-1" w:type="dxa"/>
              <w:right w:w="-1" w:type="dxa"/>
            </w:tcMar>
            <w:vAlign w:val="center"/>
          </w:tcPr>
          <w:p w14:paraId="79AA30AD">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读取状态</w:t>
            </w:r>
          </w:p>
        </w:tc>
        <w:tc>
          <w:tcPr>
            <w:tcW w:w="2614" w:type="dxa"/>
            <w:tcBorders>
              <w:top w:val="nil"/>
              <w:left w:val="nil"/>
              <w:bottom w:val="nil"/>
              <w:right w:val="nil"/>
            </w:tcBorders>
            <w:noWrap w:val="0"/>
            <w:tcMar>
              <w:top w:w="-1" w:type="dxa"/>
              <w:left w:w="-1" w:type="dxa"/>
              <w:bottom w:w="-1" w:type="dxa"/>
              <w:right w:w="-1" w:type="dxa"/>
            </w:tcMar>
            <w:vAlign w:val="center"/>
          </w:tcPr>
          <w:p w14:paraId="5AABA587">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GET /v1/simulation/state</w:t>
            </w:r>
          </w:p>
        </w:tc>
        <w:tc>
          <w:tcPr>
            <w:tcW w:w="3293" w:type="dxa"/>
            <w:tcBorders>
              <w:top w:val="nil"/>
              <w:left w:val="nil"/>
              <w:bottom w:val="nil"/>
              <w:right w:val="nil"/>
            </w:tcBorders>
            <w:noWrap w:val="0"/>
            <w:tcMar>
              <w:top w:w="-1" w:type="dxa"/>
              <w:left w:w="-1" w:type="dxa"/>
              <w:bottom w:w="-1" w:type="dxa"/>
              <w:right w:w="-1" w:type="dxa"/>
            </w:tcMar>
            <w:vAlign w:val="center"/>
          </w:tcPr>
          <w:p w14:paraId="3A9DA180">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time_s、phase、queue、lane_state</w:t>
            </w:r>
          </w:p>
        </w:tc>
        <w:tc>
          <w:tcPr>
            <w:tcW w:w="2423" w:type="dxa"/>
            <w:tcBorders>
              <w:top w:val="nil"/>
              <w:left w:val="nil"/>
              <w:bottom w:val="nil"/>
              <w:right w:val="nil"/>
            </w:tcBorders>
            <w:noWrap w:val="0"/>
            <w:tcMar>
              <w:top w:w="-1" w:type="dxa"/>
              <w:left w:w="-1" w:type="dxa"/>
              <w:bottom w:w="-1" w:type="dxa"/>
              <w:right w:w="-1" w:type="dxa"/>
            </w:tcMar>
            <w:vAlign w:val="center"/>
          </w:tcPr>
          <w:p w14:paraId="2526FE16">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未启动 HTTP 409</w:t>
            </w:r>
          </w:p>
        </w:tc>
      </w:tr>
      <w:tr w14:paraId="718899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1" w:type="dxa"/>
            <w:tcBorders>
              <w:top w:val="nil"/>
              <w:left w:val="nil"/>
              <w:bottom w:val="nil"/>
              <w:right w:val="nil"/>
            </w:tcBorders>
            <w:noWrap w:val="0"/>
            <w:tcMar>
              <w:top w:w="-1" w:type="dxa"/>
              <w:left w:w="-1" w:type="dxa"/>
              <w:bottom w:w="-1" w:type="dxa"/>
              <w:right w:w="-1" w:type="dxa"/>
            </w:tcMar>
            <w:vAlign w:val="center"/>
          </w:tcPr>
          <w:p w14:paraId="39C98AE8">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下发动作</w:t>
            </w:r>
          </w:p>
        </w:tc>
        <w:tc>
          <w:tcPr>
            <w:tcW w:w="2614" w:type="dxa"/>
            <w:tcBorders>
              <w:top w:val="nil"/>
              <w:left w:val="nil"/>
              <w:bottom w:val="nil"/>
              <w:right w:val="nil"/>
            </w:tcBorders>
            <w:noWrap w:val="0"/>
            <w:tcMar>
              <w:top w:w="-1" w:type="dxa"/>
              <w:left w:w="-1" w:type="dxa"/>
              <w:bottom w:w="-1" w:type="dxa"/>
              <w:right w:w="-1" w:type="dxa"/>
            </w:tcMar>
            <w:vAlign w:val="center"/>
          </w:tcPr>
          <w:p w14:paraId="7583D482">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POST /v1/simulation/action</w:t>
            </w:r>
          </w:p>
        </w:tc>
        <w:tc>
          <w:tcPr>
            <w:tcW w:w="3293" w:type="dxa"/>
            <w:tcBorders>
              <w:top w:val="nil"/>
              <w:left w:val="nil"/>
              <w:bottom w:val="nil"/>
              <w:right w:val="nil"/>
            </w:tcBorders>
            <w:noWrap w:val="0"/>
            <w:tcMar>
              <w:top w:w="-1" w:type="dxa"/>
              <w:left w:w="-1" w:type="dxa"/>
              <w:bottom w:w="-1" w:type="dxa"/>
              <w:right w:w="-1" w:type="dxa"/>
            </w:tcMar>
            <w:vAlign w:val="center"/>
          </w:tcPr>
          <w:p w14:paraId="09728047">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intersection_id、phase、duration_s</w:t>
            </w:r>
          </w:p>
        </w:tc>
        <w:tc>
          <w:tcPr>
            <w:tcW w:w="2423" w:type="dxa"/>
            <w:tcBorders>
              <w:top w:val="nil"/>
              <w:left w:val="nil"/>
              <w:bottom w:val="nil"/>
              <w:right w:val="nil"/>
            </w:tcBorders>
            <w:noWrap w:val="0"/>
            <w:tcMar>
              <w:top w:w="-1" w:type="dxa"/>
              <w:left w:w="-1" w:type="dxa"/>
              <w:bottom w:w="-1" w:type="dxa"/>
              <w:right w:w="-1" w:type="dxa"/>
            </w:tcMar>
            <w:vAlign w:val="center"/>
          </w:tcPr>
          <w:p w14:paraId="3EEDEC70">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未知节点/非法字段拒绝</w:t>
            </w:r>
          </w:p>
        </w:tc>
      </w:tr>
      <w:tr w14:paraId="65A9E7A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01" w:type="dxa"/>
            <w:tcBorders>
              <w:top w:val="nil"/>
              <w:left w:val="nil"/>
              <w:bottom w:val="single" w:color="auto" w:sz="12" w:space="0"/>
              <w:right w:val="nil"/>
            </w:tcBorders>
            <w:noWrap w:val="0"/>
            <w:tcMar>
              <w:top w:w="-1" w:type="dxa"/>
              <w:left w:w="-1" w:type="dxa"/>
              <w:bottom w:w="-1" w:type="dxa"/>
              <w:right w:w="-1" w:type="dxa"/>
            </w:tcMar>
            <w:vAlign w:val="center"/>
          </w:tcPr>
          <w:p w14:paraId="5C070A4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推进/关闭</w:t>
            </w:r>
          </w:p>
        </w:tc>
        <w:tc>
          <w:tcPr>
            <w:tcW w:w="2614" w:type="dxa"/>
            <w:tcBorders>
              <w:top w:val="nil"/>
              <w:left w:val="nil"/>
              <w:bottom w:val="single" w:color="auto" w:sz="12" w:space="0"/>
              <w:right w:val="nil"/>
            </w:tcBorders>
            <w:noWrap w:val="0"/>
            <w:tcMar>
              <w:top w:w="-1" w:type="dxa"/>
              <w:left w:w="-1" w:type="dxa"/>
              <w:bottom w:w="-1" w:type="dxa"/>
              <w:right w:w="-1" w:type="dxa"/>
            </w:tcMar>
            <w:vAlign w:val="center"/>
          </w:tcPr>
          <w:p w14:paraId="49B7708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POST /step；POST /close</w:t>
            </w:r>
          </w:p>
        </w:tc>
        <w:tc>
          <w:tcPr>
            <w:tcW w:w="3293" w:type="dxa"/>
            <w:tcBorders>
              <w:top w:val="nil"/>
              <w:left w:val="nil"/>
              <w:bottom w:val="single" w:color="auto" w:sz="12" w:space="0"/>
              <w:right w:val="nil"/>
            </w:tcBorders>
            <w:noWrap w:val="0"/>
            <w:tcMar>
              <w:top w:w="-1" w:type="dxa"/>
              <w:left w:w="-1" w:type="dxa"/>
              <w:bottom w:w="-1" w:type="dxa"/>
              <w:right w:w="-1" w:type="dxa"/>
            </w:tcMar>
            <w:vAlign w:val="center"/>
          </w:tcPr>
          <w:p w14:paraId="69F36644">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steps</w:t>
            </w:r>
          </w:p>
        </w:tc>
        <w:tc>
          <w:tcPr>
            <w:tcW w:w="2423" w:type="dxa"/>
            <w:tcBorders>
              <w:top w:val="nil"/>
              <w:left w:val="nil"/>
              <w:bottom w:val="single" w:color="auto" w:sz="12" w:space="0"/>
              <w:right w:val="nil"/>
            </w:tcBorders>
            <w:noWrap w:val="0"/>
            <w:tcMar>
              <w:top w:w="-1" w:type="dxa"/>
              <w:left w:w="-1" w:type="dxa"/>
              <w:bottom w:w="-1" w:type="dxa"/>
              <w:right w:w="-1" w:type="dxa"/>
            </w:tcMar>
            <w:vAlign w:val="center"/>
          </w:tcPr>
          <w:p w14:paraId="3028912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finally 关闭会话</w:t>
            </w:r>
          </w:p>
        </w:tc>
      </w:tr>
    </w:tbl>
    <w:p w14:paraId="4A9C9D00">
      <w:pPr>
        <w:spacing w:after="120" w:line="360" w:lineRule="auto"/>
      </w:pPr>
    </w:p>
    <w:p w14:paraId="32B6E51F">
      <w:pPr>
        <w:pStyle w:val="3"/>
      </w:pPr>
      <w:bookmarkStart w:id="22" w:name="bmk_399370"/>
      <w:bookmarkStart w:id="23" w:name="_Toc17428"/>
      <w:r>
        <w:rPr>
          <w:rFonts w:ascii="Times New Roman" w:hAnsi="Times New Roman" w:eastAsia="宋体"/>
          <w:b/>
          <w:color w:val="1F4E79"/>
          <w:sz w:val="32"/>
        </w:rPr>
        <w:t>4 功能二：高保真仿真验证平台的通用性架构搭建</w:t>
      </w:r>
      <w:bookmarkEnd w:id="22"/>
      <w:bookmarkEnd w:id="23"/>
    </w:p>
    <w:p w14:paraId="1AB80876">
      <w:r>
        <w:t>功能二包含三个任务，目标是将场景、仿真引擎、算法插件、数据采集和部署环境组织为可复用的高保真仿真验证平台。我们按照《项目概述》的任务划分组织如下。</w:t>
      </w:r>
    </w:p>
    <w:p w14:paraId="19B5B7F0">
      <w:pPr>
        <w:pStyle w:val="4"/>
        <w:rPr>
          <w:rFonts w:ascii="Times New Roman" w:hAnsi="Times New Roman" w:eastAsia="宋体"/>
          <w:b/>
          <w:color w:val="2F5597"/>
          <w:sz w:val="26"/>
        </w:rPr>
      </w:pPr>
      <w:bookmarkStart w:id="24" w:name="_Toc4965"/>
      <w:r>
        <w:rPr>
          <w:rFonts w:hint="eastAsia" w:ascii="Times New Roman" w:hAnsi="Times New Roman" w:eastAsia="宋体"/>
          <w:b/>
          <w:color w:val="2F5597"/>
          <w:sz w:val="26"/>
          <w:lang w:val="en-US" w:eastAsia="zh-CN"/>
        </w:rPr>
        <w:t>4.1</w:t>
      </w:r>
      <w:r>
        <w:rPr>
          <w:rFonts w:ascii="Times New Roman" w:hAnsi="Times New Roman" w:eastAsia="宋体"/>
          <w:b/>
          <w:color w:val="2F5597"/>
          <w:sz w:val="26"/>
        </w:rPr>
        <w:t>任务一：雄安新区20路口场景构建与数据导入</w:t>
      </w:r>
      <w:bookmarkEnd w:id="24"/>
    </w:p>
    <w:p w14:paraId="46D645A7">
      <w:r>
        <w:t>我们依据雄安新区典型路网资料和路口方位信息构建 4×5 布局的 20 路口 CityFlow 场景，整理道路、车道、roadLink、信号相位、路口拓扑和三时段交通流配置。场景数据包含早高峰、平峰和晚高峰需求，并保留车辆类型、路线和信号初始方案。通过 manifest、excel_audit 和 validate_scenario.py 对路口数量、道路连接、路线合法性、交通流总量和源数据一致性进行校验，确保仿真场景可独立运行。</w:t>
      </w:r>
    </w:p>
    <w:p w14:paraId="153289CB">
      <w:pPr>
        <w:pStyle w:val="4"/>
      </w:pPr>
      <w:bookmarkStart w:id="25" w:name="_Toc1124"/>
      <w:r>
        <w:rPr>
          <w:rFonts w:hint="eastAsia" w:ascii="Times New Roman" w:hAnsi="Times New Roman" w:eastAsia="宋体"/>
          <w:b/>
          <w:color w:val="2F5597"/>
          <w:sz w:val="26"/>
          <w:lang w:val="en-US" w:eastAsia="zh-CN"/>
        </w:rPr>
        <w:t>4.2任务二：CityFlow 仿真、SPCN 算法与 SACF 接口集成</w:t>
      </w:r>
      <w:bookmarkEnd w:id="25"/>
    </w:p>
    <w:p w14:paraId="1BD0B217">
      <w:r>
        <w:t>我们将 CityFlow 仿真引擎、SPCN 控制模型和 SACF 算法接口接入统一平台。平台通过 SignalAlgorithm 契约规定状态输入、动作输出、相位范围和执行顺序，算法注册表记录算法名称、输入维度、动作空间、模型文件、配置文件和版本号。插件接入先进行静态契约检查，再进行短步冒烟仿真，最后进入正式评测；结果层保存 metrics.csv、trace JSON 和实时运行记录，保证不同算法可以在同一场景下替换、运行和比较。</w:t>
      </w:r>
    </w:p>
    <w:p w14:paraId="5CC60BBA">
      <w:pPr>
        <w:pStyle w:val="4"/>
        <w:rPr>
          <w:rFonts w:hint="eastAsia" w:ascii="Times New Roman" w:hAnsi="Times New Roman" w:eastAsia="宋体"/>
          <w:b/>
          <w:color w:val="2F5597"/>
          <w:sz w:val="26"/>
          <w:lang w:val="en-US" w:eastAsia="zh-CN"/>
        </w:rPr>
      </w:pPr>
      <w:bookmarkStart w:id="26" w:name="_Toc17668"/>
      <w:r>
        <w:rPr>
          <w:rFonts w:hint="eastAsia" w:ascii="Times New Roman" w:hAnsi="Times New Roman" w:eastAsia="宋体"/>
          <w:b/>
          <w:color w:val="2F5597"/>
          <w:sz w:val="26"/>
          <w:lang w:val="en-US" w:eastAsia="zh-CN"/>
        </w:rPr>
        <w:t>4.3任务三：Docker 部署与关键模块性能检查</w:t>
      </w:r>
      <w:bookmarkEnd w:id="26"/>
    </w:p>
    <w:p w14:paraId="7E19756C">
      <w:r>
        <w:t>我们使用 Docker 固化 Python 依赖、CityFlow 源码、模型权重、场景数据和启动命令，降低评委在新环境中复现系统的门槛。同时对场景加载、状态采集、算法推理、动作下发和结果写入等关键模块进行运行时间和错误处理检查。部署说明明确 CPU/GPU 条件、依赖版本、典型运行命令、输出目录和常见错误，确保平台能够在干净环境中完成至少一个典型场景的复现。</w:t>
      </w:r>
    </w:p>
    <w:p w14:paraId="1BC2146B">
      <w:r>
        <w:t>功能二的验收证据包括 20 路口场景文件和审计清单、CityFlow/SPCN/SACF 接入代码、统一插件接口、动态监测界面、Dockerfile、requirements 文件、启动脚本、性能记录和复现说明。</w:t>
      </w:r>
    </w:p>
    <w:p w14:paraId="485F298A">
      <w:pPr>
        <w:pStyle w:val="3"/>
      </w:pPr>
      <w:bookmarkStart w:id="27" w:name="_Toc30463"/>
      <w:bookmarkStart w:id="28" w:name="bmk_885003"/>
      <w:r>
        <w:rPr>
          <w:rFonts w:ascii="Times New Roman" w:hAnsi="Times New Roman" w:eastAsia="宋体"/>
          <w:b/>
          <w:color w:val="1F4E79"/>
          <w:sz w:val="32"/>
        </w:rPr>
        <w:t>5 功能三：赛道B经典算法场景适配与协同创新扩展</w:t>
      </w:r>
      <w:bookmarkEnd w:id="27"/>
      <w:bookmarkEnd w:id="28"/>
    </w:p>
    <w:p w14:paraId="3245D018">
      <w:pPr>
        <w:spacing w:after="120" w:line="360" w:lineRule="auto"/>
        <w:ind w:firstLine="420"/>
      </w:pPr>
      <w:r>
        <w:rPr>
          <w:rFonts w:ascii="Times New Roman" w:hAnsi="Times New Roman" w:eastAsia="宋体" w:cs="Times New Roman"/>
          <w:sz w:val="24"/>
        </w:rPr>
        <w:t>赛道B的硬性主线是将经典交通管控算法应用于雄安新区“窄路密网”场景，并完成参数调优与性能评估。本文以固定配时、最大压力和TRANSYT风格控制形成传统基线，在统一场景、统一交通流、统一仿真时长和统一评价指标下进行公平比较。在完成经典算法硬性任务后，本文提出融序协同控制机制（FSCC）作为创新扩展：FSCC以TRANSYT风格控制提供走廊名义方案，以冻结SACF提供迁移动作先验，以SPCN提供局部相位竞争修正，并以压力门控和安全约束将三者融合为一个可执行的信号控制动作。</w:t>
      </w:r>
    </w:p>
    <w:p w14:paraId="2EEA4114">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在训练与推理边界上，SACF 主干冻结，SPCN 只学习有限残差，协调层只能在规定信赖域内调整动作。这样可以把“学习带来的收益”限制在“规则允许的范围”内，出现异常状态时仍可回退到 C-MP 或固定策略，满足工程系统对可解释、可回滚和可审计的要求。</w:t>
      </w:r>
    </w:p>
    <w:p w14:paraId="57F62379">
      <w:pPr>
        <w:spacing w:after="120" w:line="360" w:lineRule="auto"/>
        <w:ind w:firstLine="480"/>
        <w:jc w:val="center"/>
        <w:rPr>
          <w:rFonts w:ascii="Times New Roman" w:hAnsi="Times New Roman" w:eastAsia="宋体" w:cs="Times New Roman"/>
          <w:sz w:val="24"/>
        </w:rPr>
      </w:pPr>
      <w:r>
        <w:rPr>
          <w:rFonts w:ascii="Times New Roman" w:hAnsi="Times New Roman" w:eastAsia="宋体" w:cs="Times New Roman"/>
          <w:sz w:val="24"/>
        </w:rPr>
        <w:drawing>
          <wp:inline distT="0" distB="0" distL="114300" distR="114300">
            <wp:extent cx="2275840" cy="2087245"/>
            <wp:effectExtent l="0" t="0" r="63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9"/>
                    <a:stretch>
                      <a:fillRect/>
                    </a:stretch>
                  </pic:blipFill>
                  <pic:spPr>
                    <a:xfrm>
                      <a:off x="0" y="0"/>
                      <a:ext cx="2275840" cy="2087245"/>
                    </a:xfrm>
                    <a:prstGeom prst="rect">
                      <a:avLst/>
                    </a:prstGeom>
                  </pic:spPr>
                </pic:pic>
              </a:graphicData>
            </a:graphic>
          </wp:inline>
        </w:drawing>
      </w:r>
    </w:p>
    <w:p w14:paraId="59E008B5">
      <w:pPr>
        <w:pStyle w:val="15"/>
        <w:jc w:val="center"/>
        <w:rPr>
          <w:rFonts w:ascii="Times New Roman" w:hAnsi="Times New Roman" w:eastAsia="宋体" w:cs="Times New Roman"/>
          <w:b w:val="0"/>
          <w:bCs w:val="0"/>
          <w:sz w:val="24"/>
        </w:rPr>
      </w:pPr>
      <w:r>
        <w:rPr>
          <w:rFonts w:ascii="Times New Roman" w:hAnsi="Times New Roman" w:eastAsia="宋体" w:cs="Times New Roman"/>
          <w:b w:val="0"/>
          <w:bCs w:val="0"/>
          <w:sz w:val="24"/>
        </w:rPr>
        <w:t>图</w:t>
      </w:r>
      <w:r>
        <w:rPr>
          <w:rFonts w:hint="eastAsia" w:ascii="Times New Roman" w:hAnsi="Times New Roman" w:cs="Times New Roman"/>
          <w:b w:val="0"/>
          <w:bCs w:val="0"/>
          <w:sz w:val="24"/>
          <w:lang w:val="en-US" w:eastAsia="zh-CN"/>
        </w:rPr>
        <w:t>5</w:t>
      </w:r>
      <w:r>
        <w:rPr>
          <w:rFonts w:ascii="Times New Roman" w:hAnsi="Times New Roman" w:eastAsia="宋体" w:cs="Times New Roman"/>
          <w:b w:val="0"/>
          <w:bCs w:val="0"/>
          <w:sz w:val="24"/>
        </w:rPr>
        <w:t>-1 雄安 20 路口 CityFlow 路网动态运行监测界面</w:t>
      </w:r>
    </w:p>
    <w:p w14:paraId="66463559">
      <w:pPr>
        <w:pStyle w:val="4"/>
      </w:pPr>
      <w:bookmarkStart w:id="29" w:name="_Toc14698"/>
      <w:bookmarkStart w:id="30" w:name="bmk_452246"/>
      <w:r>
        <w:rPr>
          <w:rFonts w:ascii="Times New Roman" w:hAnsi="Times New Roman" w:eastAsia="宋体"/>
          <w:b/>
          <w:color w:val="2F5597"/>
          <w:sz w:val="26"/>
        </w:rPr>
        <w:t>5.1 基线与传统控制</w:t>
      </w:r>
      <w:bookmarkEnd w:id="29"/>
      <w:bookmarkEnd w:id="30"/>
    </w:p>
    <w:p w14:paraId="5A7C517A">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为保证赛道B的硬性要求可核验，经典算法的调优过程采用候选参数网格与最终固定配置两步完成。候选参数只用于调优，不在正式结果上反复选择；正式比较统一使用固定场景、固定流量、7500个仿真步、10秒决策间隔和固定随机种子。TRANSYT算法最终采用9个决策周期、需求平滑系数0.35和即时需求权重0.35。</w:t>
      </w:r>
    </w:p>
    <w:p w14:paraId="6853682E">
      <w:pPr>
        <w:spacing w:after="120" w:line="360" w:lineRule="auto"/>
        <w:ind w:firstLine="480"/>
      </w:pPr>
      <w:r>
        <w:rPr>
          <w:rFonts w:ascii="Times New Roman" w:hAnsi="Times New Roman" w:eastAsia="宋体" w:cs="Times New Roman"/>
          <w:sz w:val="24"/>
        </w:rPr>
        <w:t>最大压力方法的直观含义是：优先放行能释放更多上游排队、同时不会把压力转移到已拥堵下游的相位。与只看当前排队长度相比，压力差将上下游供需关系纳入决策，更符合网络交通的守恒特性。TRANSYT 协调则进一步考虑车辆从上游驶向下游所需的时间，使相邻路口的绿灯窗口尽量与车队到达时刻重合。</w:t>
      </w:r>
    </w:p>
    <w:p w14:paraId="56FAF652">
      <w:pPr>
        <w:spacing w:after="120" w:line="360" w:lineRule="auto"/>
        <w:ind w:firstLine="480"/>
        <w:rPr>
          <w:rFonts w:ascii="Times New Roman" w:hAnsi="Times New Roman" w:eastAsia="宋体" w:cs="Times New Roman"/>
          <w:b w:val="0"/>
          <w:sz w:val="24"/>
        </w:rPr>
      </w:pPr>
      <w:r>
        <w:rPr>
          <w:rFonts w:ascii="Times New Roman" w:hAnsi="Times New Roman" w:eastAsia="宋体" w:cs="Times New Roman"/>
          <w:b w:val="0"/>
          <w:sz w:val="24"/>
        </w:rPr>
        <w:t>固定配时按预设信号计划循环。最大压力控制计算候选相位的车道压力之和，并在最小绿灯时间 10 s 内不切换。TRANSYT 控制通过周期和偏移量优化走廊级到达—放行匹配。</w:t>
      </w:r>
    </w:p>
    <w:p w14:paraId="4AA924A6">
      <w:pPr>
        <w:spacing w:after="120" w:line="360" w:lineRule="auto"/>
        <w:ind w:firstLine="48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043555" cy="1722120"/>
            <wp:effectExtent l="0" t="0" r="4445" b="1905"/>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10"/>
                    <a:stretch>
                      <a:fillRect/>
                    </a:stretch>
                  </pic:blipFill>
                  <pic:spPr>
                    <a:xfrm>
                      <a:off x="0" y="0"/>
                      <a:ext cx="3043555" cy="1722120"/>
                    </a:xfrm>
                    <a:prstGeom prst="rect">
                      <a:avLst/>
                    </a:prstGeom>
                    <a:noFill/>
                    <a:ln w="9525">
                      <a:noFill/>
                    </a:ln>
                  </pic:spPr>
                </pic:pic>
              </a:graphicData>
            </a:graphic>
          </wp:inline>
        </w:drawing>
      </w:r>
    </w:p>
    <w:p w14:paraId="37AD9682">
      <w:pPr>
        <w:pStyle w:val="15"/>
        <w:jc w:val="center"/>
        <w:rPr>
          <w:rFonts w:hint="default" w:ascii="宋体" w:hAnsi="宋体" w:eastAsia="宋体" w:cs="宋体"/>
          <w:b w:val="0"/>
          <w:bCs w:val="0"/>
          <w:sz w:val="24"/>
          <w:szCs w:val="24"/>
          <w:lang w:val="en-US" w:eastAsia="zh-CN"/>
        </w:rPr>
      </w:pPr>
      <w:r>
        <w:rPr>
          <w:rFonts w:ascii="Times New Roman" w:hAnsi="Times New Roman" w:eastAsia="宋体" w:cs="Times New Roman"/>
          <w:b w:val="0"/>
          <w:bCs w:val="0"/>
          <w:sz w:val="24"/>
        </w:rPr>
        <w:t>图</w:t>
      </w:r>
      <w:r>
        <w:rPr>
          <w:rFonts w:hint="eastAsia" w:ascii="Times New Roman" w:hAnsi="Times New Roman" w:cs="Times New Roman"/>
          <w:b w:val="0"/>
          <w:bCs w:val="0"/>
          <w:sz w:val="24"/>
          <w:lang w:val="en-US" w:eastAsia="zh-CN"/>
        </w:rPr>
        <w:t>5</w:t>
      </w:r>
      <w:r>
        <w:rPr>
          <w:rFonts w:ascii="Times New Roman" w:hAnsi="Times New Roman" w:eastAsia="宋体" w:cs="Times New Roman"/>
          <w:b w:val="0"/>
          <w:bCs w:val="0"/>
          <w:sz w:val="24"/>
        </w:rPr>
        <w:t>-</w:t>
      </w:r>
      <w:r>
        <w:rPr>
          <w:rFonts w:hint="eastAsia" w:ascii="Times New Roman" w:hAnsi="Times New Roman" w:cs="Times New Roman"/>
          <w:b w:val="0"/>
          <w:bCs w:val="0"/>
          <w:sz w:val="24"/>
          <w:lang w:val="en-US" w:eastAsia="zh-CN"/>
        </w:rPr>
        <w:t>2</w:t>
      </w:r>
      <w:r>
        <w:rPr>
          <w:rFonts w:ascii="Times New Roman" w:hAnsi="Times New Roman" w:eastAsia="宋体" w:cs="Times New Roman"/>
          <w:b w:val="0"/>
          <w:bCs w:val="0"/>
          <w:sz w:val="24"/>
        </w:rPr>
        <w:t xml:space="preserve"> </w:t>
      </w:r>
      <w:r>
        <w:rPr>
          <w:rFonts w:hint="eastAsia" w:ascii="Times New Roman" w:hAnsi="Times New Roman" w:cs="Times New Roman"/>
          <w:b w:val="0"/>
          <w:bCs w:val="0"/>
          <w:sz w:val="24"/>
          <w:lang w:val="en-US" w:eastAsia="zh-CN"/>
        </w:rPr>
        <w:t>TRANSYT工作流程</w:t>
      </w:r>
    </w:p>
    <w:p w14:paraId="5893CCA2">
      <w:pPr>
        <w:pStyle w:val="4"/>
        <w:rPr>
          <w:rFonts w:ascii="Times New Roman" w:hAnsi="Times New Roman" w:eastAsia="宋体"/>
          <w:b/>
          <w:color w:val="2F5597"/>
          <w:sz w:val="26"/>
        </w:rPr>
      </w:pPr>
      <w:bookmarkStart w:id="31" w:name="bmk_738333"/>
      <w:bookmarkStart w:id="32" w:name="_Toc3400"/>
      <w:r>
        <w:rPr>
          <w:rFonts w:ascii="Times New Roman" w:hAnsi="Times New Roman" w:eastAsia="宋体"/>
          <w:b/>
          <w:color w:val="2F5597"/>
          <w:sz w:val="26"/>
        </w:rPr>
        <w:t xml:space="preserve">5.2 </w:t>
      </w:r>
      <w:bookmarkEnd w:id="31"/>
      <w:bookmarkEnd w:id="32"/>
      <w:r>
        <w:rPr>
          <w:rFonts w:ascii="Times New Roman" w:hAnsi="Times New Roman" w:eastAsia="宋体"/>
          <w:b/>
          <w:color w:val="2F5597"/>
          <w:sz w:val="26"/>
        </w:rPr>
        <w:t>融序协同控制机制（Fusion-Sequence Cooperative Control，FSCC）</w:t>
      </w:r>
    </w:p>
    <w:p w14:paraId="6242D8D3">
      <w:pPr>
        <w:spacing w:after="120" w:line="360" w:lineRule="auto"/>
        <w:ind w:firstLine="420"/>
      </w:pPr>
      <w:r>
        <w:rPr>
          <w:rFonts w:ascii="Times New Roman" w:hAnsi="Times New Roman" w:eastAsia="宋体" w:cs="Times New Roman"/>
          <w:sz w:val="24"/>
        </w:rPr>
        <w:t>在FSCC中，SACF承担“迁移先验层”的职责。其主干模型在推理阶段保持冻结，不直接对新场景进行在线更新，而是根据当前状态给出候选动作的价值先验。这样既能继承已有策略在相似交通结构中的决策经验，又可避免在线适配破坏原有参数。SACF并不单独决定最终相位，而是作为FSCC融合过程中的稳定参考；当状态异常、模型输入不完整或安全门控未通过时，系统不依赖SACF输出，而是使用规则控制保证行为可解释和可回退。</w:t>
      </w:r>
    </w:p>
    <w:p w14:paraId="502AD1AA">
      <w:pPr>
        <w:spacing w:after="120" w:line="360" w:lineRule="auto"/>
        <w:ind w:firstLine="420"/>
      </w:pPr>
      <w:r>
        <w:rPr>
          <w:rFonts w:ascii="Times New Roman" w:hAnsi="Times New Roman" w:eastAsia="宋体" w:cs="Times New Roman"/>
          <w:sz w:val="24"/>
        </w:rPr>
        <w:t>在FSCC中，SPCN承担“相位竞争修正层”的职责。SPCN不把每个相位视为相互独立的选择，而是通过相位对嵌入、冲突掩码和关系聚合显式建模候选相位之间的竞争关系。对于当前路口状态，SPCN输出的是局部、受约束的相位价值修正，而非脱离交通机理的独立控制命令。该设计特别适用于窄路密网中相邻方向放行相互影响、局部排队容易传导的情形，使FSCC能够在保持走廊协调的前提下识别更需要即时响应的竞争相位。</w:t>
      </w:r>
    </w:p>
    <w:p w14:paraId="6BF99CA1">
      <w:pPr>
        <w:spacing w:after="120" w:line="360" w:lineRule="auto"/>
        <w:ind w:firstLine="420"/>
      </w:pPr>
      <w:r>
        <w:rPr>
          <w:rFonts w:ascii="Times New Roman" w:hAnsi="Times New Roman" w:eastAsia="宋体" w:cs="Times New Roman"/>
          <w:b w:val="0"/>
          <w:sz w:val="24"/>
        </w:rPr>
        <w:t>FSCC的融合遵循“先协调、后修正、再约束”的原则。TRANSYT风格层首先输出基于周期、绿信比和相位偏移的名义动作；SACF将冻结策略价值映射到当前路口可执行相位集合；SPCN依据相位竞争关系给出有界残差；系统随后计算候选修正相对于名义动作的即时压力增益。只有当候选动作与名义动作存在实质差异，并且满足最小绿灯、拥堵门控、压力增益比例和最小绝对收益条件时，SPCN修正才可覆盖名义动作。由此，FSCC兼顾网络层面的通行连续性与路口层面的即时响应。</w:t>
      </w:r>
    </w:p>
    <w:p w14:paraId="5DBF07D8">
      <w:pPr>
        <w:spacing w:after="120" w:line="360" w:lineRule="auto"/>
        <w:ind w:firstLine="420"/>
        <w:rPr>
          <w:rFonts w:ascii="Times New Roman" w:hAnsi="Times New Roman" w:eastAsia="宋体" w:cs="Times New Roman"/>
          <w:sz w:val="24"/>
        </w:rPr>
      </w:pPr>
      <w:r>
        <w:rPr>
          <w:rFonts w:ascii="Times New Roman" w:hAnsi="Times New Roman" w:eastAsia="宋体" w:cs="Times New Roman"/>
          <w:b w:val="0"/>
          <w:sz w:val="24"/>
        </w:rPr>
        <w:t>FSCC的状态编码包含车道需求、速度或占有率、当前相位以及上下游负载等信息。系统先基于lane-link关系计算可执行相位的供需压力，再将SACF动作先验、SPCN竞争修正和TRANSYT走廊协调信息投射到同一动作空间。最终动作由安全执行模块统一下发，并保留动作、队列、车辆状态和协调参数等运行记录。该设计把局部即时收益、跨路口时序收益和工程安全约束分开建模、统一执行，使控制过程既能解释“为什么调整”，也能追溯“何时调整、调整了什么”。</w:t>
      </w:r>
    </w:p>
    <w:p w14:paraId="69A25238">
      <w:pPr>
        <w:jc w:val="center"/>
        <w:rPr>
          <w:rFonts w:ascii="Times New Roman" w:hAnsi="Times New Roman" w:eastAsia="宋体" w:cs="Times New Roman"/>
          <w:sz w:val="24"/>
        </w:rPr>
      </w:pPr>
      <w:r>
        <w:rPr>
          <w:rFonts w:ascii="宋体" w:hAnsi="宋体" w:eastAsia="宋体" w:cs="宋体"/>
          <w:sz w:val="24"/>
          <w:szCs w:val="24"/>
        </w:rPr>
        <w:drawing>
          <wp:inline distT="0" distB="0" distL="114300" distR="114300">
            <wp:extent cx="3501390" cy="1979930"/>
            <wp:effectExtent l="0" t="0" r="3810" b="127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1"/>
                    <a:stretch>
                      <a:fillRect/>
                    </a:stretch>
                  </pic:blipFill>
                  <pic:spPr>
                    <a:xfrm>
                      <a:off x="0" y="0"/>
                      <a:ext cx="3501390" cy="1979930"/>
                    </a:xfrm>
                    <a:prstGeom prst="rect">
                      <a:avLst/>
                    </a:prstGeom>
                    <a:noFill/>
                    <a:ln w="9525">
                      <a:noFill/>
                    </a:ln>
                  </pic:spPr>
                </pic:pic>
              </a:graphicData>
            </a:graphic>
          </wp:inline>
        </w:drawing>
      </w:r>
    </w:p>
    <w:p w14:paraId="489468D9">
      <w:pPr>
        <w:pStyle w:val="15"/>
        <w:spacing w:after="120" w:line="360" w:lineRule="auto"/>
        <w:jc w:val="center"/>
      </w:pPr>
      <w:r>
        <w:rPr>
          <w:rFonts w:ascii="Times New Roman" w:hAnsi="Times New Roman" w:eastAsia="宋体" w:cs="Times New Roman"/>
          <w:b w:val="0"/>
          <w:sz w:val="24"/>
        </w:rPr>
        <w:t>图5-</w:t>
      </w:r>
      <w:r>
        <w:rPr>
          <w:rFonts w:hint="eastAsia" w:ascii="Times New Roman" w:hAnsi="Times New Roman" w:cs="Times New Roman"/>
          <w:b w:val="0"/>
          <w:sz w:val="24"/>
          <w:lang w:val="en-US" w:eastAsia="zh-CN"/>
        </w:rPr>
        <w:t>3</w:t>
      </w:r>
      <w:r>
        <w:rPr>
          <w:rFonts w:ascii="Times New Roman" w:hAnsi="Times New Roman" w:eastAsia="宋体" w:cs="Times New Roman"/>
          <w:b w:val="0"/>
          <w:sz w:val="24"/>
        </w:rPr>
        <w:t xml:space="preserve"> SACF 不确定性门控与动作变换流程</w:t>
      </w:r>
    </w:p>
    <w:p w14:paraId="04CAF92A">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该流程把策略迁移风险显式化：训练阶段分别学习真实环境和仿真环境的动力学关系，推理阶段通过不确定性指标决定是否接受动作变换。对本项目而言，冻结基座与残差适配器的分离，保证了新场景适配不会破坏原有策略。</w:t>
      </w:r>
    </w:p>
    <w:p w14:paraId="1A44A02A">
      <w:pPr>
        <w:jc w:val="center"/>
        <w:rPr>
          <w:rFonts w:ascii="Times New Roman" w:hAnsi="Times New Roman" w:eastAsia="宋体" w:cs="Times New Roman"/>
          <w:sz w:val="24"/>
        </w:rPr>
      </w:pPr>
      <w:r>
        <w:rPr>
          <w:rFonts w:ascii="宋体" w:hAnsi="宋体" w:eastAsia="宋体" w:cs="宋体"/>
          <w:sz w:val="24"/>
          <w:szCs w:val="24"/>
        </w:rPr>
        <w:drawing>
          <wp:inline distT="0" distB="0" distL="114300" distR="114300">
            <wp:extent cx="3926840" cy="2221230"/>
            <wp:effectExtent l="0" t="0" r="6985" b="762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12"/>
                    <a:stretch>
                      <a:fillRect/>
                    </a:stretch>
                  </pic:blipFill>
                  <pic:spPr>
                    <a:xfrm>
                      <a:off x="0" y="0"/>
                      <a:ext cx="3926840" cy="2221230"/>
                    </a:xfrm>
                    <a:prstGeom prst="rect">
                      <a:avLst/>
                    </a:prstGeom>
                    <a:noFill/>
                    <a:ln w="9525">
                      <a:noFill/>
                    </a:ln>
                  </pic:spPr>
                </pic:pic>
              </a:graphicData>
            </a:graphic>
          </wp:inline>
        </w:drawing>
      </w:r>
    </w:p>
    <w:p w14:paraId="79277948">
      <w:pPr>
        <w:pStyle w:val="15"/>
        <w:spacing w:after="120" w:line="360" w:lineRule="auto"/>
        <w:jc w:val="center"/>
      </w:pPr>
      <w:r>
        <w:rPr>
          <w:rFonts w:ascii="Times New Roman" w:hAnsi="Times New Roman" w:eastAsia="宋体" w:cs="Times New Roman"/>
          <w:b w:val="0"/>
          <w:sz w:val="24"/>
        </w:rPr>
        <w:t>图5-</w:t>
      </w:r>
      <w:r>
        <w:rPr>
          <w:rFonts w:hint="eastAsia" w:ascii="Times New Roman" w:hAnsi="Times New Roman" w:cs="Times New Roman"/>
          <w:b w:val="0"/>
          <w:sz w:val="24"/>
          <w:lang w:val="en-US" w:eastAsia="zh-CN"/>
        </w:rPr>
        <w:t>4</w:t>
      </w:r>
      <w:r>
        <w:rPr>
          <w:rFonts w:ascii="Times New Roman" w:hAnsi="Times New Roman" w:eastAsia="宋体" w:cs="Times New Roman"/>
          <w:b w:val="0"/>
          <w:sz w:val="24"/>
        </w:rPr>
        <w:t xml:space="preserve"> SPCN 相位竞争建模与 DQN 更新流程</w:t>
      </w:r>
    </w:p>
    <w:p w14:paraId="290A6D7A">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SPCN 的相位对建模体现了交通信号的结构先验：冲突相位不应同时获得无约束的高价值，竞争卷积将这种关系编码到 Q 值中。其输出仍需经过平台动作范围和最小绿灯约束。</w:t>
      </w:r>
    </w:p>
    <w:p w14:paraId="097F00CF">
      <w:pPr>
        <w:spacing w:after="120" w:line="360" w:lineRule="auto"/>
        <w:ind w:firstLine="420"/>
        <w:rPr>
          <w:rFonts w:ascii="Times New Roman" w:hAnsi="Times New Roman" w:eastAsia="宋体" w:cs="Times New Roman"/>
          <w:sz w:val="24"/>
        </w:rPr>
      </w:pPr>
      <w:r>
        <w:rPr>
          <w:rFonts w:ascii="Times New Roman" w:hAnsi="Times New Roman" w:eastAsia="宋体" w:cs="Times New Roman"/>
          <w:sz w:val="24"/>
        </w:rPr>
        <w:t>在本项目中，SACF、SPCN和TRANSYT通过融序协同控制机制（FSCC）协同工作，而不是采用简单串联或独立投票方式。SACF使用冻结的策略模型，根据当前路口状态生成可迁移动作价值先验，为新场景提供稳定的决策起点；SPCN利用车道需求、当前相位和冲突相位关系，对候选相位进行竞争建模，并输出受约束的局部修正价值；TRANSYT风格协调层根据共同周期、绿信比分配、相位偏移和车辆到达波，为相邻路口生成走廊级协调方案。在每个控制周期内，系统以TRANSYT的协调动作作为名义方案，综合SACF动作先验与SPCN相位修正结果，只有当候选动作满足最小绿灯时间、拥堵门控、压力增益和动作范围等条件时，才允许SPCN进行局部覆盖；否则继续执行原协调方案。当模型异常、状态缺失或不确定性过高时，系统回退到最大压力或固定配时控制。由此，FSCC实现了策略迁移、相位竞争、走廊协调与安全约束的闭环统一。</w:t>
      </w:r>
    </w:p>
    <w:p w14:paraId="1488A7CA">
      <w:pPr>
        <w:pStyle w:val="4"/>
        <w:rPr>
          <w:rFonts w:hint="default" w:eastAsia="宋体"/>
          <w:lang w:val="en-US" w:eastAsia="zh-CN"/>
        </w:rPr>
      </w:pPr>
      <w:bookmarkStart w:id="33" w:name="bmk_176417"/>
      <w:bookmarkStart w:id="34" w:name="_Toc5059"/>
      <w:r>
        <w:rPr>
          <w:rFonts w:ascii="Times New Roman" w:hAnsi="Times New Roman" w:eastAsia="宋体"/>
          <w:b/>
          <w:color w:val="2F5597"/>
          <w:sz w:val="26"/>
        </w:rPr>
        <w:t>5.3 在线</w:t>
      </w:r>
      <w:bookmarkEnd w:id="33"/>
      <w:r>
        <w:rPr>
          <w:rFonts w:hint="eastAsia" w:ascii="Times New Roman" w:hAnsi="Times New Roman" w:eastAsia="宋体"/>
          <w:b/>
          <w:color w:val="2F5597"/>
          <w:sz w:val="26"/>
          <w:lang w:val="en-US" w:eastAsia="zh-CN"/>
        </w:rPr>
        <w:t>决策流程</w:t>
      </w:r>
      <w:bookmarkEnd w:id="34"/>
    </w:p>
    <w:p w14:paraId="7506D4E4">
      <w:pPr>
        <w:spacing w:after="120" w:line="360" w:lineRule="auto"/>
        <w:ind w:firstLine="420"/>
      </w:pPr>
      <w:r>
        <w:rPr>
          <w:rFonts w:ascii="Times New Roman" w:hAnsi="Times New Roman" w:eastAsia="宋体" w:cs="Times New Roman"/>
          <w:sz w:val="24"/>
        </w:rPr>
        <w:t>FSCC在每个控制周期内形成完整闭环：端侧和路侧感知提供车道需求、车辆状态和当前相位；边侧完成状态编码、SACF先验计算、SPCN相位竞争修正和安全执行；云侧汇聚区域拥堵、走廊偏移和模型版本等信息，向边侧提供低频协调建议；执行后的动作轨迹、队列和指标再写入结果层，作为下一周期的反馈。该闭环使FSCC同时具备局部低时延响应、跨路口时序协调、异常回退和过程可追溯能力。</w:t>
      </w:r>
    </w:p>
    <w:p w14:paraId="2BC2B883">
      <w:pPr>
        <w:spacing w:after="120" w:line="360" w:lineRule="auto"/>
        <w:ind w:firstLine="480"/>
      </w:pPr>
      <w:r>
        <w:rPr>
          <w:rFonts w:ascii="Times New Roman" w:hAnsi="Times New Roman" w:eastAsia="宋体" w:cs="Times New Roman"/>
          <w:b w:val="0"/>
          <w:sz w:val="24"/>
        </w:rPr>
        <w:t>图 5-</w:t>
      </w:r>
      <w:r>
        <w:rPr>
          <w:rFonts w:hint="eastAsia" w:ascii="Times New Roman" w:hAnsi="Times New Roman" w:cs="Times New Roman"/>
          <w:b w:val="0"/>
          <w:sz w:val="24"/>
          <w:lang w:val="en-US" w:eastAsia="zh-CN"/>
        </w:rPr>
        <w:t xml:space="preserve">5 </w:t>
      </w:r>
      <w:r>
        <w:rPr>
          <w:rFonts w:ascii="Times New Roman" w:hAnsi="Times New Roman" w:eastAsia="宋体" w:cs="Times New Roman"/>
          <w:b w:val="0"/>
          <w:sz w:val="24"/>
        </w:rPr>
        <w:t>将在线决策拆分为输入与感知、局部决策、安全执行、云侧协调和反馈学习五个分支，中心闭环对应每个控制周期。</w:t>
      </w:r>
    </w:p>
    <w:p w14:paraId="2D144668">
      <w:pPr>
        <w:jc w:val="center"/>
      </w:pPr>
      <w:r>
        <w:rPr>
          <w:rFonts w:ascii="Times New Roman" w:hAnsi="Times New Roman" w:eastAsia="宋体" w:cs="Times New Roman"/>
          <w:sz w:val="24"/>
        </w:rPr>
        <w:drawing>
          <wp:inline distT="0" distB="0" distL="114300" distR="114300">
            <wp:extent cx="3037205" cy="1991360"/>
            <wp:effectExtent l="0" t="0" r="127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3037205" cy="1991360"/>
                    </a:xfrm>
                    <a:prstGeom prst="rect">
                      <a:avLst/>
                    </a:prstGeom>
                  </pic:spPr>
                </pic:pic>
              </a:graphicData>
            </a:graphic>
          </wp:inline>
        </w:drawing>
      </w:r>
    </w:p>
    <w:p w14:paraId="32F58182">
      <w:pPr>
        <w:pStyle w:val="15"/>
        <w:spacing w:after="120" w:line="360" w:lineRule="auto"/>
        <w:jc w:val="center"/>
      </w:pPr>
      <w:r>
        <w:rPr>
          <w:rFonts w:ascii="Times New Roman" w:hAnsi="Times New Roman" w:eastAsia="宋体" w:cs="Times New Roman"/>
          <w:b w:val="0"/>
          <w:sz w:val="24"/>
        </w:rPr>
        <w:t>图5-</w:t>
      </w:r>
      <w:r>
        <w:rPr>
          <w:rFonts w:hint="eastAsia" w:ascii="Times New Roman" w:hAnsi="Times New Roman" w:cs="Times New Roman"/>
          <w:b w:val="0"/>
          <w:sz w:val="24"/>
          <w:lang w:val="en-US" w:eastAsia="zh-CN"/>
        </w:rPr>
        <w:t>5</w:t>
      </w:r>
      <w:r>
        <w:rPr>
          <w:rFonts w:ascii="Times New Roman" w:hAnsi="Times New Roman" w:eastAsia="宋体" w:cs="Times New Roman"/>
          <w:b w:val="0"/>
          <w:sz w:val="24"/>
        </w:rPr>
        <w:t xml:space="preserve"> 车路云协同在线决策思维导图</w:t>
      </w:r>
    </w:p>
    <w:p w14:paraId="5C0100F1">
      <w:pPr>
        <w:jc w:val="center"/>
      </w:pPr>
      <w:r>
        <w:rPr>
          <w:rFonts w:ascii="宋体" w:hAnsi="宋体" w:eastAsia="宋体" w:cs="宋体"/>
          <w:sz w:val="24"/>
          <w:szCs w:val="24"/>
        </w:rPr>
        <w:drawing>
          <wp:inline distT="0" distB="0" distL="114300" distR="114300">
            <wp:extent cx="3012440" cy="4089400"/>
            <wp:effectExtent l="0" t="0" r="6985" b="6350"/>
            <wp:docPr id="15"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6"/>
                    <pic:cNvPicPr>
                      <a:picLocks noChangeAspect="1"/>
                    </pic:cNvPicPr>
                  </pic:nvPicPr>
                  <pic:blipFill>
                    <a:blip r:embed="rId14"/>
                    <a:stretch>
                      <a:fillRect/>
                    </a:stretch>
                  </pic:blipFill>
                  <pic:spPr>
                    <a:xfrm>
                      <a:off x="0" y="0"/>
                      <a:ext cx="3012440" cy="4089400"/>
                    </a:xfrm>
                    <a:prstGeom prst="rect">
                      <a:avLst/>
                    </a:prstGeom>
                    <a:noFill/>
                    <a:ln w="9525">
                      <a:noFill/>
                    </a:ln>
                  </pic:spPr>
                </pic:pic>
              </a:graphicData>
            </a:graphic>
          </wp:inline>
        </w:drawing>
      </w:r>
    </w:p>
    <w:p w14:paraId="1C051565">
      <w:pPr>
        <w:pStyle w:val="15"/>
        <w:spacing w:after="120" w:line="360" w:lineRule="auto"/>
        <w:jc w:val="center"/>
      </w:pPr>
      <w:r>
        <w:rPr>
          <w:rFonts w:ascii="Times New Roman" w:hAnsi="Times New Roman" w:eastAsia="宋体" w:cs="Times New Roman"/>
          <w:b w:val="0"/>
          <w:sz w:val="24"/>
        </w:rPr>
        <w:t>图5-</w:t>
      </w:r>
      <w:r>
        <w:rPr>
          <w:rFonts w:hint="eastAsia" w:ascii="Times New Roman" w:hAnsi="Times New Roman" w:cs="Times New Roman"/>
          <w:b w:val="0"/>
          <w:sz w:val="24"/>
          <w:lang w:val="en-US" w:eastAsia="zh-CN"/>
        </w:rPr>
        <w:t>6</w:t>
      </w:r>
      <w:r>
        <w:rPr>
          <w:rFonts w:ascii="Times New Roman" w:hAnsi="Times New Roman" w:eastAsia="宋体" w:cs="Times New Roman"/>
          <w:b w:val="0"/>
          <w:sz w:val="24"/>
        </w:rPr>
        <w:t xml:space="preserve"> </w:t>
      </w:r>
      <w:r>
        <w:rPr>
          <w:rFonts w:ascii="宋体" w:hAnsi="宋体" w:eastAsia="宋体" w:cs="宋体"/>
          <w:b w:val="0"/>
          <w:bCs w:val="0"/>
          <w:sz w:val="24"/>
          <w:szCs w:val="24"/>
        </w:rPr>
        <w:t>融序协同控制机制</w:t>
      </w:r>
      <w:r>
        <w:rPr>
          <w:rFonts w:hint="eastAsia" w:cs="宋体"/>
          <w:b w:val="0"/>
          <w:bCs w:val="0"/>
          <w:sz w:val="24"/>
          <w:szCs w:val="24"/>
          <w:lang w:val="en-US" w:eastAsia="zh-CN"/>
        </w:rPr>
        <w:t>FSCC</w:t>
      </w:r>
      <w:r>
        <w:rPr>
          <w:rFonts w:ascii="Times New Roman" w:hAnsi="Times New Roman" w:eastAsia="宋体" w:cs="Times New Roman"/>
          <w:b w:val="0"/>
          <w:sz w:val="24"/>
        </w:rPr>
        <w:t>闭环决策流程图</w:t>
      </w:r>
    </w:p>
    <w:p w14:paraId="1626BAEC">
      <w:pPr>
        <w:pStyle w:val="4"/>
      </w:pPr>
      <w:bookmarkStart w:id="35" w:name="_Toc16321"/>
      <w:bookmarkStart w:id="36" w:name="bmk_280044"/>
      <w:r>
        <w:rPr>
          <w:rFonts w:ascii="Times New Roman" w:hAnsi="Times New Roman" w:eastAsia="宋体"/>
          <w:b/>
          <w:color w:val="2F5597"/>
          <w:sz w:val="26"/>
        </w:rPr>
        <w:t>5.4 计算复杂度与安全约束</w:t>
      </w:r>
      <w:bookmarkEnd w:id="35"/>
      <w:bookmarkEnd w:id="36"/>
    </w:p>
    <w:p w14:paraId="37462C52">
      <w:pPr>
        <w:spacing w:after="120" w:line="360" w:lineRule="auto"/>
        <w:ind w:firstLine="480"/>
        <w:rPr>
          <w:rFonts w:ascii="Times New Roman" w:hAnsi="Times New Roman" w:eastAsia="宋体" w:cs="Times New Roman"/>
          <w:b w:val="0"/>
          <w:sz w:val="24"/>
        </w:rPr>
      </w:pPr>
      <w:r>
        <w:rPr>
          <w:rFonts w:ascii="Times New Roman" w:hAnsi="Times New Roman" w:eastAsia="宋体" w:cs="Times New Roman"/>
          <w:b w:val="0"/>
          <w:sz w:val="24"/>
        </w:rPr>
        <w:t>对 N 个路口、A 个相位和 d 维状态，单次决策主要开销为 O(NAd)；SPCN 相位竞争矩阵为 O(NA^2)，在当前 20 路口、8 相位配置下可由 CPU 实时完成。安全约束包括动作集合闭合、最小绿灯、相位切换清空、异常值拒绝和模型冻结检查，保证学习模块只能在规则允许的范围内修正。</w:t>
      </w:r>
    </w:p>
    <w:p w14:paraId="2C3DAD1D">
      <w:pPr>
        <w:pStyle w:val="4"/>
        <w:rPr>
          <w:rFonts w:ascii="Times New Roman" w:hAnsi="Times New Roman" w:eastAsia="宋体"/>
          <w:b/>
          <w:color w:val="2F5597"/>
          <w:sz w:val="26"/>
        </w:rPr>
      </w:pPr>
      <w:bookmarkStart w:id="37" w:name="_Toc27752"/>
      <w:r>
        <w:rPr>
          <w:rFonts w:hint="eastAsia" w:ascii="Times New Roman" w:hAnsi="Times New Roman" w:eastAsia="宋体"/>
          <w:b/>
          <w:color w:val="2F5597"/>
          <w:sz w:val="26"/>
          <w:lang w:val="en-US" w:eastAsia="zh-CN"/>
        </w:rPr>
        <w:t>5</w:t>
      </w:r>
      <w:r>
        <w:rPr>
          <w:rFonts w:ascii="Times New Roman" w:hAnsi="Times New Roman" w:eastAsia="宋体"/>
          <w:b/>
          <w:color w:val="2F5597"/>
          <w:sz w:val="26"/>
        </w:rPr>
        <w:t>.</w:t>
      </w:r>
      <w:r>
        <w:rPr>
          <w:rFonts w:hint="eastAsia" w:ascii="Times New Roman" w:hAnsi="Times New Roman" w:eastAsia="宋体"/>
          <w:b/>
          <w:color w:val="2F5597"/>
          <w:sz w:val="26"/>
          <w:lang w:val="en-US" w:eastAsia="zh-CN"/>
        </w:rPr>
        <w:t>5</w:t>
      </w:r>
      <w:r>
        <w:rPr>
          <w:rFonts w:ascii="Times New Roman" w:hAnsi="Times New Roman" w:eastAsia="宋体"/>
          <w:b/>
          <w:color w:val="2F5597"/>
          <w:sz w:val="26"/>
        </w:rPr>
        <w:t xml:space="preserve"> 路网运行与动态监测</w:t>
      </w:r>
      <w:bookmarkEnd w:id="37"/>
    </w:p>
    <w:p w14:paraId="74B3258D">
      <w:pPr>
        <w:spacing w:after="120" w:line="360" w:lineRule="auto"/>
        <w:ind w:firstLine="480"/>
      </w:pPr>
      <w:r>
        <w:rPr>
          <w:rFonts w:ascii="Times New Roman" w:hAnsi="Times New Roman" w:eastAsia="宋体" w:cs="Times New Roman"/>
          <w:b w:val="0"/>
          <w:sz w:val="24"/>
        </w:rPr>
        <w:t>图 4-1 为 20 路口 CityFlow 动态监测窗口。路网以 4×5 布局呈现，节点颜色和编号对应当前相位，节点旁同时显示队列代理量；底部状态栏记录仿真时间、在网车辆、已注入车辆和已排队车辆。该监测视图用于验证算法动作确实进入仿真器，而不是仅离线生成一组指标。</w:t>
      </w:r>
    </w:p>
    <w:p w14:paraId="322AC6D2">
      <w:pPr>
        <w:spacing w:after="120" w:line="360" w:lineRule="auto"/>
        <w:ind w:firstLine="480" w:firstLineChars="200"/>
      </w:pPr>
      <w:r>
        <w:rPr>
          <w:rFonts w:ascii="Times New Roman" w:hAnsi="Times New Roman" w:eastAsia="宋体" w:cs="Times New Roman"/>
          <w:sz w:val="24"/>
        </w:rPr>
        <w:t>20 路口场景的价值在于把单路口控制提升为网络级联动验证。场景文件固化道路、车道、roadLink、信号相位和分时段车流，审计清单记录来源表格与转换结果，避免仅凭一张示意图宣称“高保真”。同时提供十字、三岔和五岔独立路口包，用于快速检查相位逻辑在不同几何结构下是否仍然成立。</w:t>
      </w:r>
    </w:p>
    <w:p w14:paraId="1B49D8DA">
      <w:pPr>
        <w:spacing w:after="120" w:line="360" w:lineRule="auto"/>
        <w:ind w:firstLine="480"/>
      </w:pPr>
      <w:r>
        <w:rPr>
          <w:rFonts w:ascii="Times New Roman" w:hAnsi="Times New Roman" w:eastAsia="宋体" w:cs="Times New Roman"/>
          <w:sz w:val="24"/>
        </w:rPr>
        <w:t>插件体系通过注册表、Schema 和冒烟测试形成三道门槛：名称与模型依赖必须登记，输入输出必须满足固定维度，短步运行通过后才能进入正式评测。该机制把算法研究中常见的“模型能加载但平台不能运行”问题前置发现。</w:t>
      </w:r>
    </w:p>
    <w:p w14:paraId="6752D180">
      <w:pPr>
        <w:spacing w:after="120" w:line="360" w:lineRule="auto"/>
        <w:ind w:firstLine="480"/>
      </w:pPr>
      <w:r>
        <w:rPr>
          <w:rFonts w:ascii="Times New Roman" w:hAnsi="Times New Roman" w:eastAsia="宋体" w:cs="Times New Roman"/>
          <w:b w:val="0"/>
          <w:sz w:val="24"/>
        </w:rPr>
        <w:t>20 路口场景包含 294 条道路，早高峰、平峰和晚高峰计划车辆数分别为 77,749、54,864 和 87,051；20/20 份来源表格通过审计一致。另提供十字、三岔、五岔三个独立路口包。</w:t>
      </w:r>
    </w:p>
    <w:p w14:paraId="1959831C">
      <w:pPr>
        <w:pStyle w:val="4"/>
      </w:pPr>
      <w:bookmarkStart w:id="38" w:name="bmk_103779"/>
      <w:bookmarkStart w:id="39" w:name="_Toc18363"/>
      <w:r>
        <w:rPr>
          <w:rFonts w:hint="eastAsia" w:ascii="Times New Roman" w:hAnsi="Times New Roman" w:eastAsia="宋体"/>
          <w:b/>
          <w:color w:val="2F5597"/>
          <w:sz w:val="26"/>
          <w:lang w:val="en-US" w:eastAsia="zh-CN"/>
        </w:rPr>
        <w:t>5</w:t>
      </w:r>
      <w:r>
        <w:rPr>
          <w:rFonts w:ascii="Times New Roman" w:hAnsi="Times New Roman" w:eastAsia="宋体"/>
          <w:b/>
          <w:color w:val="2F5597"/>
          <w:sz w:val="26"/>
        </w:rPr>
        <w:t>.</w:t>
      </w:r>
      <w:r>
        <w:rPr>
          <w:rFonts w:hint="eastAsia" w:ascii="Times New Roman" w:hAnsi="Times New Roman" w:eastAsia="宋体"/>
          <w:b/>
          <w:color w:val="2F5597"/>
          <w:sz w:val="26"/>
          <w:lang w:val="en-US" w:eastAsia="zh-CN"/>
        </w:rPr>
        <w:t>6</w:t>
      </w:r>
      <w:r>
        <w:rPr>
          <w:rFonts w:ascii="Times New Roman" w:hAnsi="Times New Roman" w:eastAsia="宋体"/>
          <w:b/>
          <w:color w:val="2F5597"/>
          <w:sz w:val="26"/>
        </w:rPr>
        <w:t xml:space="preserve"> 插件契约</w:t>
      </w:r>
      <w:bookmarkEnd w:id="38"/>
      <w:bookmarkEnd w:id="39"/>
    </w:p>
    <w:p w14:paraId="2B71DB6E">
      <w:pPr>
        <w:spacing w:after="120" w:line="360" w:lineRule="auto"/>
        <w:ind w:firstLine="480"/>
      </w:pPr>
      <w:r>
        <w:rPr>
          <w:rFonts w:ascii="Times New Roman" w:hAnsi="Times New Roman" w:eastAsia="宋体" w:cs="Times New Roman"/>
          <w:b w:val="0"/>
          <w:sz w:val="24"/>
        </w:rPr>
        <w:t>SignalAlgorithm.choose(states) 接收 numpy.float32 的 [20,12] 状态，每行顺序为 WL、WT、WR、EL、ET、ER、NL、NT、NR、SL、ST、SR；返回 numpy.int64 的 [20] 动作，范围 0..7。执行器将 action+1 映射为 CityFlow 绿灯相位 1..8，相位 0 保留为 3 秒清空相位。</w:t>
      </w:r>
    </w:p>
    <w:p w14:paraId="401EA4D3">
      <w:pPr>
        <w:spacing w:after="120" w:line="360" w:lineRule="auto"/>
        <w:ind w:firstLine="480"/>
      </w:pPr>
      <w:r>
        <w:rPr>
          <w:rFonts w:ascii="Times New Roman" w:hAnsi="Times New Roman" w:eastAsia="宋体" w:cs="Times New Roman"/>
          <w:b w:val="0"/>
          <w:sz w:val="24"/>
        </w:rPr>
        <w:t>metrics.csv 记录算法、时段、步数、耗时、吞吐率、完成车辆估计量和队列代理量；trace JSON 每 10 秒记录动作、活跃车辆和节点队列；只有循环完整结束才写入 complete。</w:t>
      </w:r>
    </w:p>
    <w:p w14:paraId="73A40C33">
      <w:pPr>
        <w:spacing w:after="120" w:line="360" w:lineRule="auto"/>
        <w:ind w:firstLine="480"/>
        <w:rPr>
          <w:rFonts w:ascii="Times New Roman" w:hAnsi="Times New Roman" w:eastAsia="宋体" w:cs="Times New Roman"/>
          <w:b w:val="0"/>
          <w:sz w:val="24"/>
        </w:rPr>
      </w:pPr>
      <w:r>
        <w:rPr>
          <w:rFonts w:ascii="Times New Roman" w:hAnsi="Times New Roman" w:eastAsia="宋体" w:cs="Times New Roman"/>
          <w:b w:val="0"/>
          <w:sz w:val="24"/>
        </w:rPr>
        <w:t>平台还提供算法注册表和模型注册表：算法名称、输入维度、动作空间、模型文件、配置文件和版本号必须一一对应。插件接入时先执行静态契约检查，再执行 50—100 步冒烟仿真，最后进入 7,500 步正式评测；这种分级验收方式降低了“代码可导入但无法完整运行”的风险。</w:t>
      </w:r>
    </w:p>
    <w:p w14:paraId="22ABD706">
      <w:pPr>
        <w:pStyle w:val="3"/>
      </w:pPr>
      <w:bookmarkStart w:id="40" w:name="bmk_531198"/>
      <w:bookmarkStart w:id="41" w:name="_Toc30813"/>
      <w:r>
        <w:rPr>
          <w:rFonts w:ascii="Times New Roman" w:hAnsi="Times New Roman" w:eastAsia="宋体"/>
          <w:b/>
          <w:color w:val="1F4E79"/>
          <w:sz w:val="32"/>
        </w:rPr>
        <w:t>6 实验设计与结果分析</w:t>
      </w:r>
      <w:bookmarkEnd w:id="40"/>
      <w:bookmarkEnd w:id="41"/>
    </w:p>
    <w:p w14:paraId="74058262">
      <w:pPr>
        <w:spacing w:after="120" w:line="360" w:lineRule="auto"/>
        <w:ind w:firstLine="480"/>
      </w:pPr>
      <w:r>
        <w:rPr>
          <w:rFonts w:ascii="Times New Roman" w:hAnsi="Times New Roman" w:eastAsia="宋体" w:cs="Times New Roman"/>
          <w:sz w:val="24"/>
        </w:rPr>
        <w:t>实验采用“主结果 + 消融 + 扰动 + 独立路口”四级证据结构。主结果检验完整组合在早高峰、平峰和晚高峰下的总体收益；消融实验回答 SACF、SPCN、TRANSYT 是否互补；压力扰动检验需求增加时的鲁棒性；独立路口实验则验证接口和控制逻辑能否脱离大场景单独运行。</w:t>
      </w:r>
    </w:p>
    <w:p w14:paraId="6718E766">
      <w:pPr>
        <w:spacing w:after="120" w:line="360" w:lineRule="auto"/>
        <w:ind w:firstLine="480"/>
      </w:pPr>
      <w:r>
        <w:rPr>
          <w:rFonts w:ascii="Times New Roman" w:hAnsi="Times New Roman" w:eastAsia="宋体" w:cs="Times New Roman"/>
          <w:sz w:val="24"/>
        </w:rPr>
        <w:t>所有对比均使用相同场景输入、相同仿真步数和固定随机种子。对于吞吐率几乎饱和的场景，报告不把微小完成量差异夸大为算法优势，而重点解释旅行时间和队列变化，这使结论更加稳健。</w:t>
      </w:r>
    </w:p>
    <w:p w14:paraId="18CCDB08">
      <w:pPr>
        <w:pStyle w:val="4"/>
      </w:pPr>
      <w:bookmarkStart w:id="42" w:name="bmk_205396"/>
      <w:bookmarkStart w:id="43" w:name="_Toc11093"/>
      <w:r>
        <w:rPr>
          <w:rFonts w:ascii="Times New Roman" w:hAnsi="Times New Roman" w:eastAsia="宋体"/>
          <w:b/>
          <w:color w:val="2F5597"/>
          <w:sz w:val="26"/>
        </w:rPr>
        <w:t>6.1 评估口径</w:t>
      </w:r>
      <w:bookmarkEnd w:id="42"/>
      <w:bookmarkEnd w:id="43"/>
    </w:p>
    <w:p w14:paraId="3D0DF911">
      <w:pPr>
        <w:pStyle w:val="4"/>
        <w:spacing w:after="120" w:line="360" w:lineRule="auto"/>
        <w:ind w:firstLine="480"/>
      </w:pPr>
      <w:bookmarkStart w:id="44" w:name="_Toc24003"/>
      <w:r>
        <w:rPr>
          <w:rFonts w:ascii="Times New Roman" w:hAnsi="Times New Roman" w:eastAsia="宋体"/>
          <w:b/>
          <w:bCs w:val="0"/>
          <w:sz w:val="24"/>
        </w:rPr>
        <w:t>6.2 三时段全量消融实验</w:t>
      </w:r>
      <w:bookmarkEnd w:id="44"/>
    </w:p>
    <w:p w14:paraId="18FAB6E6">
      <w:pPr>
        <w:spacing w:after="120" w:line="360" w:lineRule="auto"/>
        <w:ind w:firstLine="480"/>
      </w:pPr>
      <w:r>
        <w:rPr>
          <w:rFonts w:ascii="Times New Roman" w:hAnsi="Times New Roman" w:eastAsia="宋体" w:cs="Times New Roman"/>
          <w:b w:val="0"/>
          <w:sz w:val="24"/>
        </w:rPr>
        <w:t>为验证组件互补性，实验分别去除 TRANSYT、SPCN 和 SACF，并保留固定配时和 TRANSYT-only 参照。所有结果来自同一 20 路口场景、同一时段输入和 7,500 步运行。表 6-3 至表 6-5 将原始结果按统一口径列出，其中旅行时间（TT）表示估计完成车辆的平均旅行时间，延迟为相对自由流时间的估计延迟，平均队列为运行期间的队列代理量均值。</w:t>
      </w:r>
    </w:p>
    <w:p w14:paraId="3CB16A80">
      <w:pPr>
        <w:pStyle w:val="15"/>
        <w:jc w:val="center"/>
      </w:pPr>
      <w:r>
        <w:rPr>
          <w:rFonts w:ascii="Times New Roman" w:hAnsi="Times New Roman" w:eastAsia="宋体" w:cs="Times New Roman"/>
          <w:b/>
          <w:sz w:val="24"/>
        </w:rPr>
        <w:t>表6-1 早高峰全量消融结果</w:t>
      </w:r>
    </w:p>
    <w:tbl>
      <w:tblPr>
        <w:tblStyle w:val="36"/>
        <w:tblW w:w="9648"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2"/>
        <w:gridCol w:w="975"/>
        <w:gridCol w:w="975"/>
        <w:gridCol w:w="1026"/>
        <w:gridCol w:w="1026"/>
        <w:gridCol w:w="829"/>
        <w:gridCol w:w="1040"/>
        <w:gridCol w:w="975"/>
      </w:tblGrid>
      <w:tr w14:paraId="331B96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80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1E33C9C3">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方法</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1FC045D4">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TT/s</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4C942EF">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延迟/s</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1BD0819">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D484FB3">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最大队列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AF600DC">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末队列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204AEFA">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吞吐率</w:t>
            </w:r>
          </w:p>
        </w:tc>
        <w:tc>
          <w:tcPr>
            <w:tcW w:w="975"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FF4C314">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TT变化</w:t>
            </w:r>
          </w:p>
        </w:tc>
      </w:tr>
      <w:tr w14:paraId="27A3670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single" w:color="auto" w:sz="4" w:space="0"/>
              <w:left w:val="nil"/>
              <w:bottom w:val="nil"/>
              <w:right w:val="nil"/>
            </w:tcBorders>
            <w:noWrap w:val="0"/>
            <w:tcMar>
              <w:top w:w="-1" w:type="dxa"/>
              <w:left w:w="-1" w:type="dxa"/>
              <w:bottom w:w="-1" w:type="dxa"/>
              <w:right w:w="-1" w:type="dxa"/>
            </w:tcMar>
            <w:vAlign w:val="center"/>
          </w:tcPr>
          <w:p w14:paraId="1F7BC0E7">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固定配时</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DD79C9">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1204.245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6B9F4D9">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1130.715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939BCE8">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17.75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4E644A">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82511FB">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7BD6809">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99.9704%</w:t>
            </w:r>
          </w:p>
        </w:tc>
        <w:tc>
          <w:tcPr>
            <w:tcW w:w="975" w:type="dxa"/>
            <w:tcBorders>
              <w:top w:val="single" w:color="auto" w:sz="4" w:space="0"/>
              <w:left w:val="nil"/>
              <w:bottom w:val="nil"/>
              <w:right w:val="nil"/>
            </w:tcBorders>
            <w:noWrap w:val="0"/>
            <w:tcMar>
              <w:top w:w="-1" w:type="dxa"/>
              <w:left w:w="-1" w:type="dxa"/>
              <w:bottom w:w="-1" w:type="dxa"/>
              <w:right w:w="-1" w:type="dxa"/>
            </w:tcMar>
            <w:vAlign w:val="center"/>
          </w:tcPr>
          <w:p w14:paraId="4AC66AA0">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+0.00%</w:t>
            </w:r>
          </w:p>
        </w:tc>
      </w:tr>
      <w:tr w14:paraId="400F9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5907E5D0">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TRANSYT-only</w:t>
            </w:r>
          </w:p>
        </w:tc>
        <w:tc>
          <w:tcPr>
            <w:tcW w:w="0" w:type="auto"/>
            <w:tcBorders>
              <w:top w:val="nil"/>
              <w:left w:val="nil"/>
              <w:bottom w:val="nil"/>
              <w:right w:val="nil"/>
            </w:tcBorders>
            <w:noWrap w:val="0"/>
            <w:tcMar>
              <w:top w:w="-1" w:type="dxa"/>
              <w:left w:w="-1" w:type="dxa"/>
              <w:bottom w:w="-1" w:type="dxa"/>
              <w:right w:w="-1" w:type="dxa"/>
            </w:tcMar>
            <w:vAlign w:val="center"/>
          </w:tcPr>
          <w:p w14:paraId="157CC063">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1153.059</w:t>
            </w:r>
          </w:p>
        </w:tc>
        <w:tc>
          <w:tcPr>
            <w:tcW w:w="0" w:type="auto"/>
            <w:tcBorders>
              <w:top w:val="nil"/>
              <w:left w:val="nil"/>
              <w:bottom w:val="nil"/>
              <w:right w:val="nil"/>
            </w:tcBorders>
            <w:noWrap w:val="0"/>
            <w:tcMar>
              <w:top w:w="-1" w:type="dxa"/>
              <w:left w:w="-1" w:type="dxa"/>
              <w:bottom w:w="-1" w:type="dxa"/>
              <w:right w:w="-1" w:type="dxa"/>
            </w:tcMar>
            <w:vAlign w:val="center"/>
          </w:tcPr>
          <w:p w14:paraId="2C51CB8E">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1079.528</w:t>
            </w:r>
          </w:p>
        </w:tc>
        <w:tc>
          <w:tcPr>
            <w:tcW w:w="0" w:type="auto"/>
            <w:tcBorders>
              <w:top w:val="nil"/>
              <w:left w:val="nil"/>
              <w:bottom w:val="nil"/>
              <w:right w:val="nil"/>
            </w:tcBorders>
            <w:noWrap w:val="0"/>
            <w:tcMar>
              <w:top w:w="-1" w:type="dxa"/>
              <w:left w:w="-1" w:type="dxa"/>
              <w:bottom w:w="-1" w:type="dxa"/>
              <w:right w:w="-1" w:type="dxa"/>
            </w:tcMar>
            <w:vAlign w:val="center"/>
          </w:tcPr>
          <w:p w14:paraId="43F553D2">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16.36</w:t>
            </w:r>
          </w:p>
        </w:tc>
        <w:tc>
          <w:tcPr>
            <w:tcW w:w="0" w:type="auto"/>
            <w:tcBorders>
              <w:top w:val="nil"/>
              <w:left w:val="nil"/>
              <w:bottom w:val="nil"/>
              <w:right w:val="nil"/>
            </w:tcBorders>
            <w:noWrap w:val="0"/>
            <w:tcMar>
              <w:top w:w="-1" w:type="dxa"/>
              <w:left w:w="-1" w:type="dxa"/>
              <w:bottom w:w="-1" w:type="dxa"/>
              <w:right w:w="-1" w:type="dxa"/>
            </w:tcMar>
            <w:vAlign w:val="center"/>
          </w:tcPr>
          <w:p w14:paraId="10A0F51A">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47</w:t>
            </w:r>
          </w:p>
        </w:tc>
        <w:tc>
          <w:tcPr>
            <w:tcW w:w="0" w:type="auto"/>
            <w:tcBorders>
              <w:top w:val="nil"/>
              <w:left w:val="nil"/>
              <w:bottom w:val="nil"/>
              <w:right w:val="nil"/>
            </w:tcBorders>
            <w:noWrap w:val="0"/>
            <w:tcMar>
              <w:top w:w="-1" w:type="dxa"/>
              <w:left w:w="-1" w:type="dxa"/>
              <w:bottom w:w="-1" w:type="dxa"/>
              <w:right w:w="-1" w:type="dxa"/>
            </w:tcMar>
            <w:vAlign w:val="center"/>
          </w:tcPr>
          <w:p w14:paraId="7DBD3AE2">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23</w:t>
            </w:r>
          </w:p>
        </w:tc>
        <w:tc>
          <w:tcPr>
            <w:tcW w:w="0" w:type="auto"/>
            <w:tcBorders>
              <w:top w:val="nil"/>
              <w:left w:val="nil"/>
              <w:bottom w:val="nil"/>
              <w:right w:val="nil"/>
            </w:tcBorders>
            <w:noWrap w:val="0"/>
            <w:tcMar>
              <w:top w:w="-1" w:type="dxa"/>
              <w:left w:w="-1" w:type="dxa"/>
              <w:bottom w:w="-1" w:type="dxa"/>
              <w:right w:w="-1" w:type="dxa"/>
            </w:tcMar>
            <w:vAlign w:val="center"/>
          </w:tcPr>
          <w:p w14:paraId="0951F5CA">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99.9704%</w:t>
            </w:r>
          </w:p>
        </w:tc>
        <w:tc>
          <w:tcPr>
            <w:tcW w:w="975" w:type="dxa"/>
            <w:tcBorders>
              <w:top w:val="nil"/>
              <w:left w:val="nil"/>
              <w:bottom w:val="nil"/>
              <w:right w:val="nil"/>
            </w:tcBorders>
            <w:noWrap w:val="0"/>
            <w:tcMar>
              <w:top w:w="-1" w:type="dxa"/>
              <w:left w:w="-1" w:type="dxa"/>
              <w:bottom w:w="-1" w:type="dxa"/>
              <w:right w:w="-1" w:type="dxa"/>
            </w:tcMar>
            <w:vAlign w:val="center"/>
          </w:tcPr>
          <w:p w14:paraId="5504BB17">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-4.25%</w:t>
            </w:r>
          </w:p>
        </w:tc>
      </w:tr>
      <w:tr w14:paraId="65C2C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47FB4A9C">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SACF+SPCN（无TRANSYT）</w:t>
            </w:r>
          </w:p>
        </w:tc>
        <w:tc>
          <w:tcPr>
            <w:tcW w:w="0" w:type="auto"/>
            <w:tcBorders>
              <w:top w:val="nil"/>
              <w:left w:val="nil"/>
              <w:bottom w:val="nil"/>
              <w:right w:val="nil"/>
            </w:tcBorders>
            <w:noWrap w:val="0"/>
            <w:tcMar>
              <w:top w:w="-1" w:type="dxa"/>
              <w:left w:w="-1" w:type="dxa"/>
              <w:bottom w:w="-1" w:type="dxa"/>
              <w:right w:w="-1" w:type="dxa"/>
            </w:tcMar>
            <w:vAlign w:val="center"/>
          </w:tcPr>
          <w:p w14:paraId="2B8177F0">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1211.461</w:t>
            </w:r>
          </w:p>
        </w:tc>
        <w:tc>
          <w:tcPr>
            <w:tcW w:w="0" w:type="auto"/>
            <w:tcBorders>
              <w:top w:val="nil"/>
              <w:left w:val="nil"/>
              <w:bottom w:val="nil"/>
              <w:right w:val="nil"/>
            </w:tcBorders>
            <w:noWrap w:val="0"/>
            <w:tcMar>
              <w:top w:w="-1" w:type="dxa"/>
              <w:left w:w="-1" w:type="dxa"/>
              <w:bottom w:w="-1" w:type="dxa"/>
              <w:right w:w="-1" w:type="dxa"/>
            </w:tcMar>
            <w:vAlign w:val="center"/>
          </w:tcPr>
          <w:p w14:paraId="64DEFC6E">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1137.930</w:t>
            </w:r>
          </w:p>
        </w:tc>
        <w:tc>
          <w:tcPr>
            <w:tcW w:w="0" w:type="auto"/>
            <w:tcBorders>
              <w:top w:val="nil"/>
              <w:left w:val="nil"/>
              <w:bottom w:val="nil"/>
              <w:right w:val="nil"/>
            </w:tcBorders>
            <w:noWrap w:val="0"/>
            <w:tcMar>
              <w:top w:w="-1" w:type="dxa"/>
              <w:left w:w="-1" w:type="dxa"/>
              <w:bottom w:w="-1" w:type="dxa"/>
              <w:right w:w="-1" w:type="dxa"/>
            </w:tcMar>
            <w:vAlign w:val="center"/>
          </w:tcPr>
          <w:p w14:paraId="0C67ADE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17.95</w:t>
            </w:r>
          </w:p>
        </w:tc>
        <w:tc>
          <w:tcPr>
            <w:tcW w:w="0" w:type="auto"/>
            <w:tcBorders>
              <w:top w:val="nil"/>
              <w:left w:val="nil"/>
              <w:bottom w:val="nil"/>
              <w:right w:val="nil"/>
            </w:tcBorders>
            <w:noWrap w:val="0"/>
            <w:tcMar>
              <w:top w:w="-1" w:type="dxa"/>
              <w:left w:w="-1" w:type="dxa"/>
              <w:bottom w:w="-1" w:type="dxa"/>
              <w:right w:w="-1" w:type="dxa"/>
            </w:tcMar>
            <w:vAlign w:val="center"/>
          </w:tcPr>
          <w:p w14:paraId="223545EB">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51</w:t>
            </w:r>
          </w:p>
        </w:tc>
        <w:tc>
          <w:tcPr>
            <w:tcW w:w="0" w:type="auto"/>
            <w:tcBorders>
              <w:top w:val="nil"/>
              <w:left w:val="nil"/>
              <w:bottom w:val="nil"/>
              <w:right w:val="nil"/>
            </w:tcBorders>
            <w:noWrap w:val="0"/>
            <w:tcMar>
              <w:top w:w="-1" w:type="dxa"/>
              <w:left w:w="-1" w:type="dxa"/>
              <w:bottom w:w="-1" w:type="dxa"/>
              <w:right w:w="-1" w:type="dxa"/>
            </w:tcMar>
            <w:vAlign w:val="center"/>
          </w:tcPr>
          <w:p w14:paraId="31612345">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25</w:t>
            </w:r>
          </w:p>
        </w:tc>
        <w:tc>
          <w:tcPr>
            <w:tcW w:w="0" w:type="auto"/>
            <w:tcBorders>
              <w:top w:val="nil"/>
              <w:left w:val="nil"/>
              <w:bottom w:val="nil"/>
              <w:right w:val="nil"/>
            </w:tcBorders>
            <w:noWrap w:val="0"/>
            <w:tcMar>
              <w:top w:w="-1" w:type="dxa"/>
              <w:left w:w="-1" w:type="dxa"/>
              <w:bottom w:w="-1" w:type="dxa"/>
              <w:right w:w="-1" w:type="dxa"/>
            </w:tcMar>
            <w:vAlign w:val="center"/>
          </w:tcPr>
          <w:p w14:paraId="69A742A3">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99.9678%</w:t>
            </w:r>
          </w:p>
        </w:tc>
        <w:tc>
          <w:tcPr>
            <w:tcW w:w="975" w:type="dxa"/>
            <w:tcBorders>
              <w:top w:val="nil"/>
              <w:left w:val="nil"/>
              <w:bottom w:val="nil"/>
              <w:right w:val="nil"/>
            </w:tcBorders>
            <w:noWrap w:val="0"/>
            <w:tcMar>
              <w:top w:w="-1" w:type="dxa"/>
              <w:left w:w="-1" w:type="dxa"/>
              <w:bottom w:w="-1" w:type="dxa"/>
              <w:right w:w="-1" w:type="dxa"/>
            </w:tcMar>
            <w:vAlign w:val="center"/>
          </w:tcPr>
          <w:p w14:paraId="314FB52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+0.60%</w:t>
            </w:r>
          </w:p>
        </w:tc>
      </w:tr>
      <w:tr w14:paraId="3DE9BD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2A0B697A">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SACF+TRANSYT（去SPCN）</w:t>
            </w:r>
          </w:p>
        </w:tc>
        <w:tc>
          <w:tcPr>
            <w:tcW w:w="0" w:type="auto"/>
            <w:tcBorders>
              <w:top w:val="nil"/>
              <w:left w:val="nil"/>
              <w:bottom w:val="nil"/>
              <w:right w:val="nil"/>
            </w:tcBorders>
            <w:noWrap w:val="0"/>
            <w:tcMar>
              <w:top w:w="-1" w:type="dxa"/>
              <w:left w:w="-1" w:type="dxa"/>
              <w:bottom w:w="-1" w:type="dxa"/>
              <w:right w:w="-1" w:type="dxa"/>
            </w:tcMar>
            <w:vAlign w:val="center"/>
          </w:tcPr>
          <w:p w14:paraId="37B96E51">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1152.284</w:t>
            </w:r>
          </w:p>
        </w:tc>
        <w:tc>
          <w:tcPr>
            <w:tcW w:w="0" w:type="auto"/>
            <w:tcBorders>
              <w:top w:val="nil"/>
              <w:left w:val="nil"/>
              <w:bottom w:val="nil"/>
              <w:right w:val="nil"/>
            </w:tcBorders>
            <w:noWrap w:val="0"/>
            <w:tcMar>
              <w:top w:w="-1" w:type="dxa"/>
              <w:left w:w="-1" w:type="dxa"/>
              <w:bottom w:w="-1" w:type="dxa"/>
              <w:right w:w="-1" w:type="dxa"/>
            </w:tcMar>
            <w:vAlign w:val="center"/>
          </w:tcPr>
          <w:p w14:paraId="326594F2">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1078.754</w:t>
            </w:r>
          </w:p>
        </w:tc>
        <w:tc>
          <w:tcPr>
            <w:tcW w:w="0" w:type="auto"/>
            <w:tcBorders>
              <w:top w:val="nil"/>
              <w:left w:val="nil"/>
              <w:bottom w:val="nil"/>
              <w:right w:val="nil"/>
            </w:tcBorders>
            <w:noWrap w:val="0"/>
            <w:tcMar>
              <w:top w:w="-1" w:type="dxa"/>
              <w:left w:w="-1" w:type="dxa"/>
              <w:bottom w:w="-1" w:type="dxa"/>
              <w:right w:w="-1" w:type="dxa"/>
            </w:tcMar>
            <w:vAlign w:val="center"/>
          </w:tcPr>
          <w:p w14:paraId="1DE2A7D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16.34</w:t>
            </w:r>
          </w:p>
        </w:tc>
        <w:tc>
          <w:tcPr>
            <w:tcW w:w="0" w:type="auto"/>
            <w:tcBorders>
              <w:top w:val="nil"/>
              <w:left w:val="nil"/>
              <w:bottom w:val="nil"/>
              <w:right w:val="nil"/>
            </w:tcBorders>
            <w:noWrap w:val="0"/>
            <w:tcMar>
              <w:top w:w="-1" w:type="dxa"/>
              <w:left w:w="-1" w:type="dxa"/>
              <w:bottom w:w="-1" w:type="dxa"/>
              <w:right w:w="-1" w:type="dxa"/>
            </w:tcMar>
            <w:vAlign w:val="center"/>
          </w:tcPr>
          <w:p w14:paraId="11F14E3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47</w:t>
            </w:r>
          </w:p>
        </w:tc>
        <w:tc>
          <w:tcPr>
            <w:tcW w:w="0" w:type="auto"/>
            <w:tcBorders>
              <w:top w:val="nil"/>
              <w:left w:val="nil"/>
              <w:bottom w:val="nil"/>
              <w:right w:val="nil"/>
            </w:tcBorders>
            <w:noWrap w:val="0"/>
            <w:tcMar>
              <w:top w:w="-1" w:type="dxa"/>
              <w:left w:w="-1" w:type="dxa"/>
              <w:bottom w:w="-1" w:type="dxa"/>
              <w:right w:w="-1" w:type="dxa"/>
            </w:tcMar>
            <w:vAlign w:val="center"/>
          </w:tcPr>
          <w:p w14:paraId="0D18EB54">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23</w:t>
            </w:r>
          </w:p>
        </w:tc>
        <w:tc>
          <w:tcPr>
            <w:tcW w:w="0" w:type="auto"/>
            <w:tcBorders>
              <w:top w:val="nil"/>
              <w:left w:val="nil"/>
              <w:bottom w:val="nil"/>
              <w:right w:val="nil"/>
            </w:tcBorders>
            <w:noWrap w:val="0"/>
            <w:tcMar>
              <w:top w:w="-1" w:type="dxa"/>
              <w:left w:w="-1" w:type="dxa"/>
              <w:bottom w:w="-1" w:type="dxa"/>
              <w:right w:w="-1" w:type="dxa"/>
            </w:tcMar>
            <w:vAlign w:val="center"/>
          </w:tcPr>
          <w:p w14:paraId="73ADAAAF">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99.9704%</w:t>
            </w:r>
          </w:p>
        </w:tc>
        <w:tc>
          <w:tcPr>
            <w:tcW w:w="975" w:type="dxa"/>
            <w:tcBorders>
              <w:top w:val="nil"/>
              <w:left w:val="nil"/>
              <w:bottom w:val="nil"/>
              <w:right w:val="nil"/>
            </w:tcBorders>
            <w:noWrap w:val="0"/>
            <w:tcMar>
              <w:top w:w="-1" w:type="dxa"/>
              <w:left w:w="-1" w:type="dxa"/>
              <w:bottom w:w="-1" w:type="dxa"/>
              <w:right w:w="-1" w:type="dxa"/>
            </w:tcMar>
            <w:vAlign w:val="center"/>
          </w:tcPr>
          <w:p w14:paraId="05C2FB2F">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-4.31%</w:t>
            </w:r>
          </w:p>
        </w:tc>
      </w:tr>
      <w:tr w14:paraId="18CD4F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4E5D7AF9">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SPCN+TRANSYT（去SACF）</w:t>
            </w:r>
          </w:p>
        </w:tc>
        <w:tc>
          <w:tcPr>
            <w:tcW w:w="0" w:type="auto"/>
            <w:tcBorders>
              <w:top w:val="nil"/>
              <w:left w:val="nil"/>
              <w:bottom w:val="nil"/>
              <w:right w:val="nil"/>
            </w:tcBorders>
            <w:noWrap w:val="0"/>
            <w:tcMar>
              <w:top w:w="-1" w:type="dxa"/>
              <w:left w:w="-1" w:type="dxa"/>
              <w:bottom w:w="-1" w:type="dxa"/>
              <w:right w:w="-1" w:type="dxa"/>
            </w:tcMar>
            <w:vAlign w:val="center"/>
          </w:tcPr>
          <w:p w14:paraId="0FA0F1A8">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1151.196</w:t>
            </w:r>
          </w:p>
        </w:tc>
        <w:tc>
          <w:tcPr>
            <w:tcW w:w="0" w:type="auto"/>
            <w:tcBorders>
              <w:top w:val="nil"/>
              <w:left w:val="nil"/>
              <w:bottom w:val="nil"/>
              <w:right w:val="nil"/>
            </w:tcBorders>
            <w:noWrap w:val="0"/>
            <w:tcMar>
              <w:top w:w="-1" w:type="dxa"/>
              <w:left w:w="-1" w:type="dxa"/>
              <w:bottom w:w="-1" w:type="dxa"/>
              <w:right w:w="-1" w:type="dxa"/>
            </w:tcMar>
            <w:vAlign w:val="center"/>
          </w:tcPr>
          <w:p w14:paraId="33322F88">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1077.666</w:t>
            </w:r>
          </w:p>
        </w:tc>
        <w:tc>
          <w:tcPr>
            <w:tcW w:w="0" w:type="auto"/>
            <w:tcBorders>
              <w:top w:val="nil"/>
              <w:left w:val="nil"/>
              <w:bottom w:val="nil"/>
              <w:right w:val="nil"/>
            </w:tcBorders>
            <w:noWrap w:val="0"/>
            <w:tcMar>
              <w:top w:w="-1" w:type="dxa"/>
              <w:left w:w="-1" w:type="dxa"/>
              <w:bottom w:w="-1" w:type="dxa"/>
              <w:right w:w="-1" w:type="dxa"/>
            </w:tcMar>
            <w:vAlign w:val="center"/>
          </w:tcPr>
          <w:p w14:paraId="49787520">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16.32</w:t>
            </w:r>
          </w:p>
        </w:tc>
        <w:tc>
          <w:tcPr>
            <w:tcW w:w="0" w:type="auto"/>
            <w:tcBorders>
              <w:top w:val="nil"/>
              <w:left w:val="nil"/>
              <w:bottom w:val="nil"/>
              <w:right w:val="nil"/>
            </w:tcBorders>
            <w:noWrap w:val="0"/>
            <w:tcMar>
              <w:top w:w="-1" w:type="dxa"/>
              <w:left w:w="-1" w:type="dxa"/>
              <w:bottom w:w="-1" w:type="dxa"/>
              <w:right w:w="-1" w:type="dxa"/>
            </w:tcMar>
            <w:vAlign w:val="center"/>
          </w:tcPr>
          <w:p w14:paraId="55F22872">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47</w:t>
            </w:r>
          </w:p>
        </w:tc>
        <w:tc>
          <w:tcPr>
            <w:tcW w:w="0" w:type="auto"/>
            <w:tcBorders>
              <w:top w:val="nil"/>
              <w:left w:val="nil"/>
              <w:bottom w:val="nil"/>
              <w:right w:val="nil"/>
            </w:tcBorders>
            <w:noWrap w:val="0"/>
            <w:tcMar>
              <w:top w:w="-1" w:type="dxa"/>
              <w:left w:w="-1" w:type="dxa"/>
              <w:bottom w:w="-1" w:type="dxa"/>
              <w:right w:w="-1" w:type="dxa"/>
            </w:tcMar>
            <w:vAlign w:val="center"/>
          </w:tcPr>
          <w:p w14:paraId="5654C0F7">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23</w:t>
            </w:r>
          </w:p>
        </w:tc>
        <w:tc>
          <w:tcPr>
            <w:tcW w:w="0" w:type="auto"/>
            <w:tcBorders>
              <w:top w:val="nil"/>
              <w:left w:val="nil"/>
              <w:bottom w:val="nil"/>
              <w:right w:val="nil"/>
            </w:tcBorders>
            <w:noWrap w:val="0"/>
            <w:tcMar>
              <w:top w:w="-1" w:type="dxa"/>
              <w:left w:w="-1" w:type="dxa"/>
              <w:bottom w:w="-1" w:type="dxa"/>
              <w:right w:w="-1" w:type="dxa"/>
            </w:tcMar>
            <w:vAlign w:val="center"/>
          </w:tcPr>
          <w:p w14:paraId="63CE01A9">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99.9704%</w:t>
            </w:r>
          </w:p>
        </w:tc>
        <w:tc>
          <w:tcPr>
            <w:tcW w:w="975" w:type="dxa"/>
            <w:tcBorders>
              <w:top w:val="nil"/>
              <w:left w:val="nil"/>
              <w:bottom w:val="nil"/>
              <w:right w:val="nil"/>
            </w:tcBorders>
            <w:noWrap w:val="0"/>
            <w:tcMar>
              <w:top w:w="-1" w:type="dxa"/>
              <w:left w:w="-1" w:type="dxa"/>
              <w:bottom w:w="-1" w:type="dxa"/>
              <w:right w:w="-1" w:type="dxa"/>
            </w:tcMar>
            <w:vAlign w:val="center"/>
          </w:tcPr>
          <w:p w14:paraId="41943929">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-4.41%</w:t>
            </w:r>
          </w:p>
        </w:tc>
      </w:tr>
      <w:tr w14:paraId="167959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single" w:color="auto" w:sz="12" w:space="0"/>
              <w:right w:val="nil"/>
            </w:tcBorders>
            <w:noWrap w:val="0"/>
            <w:tcMar>
              <w:top w:w="-1" w:type="dxa"/>
              <w:left w:w="-1" w:type="dxa"/>
              <w:bottom w:w="-1" w:type="dxa"/>
              <w:right w:w="-1" w:type="dxa"/>
            </w:tcMar>
            <w:vAlign w:val="center"/>
          </w:tcPr>
          <w:p w14:paraId="66718786">
            <w:pPr>
              <w:snapToGrid w:val="0"/>
              <w:spacing w:line="240" w:lineRule="auto"/>
              <w:ind w:left="0" w:leftChars="0" w:right="0" w:rightChars="0" w:firstLine="0" w:firstLineChars="0"/>
              <w:jc w:val="left"/>
              <w:rPr>
                <w:rFonts w:hint="default" w:ascii="Times New Roman" w:eastAsia="宋体"/>
                <w:sz w:val="18"/>
                <w:szCs w:val="18"/>
                <w:lang w:val="en-US" w:eastAsia="zh-CN"/>
              </w:rPr>
            </w:pPr>
            <w:r>
              <w:rPr>
                <w:rFonts w:ascii="Times New Roman" w:hAnsi="Times New Roman" w:eastAsia="宋体" w:cs="Times New Roman"/>
                <w:b w:val="0"/>
                <w:sz w:val="18"/>
                <w:szCs w:val="18"/>
              </w:rPr>
              <w:t>完整</w:t>
            </w:r>
            <w:r>
              <w:rPr>
                <w:rFonts w:hint="eastAsia" w:ascii="Times New Roman" w:hAnsi="Times New Roman" w:cs="Times New Roman"/>
                <w:b w:val="0"/>
                <w:sz w:val="18"/>
                <w:szCs w:val="18"/>
                <w:lang w:val="en-US" w:eastAsia="zh-CN"/>
              </w:rPr>
              <w:t>FSCC</w:t>
            </w:r>
          </w:p>
        </w:tc>
        <w:tc>
          <w:tcPr>
            <w:tcW w:w="975" w:type="dxa"/>
            <w:tcBorders>
              <w:top w:val="nil"/>
              <w:left w:val="nil"/>
              <w:bottom w:val="single" w:color="auto" w:sz="12" w:space="0"/>
              <w:right w:val="nil"/>
            </w:tcBorders>
            <w:noWrap w:val="0"/>
            <w:tcMar>
              <w:top w:w="-1" w:type="dxa"/>
              <w:left w:w="-1" w:type="dxa"/>
              <w:bottom w:w="-1" w:type="dxa"/>
              <w:right w:w="-1" w:type="dxa"/>
            </w:tcMar>
            <w:vAlign w:val="center"/>
          </w:tcPr>
          <w:p w14:paraId="7955A1B8">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1149.833</w:t>
            </w:r>
          </w:p>
        </w:tc>
        <w:tc>
          <w:tcPr>
            <w:tcW w:w="975" w:type="dxa"/>
            <w:tcBorders>
              <w:top w:val="nil"/>
              <w:left w:val="nil"/>
              <w:bottom w:val="single" w:color="auto" w:sz="12" w:space="0"/>
              <w:right w:val="nil"/>
            </w:tcBorders>
            <w:noWrap w:val="0"/>
            <w:tcMar>
              <w:top w:w="-1" w:type="dxa"/>
              <w:left w:w="-1" w:type="dxa"/>
              <w:bottom w:w="-1" w:type="dxa"/>
              <w:right w:w="-1" w:type="dxa"/>
            </w:tcMar>
            <w:vAlign w:val="center"/>
          </w:tcPr>
          <w:p w14:paraId="04D5806A">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1076.303</w:t>
            </w:r>
          </w:p>
        </w:tc>
        <w:tc>
          <w:tcPr>
            <w:tcW w:w="1026" w:type="dxa"/>
            <w:tcBorders>
              <w:top w:val="nil"/>
              <w:left w:val="nil"/>
              <w:bottom w:val="single" w:color="auto" w:sz="12" w:space="0"/>
              <w:right w:val="nil"/>
            </w:tcBorders>
            <w:noWrap w:val="0"/>
            <w:tcMar>
              <w:top w:w="-1" w:type="dxa"/>
              <w:left w:w="-1" w:type="dxa"/>
              <w:bottom w:w="-1" w:type="dxa"/>
              <w:right w:w="-1" w:type="dxa"/>
            </w:tcMar>
            <w:vAlign w:val="center"/>
          </w:tcPr>
          <w:p w14:paraId="325133C7">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16.28</w:t>
            </w:r>
          </w:p>
        </w:tc>
        <w:tc>
          <w:tcPr>
            <w:tcW w:w="1026" w:type="dxa"/>
            <w:tcBorders>
              <w:top w:val="nil"/>
              <w:left w:val="nil"/>
              <w:bottom w:val="single" w:color="auto" w:sz="12" w:space="0"/>
              <w:right w:val="nil"/>
            </w:tcBorders>
            <w:noWrap w:val="0"/>
            <w:tcMar>
              <w:top w:w="-1" w:type="dxa"/>
              <w:left w:w="-1" w:type="dxa"/>
              <w:bottom w:w="-1" w:type="dxa"/>
              <w:right w:w="-1" w:type="dxa"/>
            </w:tcMar>
            <w:vAlign w:val="center"/>
          </w:tcPr>
          <w:p w14:paraId="0E97C8BE">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47</w:t>
            </w:r>
          </w:p>
        </w:tc>
        <w:tc>
          <w:tcPr>
            <w:tcW w:w="829" w:type="dxa"/>
            <w:tcBorders>
              <w:top w:val="nil"/>
              <w:left w:val="nil"/>
              <w:bottom w:val="single" w:color="auto" w:sz="12" w:space="0"/>
              <w:right w:val="nil"/>
            </w:tcBorders>
            <w:noWrap w:val="0"/>
            <w:tcMar>
              <w:top w:w="-1" w:type="dxa"/>
              <w:left w:w="-1" w:type="dxa"/>
              <w:bottom w:w="-1" w:type="dxa"/>
              <w:right w:w="-1" w:type="dxa"/>
            </w:tcMar>
            <w:vAlign w:val="center"/>
          </w:tcPr>
          <w:p w14:paraId="71721DB3">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23</w:t>
            </w:r>
          </w:p>
        </w:tc>
        <w:tc>
          <w:tcPr>
            <w:tcW w:w="1040" w:type="dxa"/>
            <w:tcBorders>
              <w:top w:val="nil"/>
              <w:left w:val="nil"/>
              <w:bottom w:val="single" w:color="auto" w:sz="12" w:space="0"/>
              <w:right w:val="nil"/>
            </w:tcBorders>
            <w:noWrap w:val="0"/>
            <w:tcMar>
              <w:top w:w="-1" w:type="dxa"/>
              <w:left w:w="-1" w:type="dxa"/>
              <w:bottom w:w="-1" w:type="dxa"/>
              <w:right w:w="-1" w:type="dxa"/>
            </w:tcMar>
            <w:vAlign w:val="center"/>
          </w:tcPr>
          <w:p w14:paraId="10B0C848">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99.9704%</w:t>
            </w:r>
          </w:p>
        </w:tc>
        <w:tc>
          <w:tcPr>
            <w:tcW w:w="975" w:type="dxa"/>
            <w:tcBorders>
              <w:top w:val="nil"/>
              <w:left w:val="nil"/>
              <w:bottom w:val="single" w:color="auto" w:sz="12" w:space="0"/>
              <w:right w:val="nil"/>
            </w:tcBorders>
            <w:noWrap w:val="0"/>
            <w:tcMar>
              <w:top w:w="-1" w:type="dxa"/>
              <w:left w:w="-1" w:type="dxa"/>
              <w:bottom w:w="-1" w:type="dxa"/>
              <w:right w:w="-1" w:type="dxa"/>
            </w:tcMar>
            <w:vAlign w:val="center"/>
          </w:tcPr>
          <w:p w14:paraId="4D9B03D5">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-4.52%</w:t>
            </w:r>
          </w:p>
        </w:tc>
      </w:tr>
    </w:tbl>
    <w:p w14:paraId="4A479853"/>
    <w:p w14:paraId="1EFA3A1C">
      <w:pPr>
        <w:pStyle w:val="15"/>
        <w:keepNext/>
        <w:jc w:val="center"/>
      </w:pPr>
      <w:r>
        <w:rPr>
          <w:rFonts w:ascii="Times New Roman" w:hAnsi="Times New Roman" w:eastAsia="宋体" w:cs="Times New Roman"/>
          <w:b/>
          <w:sz w:val="24"/>
        </w:rPr>
        <w:t>表6-2 平峰全量消融结果</w:t>
      </w:r>
    </w:p>
    <w:tbl>
      <w:tblPr>
        <w:tblStyle w:val="36"/>
        <w:tblW w:w="956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2"/>
        <w:gridCol w:w="893"/>
        <w:gridCol w:w="893"/>
        <w:gridCol w:w="1047"/>
        <w:gridCol w:w="1047"/>
        <w:gridCol w:w="847"/>
        <w:gridCol w:w="1061"/>
        <w:gridCol w:w="975"/>
      </w:tblGrid>
      <w:tr w14:paraId="422670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80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CF2D09E">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方法</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5BDB555F">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TT/s</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0B1CD7F">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延迟/s</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D7C8A2D">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1706E9A4">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最大队列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A531B93">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末队列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46AAE10">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吞吐率</w:t>
            </w:r>
          </w:p>
        </w:tc>
        <w:tc>
          <w:tcPr>
            <w:tcW w:w="975"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EB614C5">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TT变化</w:t>
            </w:r>
          </w:p>
        </w:tc>
      </w:tr>
      <w:tr w14:paraId="229563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single" w:color="auto" w:sz="4" w:space="0"/>
              <w:left w:val="nil"/>
              <w:bottom w:val="nil"/>
              <w:right w:val="nil"/>
            </w:tcBorders>
            <w:noWrap w:val="0"/>
            <w:tcMar>
              <w:top w:w="-1" w:type="dxa"/>
              <w:left w:w="-1" w:type="dxa"/>
              <w:bottom w:w="-1" w:type="dxa"/>
              <w:right w:w="-1" w:type="dxa"/>
            </w:tcMar>
            <w:vAlign w:val="center"/>
          </w:tcPr>
          <w:p w14:paraId="06018174">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固定配时</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1CCD07">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846.804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9239A81">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775.401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BAF546F">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7.13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41FDA1">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19</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8A1CE72">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F82F57">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99.9763%</w:t>
            </w:r>
          </w:p>
        </w:tc>
        <w:tc>
          <w:tcPr>
            <w:tcW w:w="975" w:type="dxa"/>
            <w:tcBorders>
              <w:top w:val="single" w:color="auto" w:sz="4" w:space="0"/>
              <w:left w:val="nil"/>
              <w:bottom w:val="nil"/>
              <w:right w:val="nil"/>
            </w:tcBorders>
            <w:noWrap w:val="0"/>
            <w:tcMar>
              <w:top w:w="-1" w:type="dxa"/>
              <w:left w:w="-1" w:type="dxa"/>
              <w:bottom w:w="-1" w:type="dxa"/>
              <w:right w:w="-1" w:type="dxa"/>
            </w:tcMar>
            <w:vAlign w:val="center"/>
          </w:tcPr>
          <w:p w14:paraId="19F51D71">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+0.00%</w:t>
            </w:r>
          </w:p>
        </w:tc>
      </w:tr>
      <w:tr w14:paraId="72E016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3D2FA588">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TRANSYT-only</w:t>
            </w:r>
          </w:p>
        </w:tc>
        <w:tc>
          <w:tcPr>
            <w:tcW w:w="0" w:type="auto"/>
            <w:tcBorders>
              <w:top w:val="nil"/>
              <w:left w:val="nil"/>
              <w:bottom w:val="nil"/>
              <w:right w:val="nil"/>
            </w:tcBorders>
            <w:noWrap w:val="0"/>
            <w:tcMar>
              <w:top w:w="-1" w:type="dxa"/>
              <w:left w:w="-1" w:type="dxa"/>
              <w:bottom w:w="-1" w:type="dxa"/>
              <w:right w:w="-1" w:type="dxa"/>
            </w:tcMar>
            <w:vAlign w:val="center"/>
          </w:tcPr>
          <w:p w14:paraId="2E3FDBF0">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781.482</w:t>
            </w:r>
          </w:p>
        </w:tc>
        <w:tc>
          <w:tcPr>
            <w:tcW w:w="0" w:type="auto"/>
            <w:tcBorders>
              <w:top w:val="nil"/>
              <w:left w:val="nil"/>
              <w:bottom w:val="nil"/>
              <w:right w:val="nil"/>
            </w:tcBorders>
            <w:noWrap w:val="0"/>
            <w:tcMar>
              <w:top w:w="-1" w:type="dxa"/>
              <w:left w:w="-1" w:type="dxa"/>
              <w:bottom w:w="-1" w:type="dxa"/>
              <w:right w:w="-1" w:type="dxa"/>
            </w:tcMar>
            <w:vAlign w:val="center"/>
          </w:tcPr>
          <w:p w14:paraId="21A3027B">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710.080</w:t>
            </w:r>
          </w:p>
        </w:tc>
        <w:tc>
          <w:tcPr>
            <w:tcW w:w="0" w:type="auto"/>
            <w:tcBorders>
              <w:top w:val="nil"/>
              <w:left w:val="nil"/>
              <w:bottom w:val="nil"/>
              <w:right w:val="nil"/>
            </w:tcBorders>
            <w:noWrap w:val="0"/>
            <w:tcMar>
              <w:top w:w="-1" w:type="dxa"/>
              <w:left w:w="-1" w:type="dxa"/>
              <w:bottom w:w="-1" w:type="dxa"/>
              <w:right w:w="-1" w:type="dxa"/>
            </w:tcMar>
            <w:vAlign w:val="center"/>
          </w:tcPr>
          <w:p w14:paraId="3CA67D75">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6.18</w:t>
            </w:r>
          </w:p>
        </w:tc>
        <w:tc>
          <w:tcPr>
            <w:tcW w:w="0" w:type="auto"/>
            <w:tcBorders>
              <w:top w:val="nil"/>
              <w:left w:val="nil"/>
              <w:bottom w:val="nil"/>
              <w:right w:val="nil"/>
            </w:tcBorders>
            <w:noWrap w:val="0"/>
            <w:tcMar>
              <w:top w:w="-1" w:type="dxa"/>
              <w:left w:w="-1" w:type="dxa"/>
              <w:bottom w:w="-1" w:type="dxa"/>
              <w:right w:w="-1" w:type="dxa"/>
            </w:tcMar>
            <w:vAlign w:val="center"/>
          </w:tcPr>
          <w:p w14:paraId="05D609B1">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19</w:t>
            </w:r>
          </w:p>
        </w:tc>
        <w:tc>
          <w:tcPr>
            <w:tcW w:w="0" w:type="auto"/>
            <w:tcBorders>
              <w:top w:val="nil"/>
              <w:left w:val="nil"/>
              <w:bottom w:val="nil"/>
              <w:right w:val="nil"/>
            </w:tcBorders>
            <w:noWrap w:val="0"/>
            <w:tcMar>
              <w:top w:w="-1" w:type="dxa"/>
              <w:left w:w="-1" w:type="dxa"/>
              <w:bottom w:w="-1" w:type="dxa"/>
              <w:right w:w="-1" w:type="dxa"/>
            </w:tcMar>
            <w:vAlign w:val="center"/>
          </w:tcPr>
          <w:p w14:paraId="718101EC">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13</w:t>
            </w:r>
          </w:p>
        </w:tc>
        <w:tc>
          <w:tcPr>
            <w:tcW w:w="0" w:type="auto"/>
            <w:tcBorders>
              <w:top w:val="nil"/>
              <w:left w:val="nil"/>
              <w:bottom w:val="nil"/>
              <w:right w:val="nil"/>
            </w:tcBorders>
            <w:noWrap w:val="0"/>
            <w:tcMar>
              <w:top w:w="-1" w:type="dxa"/>
              <w:left w:w="-1" w:type="dxa"/>
              <w:bottom w:w="-1" w:type="dxa"/>
              <w:right w:w="-1" w:type="dxa"/>
            </w:tcMar>
            <w:vAlign w:val="center"/>
          </w:tcPr>
          <w:p w14:paraId="6286E1A7">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99.9763%</w:t>
            </w:r>
          </w:p>
        </w:tc>
        <w:tc>
          <w:tcPr>
            <w:tcW w:w="975" w:type="dxa"/>
            <w:tcBorders>
              <w:top w:val="nil"/>
              <w:left w:val="nil"/>
              <w:bottom w:val="nil"/>
              <w:right w:val="nil"/>
            </w:tcBorders>
            <w:noWrap w:val="0"/>
            <w:tcMar>
              <w:top w:w="-1" w:type="dxa"/>
              <w:left w:w="-1" w:type="dxa"/>
              <w:bottom w:w="-1" w:type="dxa"/>
              <w:right w:w="-1" w:type="dxa"/>
            </w:tcMar>
            <w:vAlign w:val="center"/>
          </w:tcPr>
          <w:p w14:paraId="14E67EDE">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-7.71%</w:t>
            </w:r>
          </w:p>
        </w:tc>
      </w:tr>
      <w:tr w14:paraId="487B7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0B3E7547">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SACF+SPCN（无TRANSYT）</w:t>
            </w:r>
          </w:p>
        </w:tc>
        <w:tc>
          <w:tcPr>
            <w:tcW w:w="0" w:type="auto"/>
            <w:tcBorders>
              <w:top w:val="nil"/>
              <w:left w:val="nil"/>
              <w:bottom w:val="nil"/>
              <w:right w:val="nil"/>
            </w:tcBorders>
            <w:noWrap w:val="0"/>
            <w:tcMar>
              <w:top w:w="-1" w:type="dxa"/>
              <w:left w:w="-1" w:type="dxa"/>
              <w:bottom w:w="-1" w:type="dxa"/>
              <w:right w:w="-1" w:type="dxa"/>
            </w:tcMar>
            <w:vAlign w:val="center"/>
          </w:tcPr>
          <w:p w14:paraId="6BE86F33">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762.304</w:t>
            </w:r>
          </w:p>
        </w:tc>
        <w:tc>
          <w:tcPr>
            <w:tcW w:w="0" w:type="auto"/>
            <w:tcBorders>
              <w:top w:val="nil"/>
              <w:left w:val="nil"/>
              <w:bottom w:val="nil"/>
              <w:right w:val="nil"/>
            </w:tcBorders>
            <w:noWrap w:val="0"/>
            <w:tcMar>
              <w:top w:w="-1" w:type="dxa"/>
              <w:left w:w="-1" w:type="dxa"/>
              <w:bottom w:w="-1" w:type="dxa"/>
              <w:right w:w="-1" w:type="dxa"/>
            </w:tcMar>
            <w:vAlign w:val="center"/>
          </w:tcPr>
          <w:p w14:paraId="65A9551B">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690.901</w:t>
            </w:r>
          </w:p>
        </w:tc>
        <w:tc>
          <w:tcPr>
            <w:tcW w:w="0" w:type="auto"/>
            <w:tcBorders>
              <w:top w:val="nil"/>
              <w:left w:val="nil"/>
              <w:bottom w:val="nil"/>
              <w:right w:val="nil"/>
            </w:tcBorders>
            <w:noWrap w:val="0"/>
            <w:tcMar>
              <w:top w:w="-1" w:type="dxa"/>
              <w:left w:w="-1" w:type="dxa"/>
              <w:bottom w:w="-1" w:type="dxa"/>
              <w:right w:w="-1" w:type="dxa"/>
            </w:tcMar>
            <w:vAlign w:val="center"/>
          </w:tcPr>
          <w:p w14:paraId="1336BBF5">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5.91</w:t>
            </w:r>
          </w:p>
        </w:tc>
        <w:tc>
          <w:tcPr>
            <w:tcW w:w="0" w:type="auto"/>
            <w:tcBorders>
              <w:top w:val="nil"/>
              <w:left w:val="nil"/>
              <w:bottom w:val="nil"/>
              <w:right w:val="nil"/>
            </w:tcBorders>
            <w:noWrap w:val="0"/>
            <w:tcMar>
              <w:top w:w="-1" w:type="dxa"/>
              <w:left w:w="-1" w:type="dxa"/>
              <w:bottom w:w="-1" w:type="dxa"/>
              <w:right w:w="-1" w:type="dxa"/>
            </w:tcMar>
            <w:vAlign w:val="center"/>
          </w:tcPr>
          <w:p w14:paraId="23CDC7AE">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19</w:t>
            </w:r>
          </w:p>
        </w:tc>
        <w:tc>
          <w:tcPr>
            <w:tcW w:w="0" w:type="auto"/>
            <w:tcBorders>
              <w:top w:val="nil"/>
              <w:left w:val="nil"/>
              <w:bottom w:val="nil"/>
              <w:right w:val="nil"/>
            </w:tcBorders>
            <w:noWrap w:val="0"/>
            <w:tcMar>
              <w:top w:w="-1" w:type="dxa"/>
              <w:left w:w="-1" w:type="dxa"/>
              <w:bottom w:w="-1" w:type="dxa"/>
              <w:right w:w="-1" w:type="dxa"/>
            </w:tcMar>
            <w:vAlign w:val="center"/>
          </w:tcPr>
          <w:p w14:paraId="68716143">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13</w:t>
            </w:r>
          </w:p>
        </w:tc>
        <w:tc>
          <w:tcPr>
            <w:tcW w:w="0" w:type="auto"/>
            <w:tcBorders>
              <w:top w:val="nil"/>
              <w:left w:val="nil"/>
              <w:bottom w:val="nil"/>
              <w:right w:val="nil"/>
            </w:tcBorders>
            <w:noWrap w:val="0"/>
            <w:tcMar>
              <w:top w:w="-1" w:type="dxa"/>
              <w:left w:w="-1" w:type="dxa"/>
              <w:bottom w:w="-1" w:type="dxa"/>
              <w:right w:w="-1" w:type="dxa"/>
            </w:tcMar>
            <w:vAlign w:val="center"/>
          </w:tcPr>
          <w:p w14:paraId="6BEEDCEF">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99.9763%</w:t>
            </w:r>
          </w:p>
        </w:tc>
        <w:tc>
          <w:tcPr>
            <w:tcW w:w="975" w:type="dxa"/>
            <w:tcBorders>
              <w:top w:val="nil"/>
              <w:left w:val="nil"/>
              <w:bottom w:val="nil"/>
              <w:right w:val="nil"/>
            </w:tcBorders>
            <w:noWrap w:val="0"/>
            <w:tcMar>
              <w:top w:w="-1" w:type="dxa"/>
              <w:left w:w="-1" w:type="dxa"/>
              <w:bottom w:w="-1" w:type="dxa"/>
              <w:right w:w="-1" w:type="dxa"/>
            </w:tcMar>
            <w:vAlign w:val="center"/>
          </w:tcPr>
          <w:p w14:paraId="031C0628">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-9.98%</w:t>
            </w:r>
          </w:p>
        </w:tc>
      </w:tr>
      <w:tr w14:paraId="0C338A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571ABA34">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SACF+TRANSYT（去SPCN）</w:t>
            </w:r>
          </w:p>
        </w:tc>
        <w:tc>
          <w:tcPr>
            <w:tcW w:w="0" w:type="auto"/>
            <w:tcBorders>
              <w:top w:val="nil"/>
              <w:left w:val="nil"/>
              <w:bottom w:val="nil"/>
              <w:right w:val="nil"/>
            </w:tcBorders>
            <w:noWrap w:val="0"/>
            <w:tcMar>
              <w:top w:w="-1" w:type="dxa"/>
              <w:left w:w="-1" w:type="dxa"/>
              <w:bottom w:w="-1" w:type="dxa"/>
              <w:right w:w="-1" w:type="dxa"/>
            </w:tcMar>
            <w:vAlign w:val="center"/>
          </w:tcPr>
          <w:p w14:paraId="53019886">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781.482</w:t>
            </w:r>
          </w:p>
        </w:tc>
        <w:tc>
          <w:tcPr>
            <w:tcW w:w="0" w:type="auto"/>
            <w:tcBorders>
              <w:top w:val="nil"/>
              <w:left w:val="nil"/>
              <w:bottom w:val="nil"/>
              <w:right w:val="nil"/>
            </w:tcBorders>
            <w:noWrap w:val="0"/>
            <w:tcMar>
              <w:top w:w="-1" w:type="dxa"/>
              <w:left w:w="-1" w:type="dxa"/>
              <w:bottom w:w="-1" w:type="dxa"/>
              <w:right w:w="-1" w:type="dxa"/>
            </w:tcMar>
            <w:vAlign w:val="center"/>
          </w:tcPr>
          <w:p w14:paraId="71504283">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710.080</w:t>
            </w:r>
          </w:p>
        </w:tc>
        <w:tc>
          <w:tcPr>
            <w:tcW w:w="0" w:type="auto"/>
            <w:tcBorders>
              <w:top w:val="nil"/>
              <w:left w:val="nil"/>
              <w:bottom w:val="nil"/>
              <w:right w:val="nil"/>
            </w:tcBorders>
            <w:noWrap w:val="0"/>
            <w:tcMar>
              <w:top w:w="-1" w:type="dxa"/>
              <w:left w:w="-1" w:type="dxa"/>
              <w:bottom w:w="-1" w:type="dxa"/>
              <w:right w:w="-1" w:type="dxa"/>
            </w:tcMar>
            <w:vAlign w:val="center"/>
          </w:tcPr>
          <w:p w14:paraId="6450AB32">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6.18</w:t>
            </w:r>
          </w:p>
        </w:tc>
        <w:tc>
          <w:tcPr>
            <w:tcW w:w="0" w:type="auto"/>
            <w:tcBorders>
              <w:top w:val="nil"/>
              <w:left w:val="nil"/>
              <w:bottom w:val="nil"/>
              <w:right w:val="nil"/>
            </w:tcBorders>
            <w:noWrap w:val="0"/>
            <w:tcMar>
              <w:top w:w="-1" w:type="dxa"/>
              <w:left w:w="-1" w:type="dxa"/>
              <w:bottom w:w="-1" w:type="dxa"/>
              <w:right w:w="-1" w:type="dxa"/>
            </w:tcMar>
            <w:vAlign w:val="center"/>
          </w:tcPr>
          <w:p w14:paraId="4C2F6D2C">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19</w:t>
            </w:r>
          </w:p>
        </w:tc>
        <w:tc>
          <w:tcPr>
            <w:tcW w:w="0" w:type="auto"/>
            <w:tcBorders>
              <w:top w:val="nil"/>
              <w:left w:val="nil"/>
              <w:bottom w:val="nil"/>
              <w:right w:val="nil"/>
            </w:tcBorders>
            <w:noWrap w:val="0"/>
            <w:tcMar>
              <w:top w:w="-1" w:type="dxa"/>
              <w:left w:w="-1" w:type="dxa"/>
              <w:bottom w:w="-1" w:type="dxa"/>
              <w:right w:w="-1" w:type="dxa"/>
            </w:tcMar>
            <w:vAlign w:val="center"/>
          </w:tcPr>
          <w:p w14:paraId="7CCC2653">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13</w:t>
            </w:r>
          </w:p>
        </w:tc>
        <w:tc>
          <w:tcPr>
            <w:tcW w:w="0" w:type="auto"/>
            <w:tcBorders>
              <w:top w:val="nil"/>
              <w:left w:val="nil"/>
              <w:bottom w:val="nil"/>
              <w:right w:val="nil"/>
            </w:tcBorders>
            <w:noWrap w:val="0"/>
            <w:tcMar>
              <w:top w:w="-1" w:type="dxa"/>
              <w:left w:w="-1" w:type="dxa"/>
              <w:bottom w:w="-1" w:type="dxa"/>
              <w:right w:w="-1" w:type="dxa"/>
            </w:tcMar>
            <w:vAlign w:val="center"/>
          </w:tcPr>
          <w:p w14:paraId="5B4A84C9">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99.9763%</w:t>
            </w:r>
          </w:p>
        </w:tc>
        <w:tc>
          <w:tcPr>
            <w:tcW w:w="975" w:type="dxa"/>
            <w:tcBorders>
              <w:top w:val="nil"/>
              <w:left w:val="nil"/>
              <w:bottom w:val="nil"/>
              <w:right w:val="nil"/>
            </w:tcBorders>
            <w:noWrap w:val="0"/>
            <w:tcMar>
              <w:top w:w="-1" w:type="dxa"/>
              <w:left w:w="-1" w:type="dxa"/>
              <w:bottom w:w="-1" w:type="dxa"/>
              <w:right w:w="-1" w:type="dxa"/>
            </w:tcMar>
            <w:vAlign w:val="center"/>
          </w:tcPr>
          <w:p w14:paraId="7DD5F0FC">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-7.71%</w:t>
            </w:r>
          </w:p>
        </w:tc>
      </w:tr>
      <w:tr w14:paraId="5D1FD51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6AEF2665">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SPCN+TRANSYT（去SACF）</w:t>
            </w:r>
          </w:p>
        </w:tc>
        <w:tc>
          <w:tcPr>
            <w:tcW w:w="0" w:type="auto"/>
            <w:tcBorders>
              <w:top w:val="nil"/>
              <w:left w:val="nil"/>
              <w:bottom w:val="nil"/>
              <w:right w:val="nil"/>
            </w:tcBorders>
            <w:noWrap w:val="0"/>
            <w:tcMar>
              <w:top w:w="-1" w:type="dxa"/>
              <w:left w:w="-1" w:type="dxa"/>
              <w:bottom w:w="-1" w:type="dxa"/>
              <w:right w:w="-1" w:type="dxa"/>
            </w:tcMar>
            <w:vAlign w:val="center"/>
          </w:tcPr>
          <w:p w14:paraId="38848C4F">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780.411</w:t>
            </w:r>
          </w:p>
        </w:tc>
        <w:tc>
          <w:tcPr>
            <w:tcW w:w="0" w:type="auto"/>
            <w:tcBorders>
              <w:top w:val="nil"/>
              <w:left w:val="nil"/>
              <w:bottom w:val="nil"/>
              <w:right w:val="nil"/>
            </w:tcBorders>
            <w:noWrap w:val="0"/>
            <w:tcMar>
              <w:top w:w="-1" w:type="dxa"/>
              <w:left w:w="-1" w:type="dxa"/>
              <w:bottom w:w="-1" w:type="dxa"/>
              <w:right w:w="-1" w:type="dxa"/>
            </w:tcMar>
            <w:vAlign w:val="center"/>
          </w:tcPr>
          <w:p w14:paraId="17D79725">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709.008</w:t>
            </w:r>
          </w:p>
        </w:tc>
        <w:tc>
          <w:tcPr>
            <w:tcW w:w="0" w:type="auto"/>
            <w:tcBorders>
              <w:top w:val="nil"/>
              <w:left w:val="nil"/>
              <w:bottom w:val="nil"/>
              <w:right w:val="nil"/>
            </w:tcBorders>
            <w:noWrap w:val="0"/>
            <w:tcMar>
              <w:top w:w="-1" w:type="dxa"/>
              <w:left w:w="-1" w:type="dxa"/>
              <w:bottom w:w="-1" w:type="dxa"/>
              <w:right w:w="-1" w:type="dxa"/>
            </w:tcMar>
            <w:vAlign w:val="center"/>
          </w:tcPr>
          <w:p w14:paraId="333558F6">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6.17</w:t>
            </w:r>
          </w:p>
        </w:tc>
        <w:tc>
          <w:tcPr>
            <w:tcW w:w="0" w:type="auto"/>
            <w:tcBorders>
              <w:top w:val="nil"/>
              <w:left w:val="nil"/>
              <w:bottom w:val="nil"/>
              <w:right w:val="nil"/>
            </w:tcBorders>
            <w:noWrap w:val="0"/>
            <w:tcMar>
              <w:top w:w="-1" w:type="dxa"/>
              <w:left w:w="-1" w:type="dxa"/>
              <w:bottom w:w="-1" w:type="dxa"/>
              <w:right w:w="-1" w:type="dxa"/>
            </w:tcMar>
            <w:vAlign w:val="center"/>
          </w:tcPr>
          <w:p w14:paraId="5890C42F">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19</w:t>
            </w:r>
          </w:p>
        </w:tc>
        <w:tc>
          <w:tcPr>
            <w:tcW w:w="0" w:type="auto"/>
            <w:tcBorders>
              <w:top w:val="nil"/>
              <w:left w:val="nil"/>
              <w:bottom w:val="nil"/>
              <w:right w:val="nil"/>
            </w:tcBorders>
            <w:noWrap w:val="0"/>
            <w:tcMar>
              <w:top w:w="-1" w:type="dxa"/>
              <w:left w:w="-1" w:type="dxa"/>
              <w:bottom w:w="-1" w:type="dxa"/>
              <w:right w:w="-1" w:type="dxa"/>
            </w:tcMar>
            <w:vAlign w:val="center"/>
          </w:tcPr>
          <w:p w14:paraId="410A0E97">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13</w:t>
            </w:r>
          </w:p>
        </w:tc>
        <w:tc>
          <w:tcPr>
            <w:tcW w:w="0" w:type="auto"/>
            <w:tcBorders>
              <w:top w:val="nil"/>
              <w:left w:val="nil"/>
              <w:bottom w:val="nil"/>
              <w:right w:val="nil"/>
            </w:tcBorders>
            <w:noWrap w:val="0"/>
            <w:tcMar>
              <w:top w:w="-1" w:type="dxa"/>
              <w:left w:w="-1" w:type="dxa"/>
              <w:bottom w:w="-1" w:type="dxa"/>
              <w:right w:w="-1" w:type="dxa"/>
            </w:tcMar>
            <w:vAlign w:val="center"/>
          </w:tcPr>
          <w:p w14:paraId="736AFEF4">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99.9763%</w:t>
            </w:r>
          </w:p>
        </w:tc>
        <w:tc>
          <w:tcPr>
            <w:tcW w:w="975" w:type="dxa"/>
            <w:tcBorders>
              <w:top w:val="nil"/>
              <w:left w:val="nil"/>
              <w:bottom w:val="nil"/>
              <w:right w:val="nil"/>
            </w:tcBorders>
            <w:noWrap w:val="0"/>
            <w:tcMar>
              <w:top w:w="-1" w:type="dxa"/>
              <w:left w:w="-1" w:type="dxa"/>
              <w:bottom w:w="-1" w:type="dxa"/>
              <w:right w:w="-1" w:type="dxa"/>
            </w:tcMar>
            <w:vAlign w:val="center"/>
          </w:tcPr>
          <w:p w14:paraId="3C706E12">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-7.84%</w:t>
            </w:r>
          </w:p>
        </w:tc>
      </w:tr>
      <w:tr w14:paraId="7B059B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single" w:color="auto" w:sz="12" w:space="0"/>
              <w:right w:val="nil"/>
            </w:tcBorders>
            <w:noWrap w:val="0"/>
            <w:tcMar>
              <w:top w:w="-1" w:type="dxa"/>
              <w:left w:w="-1" w:type="dxa"/>
              <w:bottom w:w="-1" w:type="dxa"/>
              <w:right w:w="-1" w:type="dxa"/>
            </w:tcMar>
            <w:vAlign w:val="center"/>
          </w:tcPr>
          <w:p w14:paraId="0ABF081D">
            <w:pPr>
              <w:keepNext/>
              <w:snapToGrid w:val="0"/>
              <w:spacing w:line="240" w:lineRule="auto"/>
              <w:ind w:left="0" w:leftChars="0" w:right="0" w:rightChars="0" w:firstLine="0" w:firstLineChars="0"/>
              <w:jc w:val="left"/>
              <w:rPr>
                <w:rFonts w:hint="default" w:ascii="Times New Roman" w:eastAsia="宋体"/>
                <w:sz w:val="18"/>
                <w:szCs w:val="18"/>
                <w:lang w:val="en-US" w:eastAsia="zh-CN"/>
              </w:rPr>
            </w:pPr>
            <w:r>
              <w:rPr>
                <w:rFonts w:ascii="Times New Roman" w:hAnsi="Times New Roman" w:eastAsia="宋体" w:cs="Times New Roman"/>
                <w:b w:val="0"/>
                <w:sz w:val="18"/>
                <w:szCs w:val="18"/>
              </w:rPr>
              <w:t xml:space="preserve">完整 </w:t>
            </w:r>
            <w:r>
              <w:rPr>
                <w:rFonts w:hint="eastAsia" w:ascii="Times New Roman" w:hAnsi="Times New Roman" w:cs="Times New Roman"/>
                <w:b w:val="0"/>
                <w:sz w:val="18"/>
                <w:szCs w:val="18"/>
                <w:lang w:val="en-US" w:eastAsia="zh-CN"/>
              </w:rPr>
              <w:t>FSCC</w:t>
            </w:r>
          </w:p>
        </w:tc>
        <w:tc>
          <w:tcPr>
            <w:tcW w:w="893" w:type="dxa"/>
            <w:tcBorders>
              <w:top w:val="nil"/>
              <w:left w:val="nil"/>
              <w:bottom w:val="single" w:color="auto" w:sz="12" w:space="0"/>
              <w:right w:val="nil"/>
            </w:tcBorders>
            <w:noWrap w:val="0"/>
            <w:tcMar>
              <w:top w:w="-1" w:type="dxa"/>
              <w:left w:w="-1" w:type="dxa"/>
              <w:bottom w:w="-1" w:type="dxa"/>
              <w:right w:w="-1" w:type="dxa"/>
            </w:tcMar>
            <w:vAlign w:val="center"/>
          </w:tcPr>
          <w:p w14:paraId="6598F11C">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777.750</w:t>
            </w:r>
          </w:p>
        </w:tc>
        <w:tc>
          <w:tcPr>
            <w:tcW w:w="893" w:type="dxa"/>
            <w:tcBorders>
              <w:top w:val="nil"/>
              <w:left w:val="nil"/>
              <w:bottom w:val="single" w:color="auto" w:sz="12" w:space="0"/>
              <w:right w:val="nil"/>
            </w:tcBorders>
            <w:noWrap w:val="0"/>
            <w:tcMar>
              <w:top w:w="-1" w:type="dxa"/>
              <w:left w:w="-1" w:type="dxa"/>
              <w:bottom w:w="-1" w:type="dxa"/>
              <w:right w:w="-1" w:type="dxa"/>
            </w:tcMar>
            <w:vAlign w:val="center"/>
          </w:tcPr>
          <w:p w14:paraId="1B320E00">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706.348</w:t>
            </w:r>
          </w:p>
        </w:tc>
        <w:tc>
          <w:tcPr>
            <w:tcW w:w="1047" w:type="dxa"/>
            <w:tcBorders>
              <w:top w:val="nil"/>
              <w:left w:val="nil"/>
              <w:bottom w:val="single" w:color="auto" w:sz="12" w:space="0"/>
              <w:right w:val="nil"/>
            </w:tcBorders>
            <w:noWrap w:val="0"/>
            <w:tcMar>
              <w:top w:w="-1" w:type="dxa"/>
              <w:left w:w="-1" w:type="dxa"/>
              <w:bottom w:w="-1" w:type="dxa"/>
              <w:right w:w="-1" w:type="dxa"/>
            </w:tcMar>
            <w:vAlign w:val="center"/>
          </w:tcPr>
          <w:p w14:paraId="2EF707FB">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6.13</w:t>
            </w:r>
          </w:p>
        </w:tc>
        <w:tc>
          <w:tcPr>
            <w:tcW w:w="1047" w:type="dxa"/>
            <w:tcBorders>
              <w:top w:val="nil"/>
              <w:left w:val="nil"/>
              <w:bottom w:val="single" w:color="auto" w:sz="12" w:space="0"/>
              <w:right w:val="nil"/>
            </w:tcBorders>
            <w:noWrap w:val="0"/>
            <w:tcMar>
              <w:top w:w="-1" w:type="dxa"/>
              <w:left w:w="-1" w:type="dxa"/>
              <w:bottom w:w="-1" w:type="dxa"/>
              <w:right w:w="-1" w:type="dxa"/>
            </w:tcMar>
            <w:vAlign w:val="center"/>
          </w:tcPr>
          <w:p w14:paraId="34A8BC1E">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19</w:t>
            </w:r>
          </w:p>
        </w:tc>
        <w:tc>
          <w:tcPr>
            <w:tcW w:w="847" w:type="dxa"/>
            <w:tcBorders>
              <w:top w:val="nil"/>
              <w:left w:val="nil"/>
              <w:bottom w:val="single" w:color="auto" w:sz="12" w:space="0"/>
              <w:right w:val="nil"/>
            </w:tcBorders>
            <w:noWrap w:val="0"/>
            <w:tcMar>
              <w:top w:w="-1" w:type="dxa"/>
              <w:left w:w="-1" w:type="dxa"/>
              <w:bottom w:w="-1" w:type="dxa"/>
              <w:right w:w="-1" w:type="dxa"/>
            </w:tcMar>
            <w:vAlign w:val="center"/>
          </w:tcPr>
          <w:p w14:paraId="375A80B0">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13</w:t>
            </w:r>
          </w:p>
        </w:tc>
        <w:tc>
          <w:tcPr>
            <w:tcW w:w="1061" w:type="dxa"/>
            <w:tcBorders>
              <w:top w:val="nil"/>
              <w:left w:val="nil"/>
              <w:bottom w:val="single" w:color="auto" w:sz="12" w:space="0"/>
              <w:right w:val="nil"/>
            </w:tcBorders>
            <w:noWrap w:val="0"/>
            <w:tcMar>
              <w:top w:w="-1" w:type="dxa"/>
              <w:left w:w="-1" w:type="dxa"/>
              <w:bottom w:w="-1" w:type="dxa"/>
              <w:right w:w="-1" w:type="dxa"/>
            </w:tcMar>
            <w:vAlign w:val="center"/>
          </w:tcPr>
          <w:p w14:paraId="07B447EB">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99.9763%</w:t>
            </w:r>
          </w:p>
        </w:tc>
        <w:tc>
          <w:tcPr>
            <w:tcW w:w="975" w:type="dxa"/>
            <w:tcBorders>
              <w:top w:val="nil"/>
              <w:left w:val="nil"/>
              <w:bottom w:val="single" w:color="auto" w:sz="12" w:space="0"/>
              <w:right w:val="nil"/>
            </w:tcBorders>
            <w:noWrap w:val="0"/>
            <w:tcMar>
              <w:top w:w="-1" w:type="dxa"/>
              <w:left w:w="-1" w:type="dxa"/>
              <w:bottom w:w="-1" w:type="dxa"/>
              <w:right w:w="-1" w:type="dxa"/>
            </w:tcMar>
            <w:vAlign w:val="center"/>
          </w:tcPr>
          <w:p w14:paraId="702977EA">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-8.15%</w:t>
            </w:r>
          </w:p>
        </w:tc>
      </w:tr>
    </w:tbl>
    <w:p w14:paraId="3F9550C8">
      <w:pPr>
        <w:pStyle w:val="15"/>
        <w:jc w:val="both"/>
        <w:rPr>
          <w:rFonts w:ascii="Times New Roman" w:hAnsi="Times New Roman" w:eastAsia="宋体" w:cs="Times New Roman"/>
          <w:b/>
          <w:sz w:val="24"/>
        </w:rPr>
      </w:pPr>
    </w:p>
    <w:p w14:paraId="37EEA4DB">
      <w:pPr>
        <w:pStyle w:val="15"/>
        <w:jc w:val="center"/>
      </w:pPr>
      <w:r>
        <w:rPr>
          <w:rFonts w:ascii="Times New Roman" w:hAnsi="Times New Roman" w:eastAsia="宋体" w:cs="Times New Roman"/>
          <w:b/>
          <w:sz w:val="24"/>
        </w:rPr>
        <w:t>表6-3 晚高峰全量消融结果</w:t>
      </w:r>
    </w:p>
    <w:tbl>
      <w:tblPr>
        <w:tblStyle w:val="36"/>
        <w:tblW w:w="956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02"/>
        <w:gridCol w:w="893"/>
        <w:gridCol w:w="893"/>
        <w:gridCol w:w="1047"/>
        <w:gridCol w:w="1047"/>
        <w:gridCol w:w="847"/>
        <w:gridCol w:w="1061"/>
        <w:gridCol w:w="975"/>
      </w:tblGrid>
      <w:tr w14:paraId="06B6EA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80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CFD38A2">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方法</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55B5A2D4">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TT/s</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A02665E">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延迟/s</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C624C1C">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1E0C9A5">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最大队列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069768C1">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末队列</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5AE89E55">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吞吐率</w:t>
            </w:r>
          </w:p>
        </w:tc>
        <w:tc>
          <w:tcPr>
            <w:tcW w:w="975"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7DFABA8">
            <w:pPr>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TT变化</w:t>
            </w:r>
          </w:p>
        </w:tc>
      </w:tr>
      <w:tr w14:paraId="12274F0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single" w:color="auto" w:sz="4" w:space="0"/>
              <w:left w:val="nil"/>
              <w:bottom w:val="nil"/>
              <w:right w:val="nil"/>
            </w:tcBorders>
            <w:noWrap w:val="0"/>
            <w:tcMar>
              <w:top w:w="-1" w:type="dxa"/>
              <w:left w:w="-1" w:type="dxa"/>
              <w:bottom w:w="-1" w:type="dxa"/>
              <w:right w:w="-1" w:type="dxa"/>
            </w:tcMar>
            <w:vAlign w:val="center"/>
          </w:tcPr>
          <w:p w14:paraId="483C6C70">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固定配时</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93D514D">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980.884</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D202C05">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909.232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2881DE0">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12.71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679C559">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6B5DA76">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0278967">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99.9816%</w:t>
            </w:r>
          </w:p>
        </w:tc>
        <w:tc>
          <w:tcPr>
            <w:tcW w:w="975" w:type="dxa"/>
            <w:tcBorders>
              <w:top w:val="single" w:color="auto" w:sz="4" w:space="0"/>
              <w:left w:val="nil"/>
              <w:bottom w:val="nil"/>
              <w:right w:val="nil"/>
            </w:tcBorders>
            <w:noWrap w:val="0"/>
            <w:tcMar>
              <w:top w:w="-1" w:type="dxa"/>
              <w:left w:w="-1" w:type="dxa"/>
              <w:bottom w:w="-1" w:type="dxa"/>
              <w:right w:w="-1" w:type="dxa"/>
            </w:tcMar>
            <w:vAlign w:val="center"/>
          </w:tcPr>
          <w:p w14:paraId="10609CF4">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+0.00%</w:t>
            </w:r>
          </w:p>
        </w:tc>
      </w:tr>
      <w:tr w14:paraId="76E146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56E3FCA5">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TRANSYT-only</w:t>
            </w:r>
          </w:p>
        </w:tc>
        <w:tc>
          <w:tcPr>
            <w:tcW w:w="0" w:type="auto"/>
            <w:tcBorders>
              <w:top w:val="nil"/>
              <w:left w:val="nil"/>
              <w:bottom w:val="nil"/>
              <w:right w:val="nil"/>
            </w:tcBorders>
            <w:noWrap w:val="0"/>
            <w:tcMar>
              <w:top w:w="-1" w:type="dxa"/>
              <w:left w:w="-1" w:type="dxa"/>
              <w:bottom w:w="-1" w:type="dxa"/>
              <w:right w:w="-1" w:type="dxa"/>
            </w:tcMar>
            <w:vAlign w:val="center"/>
          </w:tcPr>
          <w:p w14:paraId="10BE83EE">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917.116</w:t>
            </w:r>
          </w:p>
        </w:tc>
        <w:tc>
          <w:tcPr>
            <w:tcW w:w="0" w:type="auto"/>
            <w:tcBorders>
              <w:top w:val="nil"/>
              <w:left w:val="nil"/>
              <w:bottom w:val="nil"/>
              <w:right w:val="nil"/>
            </w:tcBorders>
            <w:noWrap w:val="0"/>
            <w:tcMar>
              <w:top w:w="-1" w:type="dxa"/>
              <w:left w:w="-1" w:type="dxa"/>
              <w:bottom w:w="-1" w:type="dxa"/>
              <w:right w:w="-1" w:type="dxa"/>
            </w:tcMar>
            <w:vAlign w:val="center"/>
          </w:tcPr>
          <w:p w14:paraId="389112E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845.465</w:t>
            </w:r>
          </w:p>
        </w:tc>
        <w:tc>
          <w:tcPr>
            <w:tcW w:w="0" w:type="auto"/>
            <w:tcBorders>
              <w:top w:val="nil"/>
              <w:left w:val="nil"/>
              <w:bottom w:val="nil"/>
              <w:right w:val="nil"/>
            </w:tcBorders>
            <w:noWrap w:val="0"/>
            <w:tcMar>
              <w:top w:w="-1" w:type="dxa"/>
              <w:left w:w="-1" w:type="dxa"/>
              <w:bottom w:w="-1" w:type="dxa"/>
              <w:right w:w="-1" w:type="dxa"/>
            </w:tcMar>
            <w:vAlign w:val="center"/>
          </w:tcPr>
          <w:p w14:paraId="6DE78AE4">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11.25</w:t>
            </w:r>
          </w:p>
        </w:tc>
        <w:tc>
          <w:tcPr>
            <w:tcW w:w="0" w:type="auto"/>
            <w:tcBorders>
              <w:top w:val="nil"/>
              <w:left w:val="nil"/>
              <w:bottom w:val="nil"/>
              <w:right w:val="nil"/>
            </w:tcBorders>
            <w:noWrap w:val="0"/>
            <w:tcMar>
              <w:top w:w="-1" w:type="dxa"/>
              <w:left w:w="-1" w:type="dxa"/>
              <w:bottom w:w="-1" w:type="dxa"/>
              <w:right w:w="-1" w:type="dxa"/>
            </w:tcMar>
            <w:vAlign w:val="center"/>
          </w:tcPr>
          <w:p w14:paraId="4003A0B0">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36</w:t>
            </w:r>
          </w:p>
        </w:tc>
        <w:tc>
          <w:tcPr>
            <w:tcW w:w="0" w:type="auto"/>
            <w:tcBorders>
              <w:top w:val="nil"/>
              <w:left w:val="nil"/>
              <w:bottom w:val="nil"/>
              <w:right w:val="nil"/>
            </w:tcBorders>
            <w:noWrap w:val="0"/>
            <w:tcMar>
              <w:top w:w="-1" w:type="dxa"/>
              <w:left w:w="-1" w:type="dxa"/>
              <w:bottom w:w="-1" w:type="dxa"/>
              <w:right w:w="-1" w:type="dxa"/>
            </w:tcMar>
            <w:vAlign w:val="center"/>
          </w:tcPr>
          <w:p w14:paraId="352C9716">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w:t>
            </w:r>
          </w:p>
        </w:tc>
        <w:tc>
          <w:tcPr>
            <w:tcW w:w="0" w:type="auto"/>
            <w:tcBorders>
              <w:top w:val="nil"/>
              <w:left w:val="nil"/>
              <w:bottom w:val="nil"/>
              <w:right w:val="nil"/>
            </w:tcBorders>
            <w:noWrap w:val="0"/>
            <w:tcMar>
              <w:top w:w="-1" w:type="dxa"/>
              <w:left w:w="-1" w:type="dxa"/>
              <w:bottom w:w="-1" w:type="dxa"/>
              <w:right w:w="-1" w:type="dxa"/>
            </w:tcMar>
            <w:vAlign w:val="center"/>
          </w:tcPr>
          <w:p w14:paraId="49E93145">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99.9816%</w:t>
            </w:r>
          </w:p>
        </w:tc>
        <w:tc>
          <w:tcPr>
            <w:tcW w:w="975" w:type="dxa"/>
            <w:tcBorders>
              <w:top w:val="nil"/>
              <w:left w:val="nil"/>
              <w:bottom w:val="nil"/>
              <w:right w:val="nil"/>
            </w:tcBorders>
            <w:noWrap w:val="0"/>
            <w:tcMar>
              <w:top w:w="-1" w:type="dxa"/>
              <w:left w:w="-1" w:type="dxa"/>
              <w:bottom w:w="-1" w:type="dxa"/>
              <w:right w:w="-1" w:type="dxa"/>
            </w:tcMar>
            <w:vAlign w:val="center"/>
          </w:tcPr>
          <w:p w14:paraId="3BA01AB4">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-6.50%</w:t>
            </w:r>
          </w:p>
        </w:tc>
      </w:tr>
      <w:tr w14:paraId="164049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4EE92AFB">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SACF+SPCN（无TRANSYT）</w:t>
            </w:r>
          </w:p>
        </w:tc>
        <w:tc>
          <w:tcPr>
            <w:tcW w:w="0" w:type="auto"/>
            <w:tcBorders>
              <w:top w:val="nil"/>
              <w:left w:val="nil"/>
              <w:bottom w:val="nil"/>
              <w:right w:val="nil"/>
            </w:tcBorders>
            <w:noWrap w:val="0"/>
            <w:tcMar>
              <w:top w:w="-1" w:type="dxa"/>
              <w:left w:w="-1" w:type="dxa"/>
              <w:bottom w:w="-1" w:type="dxa"/>
              <w:right w:w="-1" w:type="dxa"/>
            </w:tcMar>
            <w:vAlign w:val="center"/>
          </w:tcPr>
          <w:p w14:paraId="31716E12">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908.093</w:t>
            </w:r>
          </w:p>
        </w:tc>
        <w:tc>
          <w:tcPr>
            <w:tcW w:w="0" w:type="auto"/>
            <w:tcBorders>
              <w:top w:val="nil"/>
              <w:left w:val="nil"/>
              <w:bottom w:val="nil"/>
              <w:right w:val="nil"/>
            </w:tcBorders>
            <w:noWrap w:val="0"/>
            <w:tcMar>
              <w:top w:w="-1" w:type="dxa"/>
              <w:left w:w="-1" w:type="dxa"/>
              <w:bottom w:w="-1" w:type="dxa"/>
              <w:right w:w="-1" w:type="dxa"/>
            </w:tcMar>
            <w:vAlign w:val="center"/>
          </w:tcPr>
          <w:p w14:paraId="3E3FE7AA">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836.442</w:t>
            </w:r>
          </w:p>
        </w:tc>
        <w:tc>
          <w:tcPr>
            <w:tcW w:w="0" w:type="auto"/>
            <w:tcBorders>
              <w:top w:val="nil"/>
              <w:left w:val="nil"/>
              <w:bottom w:val="nil"/>
              <w:right w:val="nil"/>
            </w:tcBorders>
            <w:noWrap w:val="0"/>
            <w:tcMar>
              <w:top w:w="-1" w:type="dxa"/>
              <w:left w:w="-1" w:type="dxa"/>
              <w:bottom w:w="-1" w:type="dxa"/>
              <w:right w:w="-1" w:type="dxa"/>
            </w:tcMar>
            <w:vAlign w:val="center"/>
          </w:tcPr>
          <w:p w14:paraId="3E459975">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11.04</w:t>
            </w:r>
          </w:p>
        </w:tc>
        <w:tc>
          <w:tcPr>
            <w:tcW w:w="0" w:type="auto"/>
            <w:tcBorders>
              <w:top w:val="nil"/>
              <w:left w:val="nil"/>
              <w:bottom w:val="nil"/>
              <w:right w:val="nil"/>
            </w:tcBorders>
            <w:noWrap w:val="0"/>
            <w:tcMar>
              <w:top w:w="-1" w:type="dxa"/>
              <w:left w:w="-1" w:type="dxa"/>
              <w:bottom w:w="-1" w:type="dxa"/>
              <w:right w:w="-1" w:type="dxa"/>
            </w:tcMar>
            <w:vAlign w:val="center"/>
          </w:tcPr>
          <w:p w14:paraId="47AC286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36</w:t>
            </w:r>
          </w:p>
        </w:tc>
        <w:tc>
          <w:tcPr>
            <w:tcW w:w="0" w:type="auto"/>
            <w:tcBorders>
              <w:top w:val="nil"/>
              <w:left w:val="nil"/>
              <w:bottom w:val="nil"/>
              <w:right w:val="nil"/>
            </w:tcBorders>
            <w:noWrap w:val="0"/>
            <w:tcMar>
              <w:top w:w="-1" w:type="dxa"/>
              <w:left w:w="-1" w:type="dxa"/>
              <w:bottom w:w="-1" w:type="dxa"/>
              <w:right w:w="-1" w:type="dxa"/>
            </w:tcMar>
            <w:vAlign w:val="center"/>
          </w:tcPr>
          <w:p w14:paraId="6E6B876B">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18</w:t>
            </w:r>
          </w:p>
        </w:tc>
        <w:tc>
          <w:tcPr>
            <w:tcW w:w="0" w:type="auto"/>
            <w:tcBorders>
              <w:top w:val="nil"/>
              <w:left w:val="nil"/>
              <w:bottom w:val="nil"/>
              <w:right w:val="nil"/>
            </w:tcBorders>
            <w:noWrap w:val="0"/>
            <w:tcMar>
              <w:top w:w="-1" w:type="dxa"/>
              <w:left w:w="-1" w:type="dxa"/>
              <w:bottom w:w="-1" w:type="dxa"/>
              <w:right w:w="-1" w:type="dxa"/>
            </w:tcMar>
            <w:vAlign w:val="center"/>
          </w:tcPr>
          <w:p w14:paraId="59349773">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99.9805%</w:t>
            </w:r>
          </w:p>
        </w:tc>
        <w:tc>
          <w:tcPr>
            <w:tcW w:w="975" w:type="dxa"/>
            <w:tcBorders>
              <w:top w:val="nil"/>
              <w:left w:val="nil"/>
              <w:bottom w:val="nil"/>
              <w:right w:val="nil"/>
            </w:tcBorders>
            <w:noWrap w:val="0"/>
            <w:tcMar>
              <w:top w:w="-1" w:type="dxa"/>
              <w:left w:w="-1" w:type="dxa"/>
              <w:bottom w:w="-1" w:type="dxa"/>
              <w:right w:w="-1" w:type="dxa"/>
            </w:tcMar>
            <w:vAlign w:val="center"/>
          </w:tcPr>
          <w:p w14:paraId="648FA67E">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-7.42%</w:t>
            </w:r>
          </w:p>
        </w:tc>
      </w:tr>
      <w:tr w14:paraId="1A1DD4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50C5335D">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SACF+TRANSYT（去SPCN）</w:t>
            </w:r>
          </w:p>
        </w:tc>
        <w:tc>
          <w:tcPr>
            <w:tcW w:w="0" w:type="auto"/>
            <w:tcBorders>
              <w:top w:val="nil"/>
              <w:left w:val="nil"/>
              <w:bottom w:val="nil"/>
              <w:right w:val="nil"/>
            </w:tcBorders>
            <w:noWrap w:val="0"/>
            <w:tcMar>
              <w:top w:w="-1" w:type="dxa"/>
              <w:left w:w="-1" w:type="dxa"/>
              <w:bottom w:w="-1" w:type="dxa"/>
              <w:right w:w="-1" w:type="dxa"/>
            </w:tcMar>
            <w:vAlign w:val="center"/>
          </w:tcPr>
          <w:p w14:paraId="6E5BB76E">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916.337</w:t>
            </w:r>
          </w:p>
        </w:tc>
        <w:tc>
          <w:tcPr>
            <w:tcW w:w="0" w:type="auto"/>
            <w:tcBorders>
              <w:top w:val="nil"/>
              <w:left w:val="nil"/>
              <w:bottom w:val="nil"/>
              <w:right w:val="nil"/>
            </w:tcBorders>
            <w:noWrap w:val="0"/>
            <w:tcMar>
              <w:top w:w="-1" w:type="dxa"/>
              <w:left w:w="-1" w:type="dxa"/>
              <w:bottom w:w="-1" w:type="dxa"/>
              <w:right w:w="-1" w:type="dxa"/>
            </w:tcMar>
            <w:vAlign w:val="center"/>
          </w:tcPr>
          <w:p w14:paraId="1BD9701F">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844.686</w:t>
            </w:r>
          </w:p>
        </w:tc>
        <w:tc>
          <w:tcPr>
            <w:tcW w:w="0" w:type="auto"/>
            <w:tcBorders>
              <w:top w:val="nil"/>
              <w:left w:val="nil"/>
              <w:bottom w:val="nil"/>
              <w:right w:val="nil"/>
            </w:tcBorders>
            <w:noWrap w:val="0"/>
            <w:tcMar>
              <w:top w:w="-1" w:type="dxa"/>
              <w:left w:w="-1" w:type="dxa"/>
              <w:bottom w:w="-1" w:type="dxa"/>
              <w:right w:w="-1" w:type="dxa"/>
            </w:tcMar>
            <w:vAlign w:val="center"/>
          </w:tcPr>
          <w:p w14:paraId="29DB53C2">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11.24</w:t>
            </w:r>
          </w:p>
        </w:tc>
        <w:tc>
          <w:tcPr>
            <w:tcW w:w="0" w:type="auto"/>
            <w:tcBorders>
              <w:top w:val="nil"/>
              <w:left w:val="nil"/>
              <w:bottom w:val="nil"/>
              <w:right w:val="nil"/>
            </w:tcBorders>
            <w:noWrap w:val="0"/>
            <w:tcMar>
              <w:top w:w="-1" w:type="dxa"/>
              <w:left w:w="-1" w:type="dxa"/>
              <w:bottom w:w="-1" w:type="dxa"/>
              <w:right w:w="-1" w:type="dxa"/>
            </w:tcMar>
            <w:vAlign w:val="center"/>
          </w:tcPr>
          <w:p w14:paraId="7F6E2E9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36</w:t>
            </w:r>
          </w:p>
        </w:tc>
        <w:tc>
          <w:tcPr>
            <w:tcW w:w="0" w:type="auto"/>
            <w:tcBorders>
              <w:top w:val="nil"/>
              <w:left w:val="nil"/>
              <w:bottom w:val="nil"/>
              <w:right w:val="nil"/>
            </w:tcBorders>
            <w:noWrap w:val="0"/>
            <w:tcMar>
              <w:top w:w="-1" w:type="dxa"/>
              <w:left w:w="-1" w:type="dxa"/>
              <w:bottom w:w="-1" w:type="dxa"/>
              <w:right w:w="-1" w:type="dxa"/>
            </w:tcMar>
            <w:vAlign w:val="center"/>
          </w:tcPr>
          <w:p w14:paraId="3511A277">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w:t>
            </w:r>
          </w:p>
        </w:tc>
        <w:tc>
          <w:tcPr>
            <w:tcW w:w="0" w:type="auto"/>
            <w:tcBorders>
              <w:top w:val="nil"/>
              <w:left w:val="nil"/>
              <w:bottom w:val="nil"/>
              <w:right w:val="nil"/>
            </w:tcBorders>
            <w:noWrap w:val="0"/>
            <w:tcMar>
              <w:top w:w="-1" w:type="dxa"/>
              <w:left w:w="-1" w:type="dxa"/>
              <w:bottom w:w="-1" w:type="dxa"/>
              <w:right w:w="-1" w:type="dxa"/>
            </w:tcMar>
            <w:vAlign w:val="center"/>
          </w:tcPr>
          <w:p w14:paraId="65C857E8">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99.9816%</w:t>
            </w:r>
          </w:p>
        </w:tc>
        <w:tc>
          <w:tcPr>
            <w:tcW w:w="975" w:type="dxa"/>
            <w:tcBorders>
              <w:top w:val="nil"/>
              <w:left w:val="nil"/>
              <w:bottom w:val="nil"/>
              <w:right w:val="nil"/>
            </w:tcBorders>
            <w:noWrap w:val="0"/>
            <w:tcMar>
              <w:top w:w="-1" w:type="dxa"/>
              <w:left w:w="-1" w:type="dxa"/>
              <w:bottom w:w="-1" w:type="dxa"/>
              <w:right w:w="-1" w:type="dxa"/>
            </w:tcMar>
            <w:vAlign w:val="center"/>
          </w:tcPr>
          <w:p w14:paraId="67FD3825">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-6.58%</w:t>
            </w:r>
          </w:p>
        </w:tc>
      </w:tr>
      <w:tr w14:paraId="23741A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nil"/>
              <w:right w:val="nil"/>
            </w:tcBorders>
            <w:noWrap w:val="0"/>
            <w:tcMar>
              <w:top w:w="-1" w:type="dxa"/>
              <w:left w:w="-1" w:type="dxa"/>
              <w:bottom w:w="-1" w:type="dxa"/>
              <w:right w:w="-1" w:type="dxa"/>
            </w:tcMar>
            <w:vAlign w:val="center"/>
          </w:tcPr>
          <w:p w14:paraId="19025B56">
            <w:pPr>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SPCN+TRANSYT（去SACF）</w:t>
            </w:r>
          </w:p>
        </w:tc>
        <w:tc>
          <w:tcPr>
            <w:tcW w:w="0" w:type="auto"/>
            <w:tcBorders>
              <w:top w:val="nil"/>
              <w:left w:val="nil"/>
              <w:bottom w:val="nil"/>
              <w:right w:val="nil"/>
            </w:tcBorders>
            <w:noWrap w:val="0"/>
            <w:tcMar>
              <w:top w:w="-1" w:type="dxa"/>
              <w:left w:w="-1" w:type="dxa"/>
              <w:bottom w:w="-1" w:type="dxa"/>
              <w:right w:w="-1" w:type="dxa"/>
            </w:tcMar>
            <w:vAlign w:val="center"/>
          </w:tcPr>
          <w:p w14:paraId="466AA1A1">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914.372</w:t>
            </w:r>
          </w:p>
        </w:tc>
        <w:tc>
          <w:tcPr>
            <w:tcW w:w="0" w:type="auto"/>
            <w:tcBorders>
              <w:top w:val="nil"/>
              <w:left w:val="nil"/>
              <w:bottom w:val="nil"/>
              <w:right w:val="nil"/>
            </w:tcBorders>
            <w:noWrap w:val="0"/>
            <w:tcMar>
              <w:top w:w="-1" w:type="dxa"/>
              <w:left w:w="-1" w:type="dxa"/>
              <w:bottom w:w="-1" w:type="dxa"/>
              <w:right w:w="-1" w:type="dxa"/>
            </w:tcMar>
            <w:vAlign w:val="center"/>
          </w:tcPr>
          <w:p w14:paraId="6238DFD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842.721</w:t>
            </w:r>
          </w:p>
        </w:tc>
        <w:tc>
          <w:tcPr>
            <w:tcW w:w="0" w:type="auto"/>
            <w:tcBorders>
              <w:top w:val="nil"/>
              <w:left w:val="nil"/>
              <w:bottom w:val="nil"/>
              <w:right w:val="nil"/>
            </w:tcBorders>
            <w:noWrap w:val="0"/>
            <w:tcMar>
              <w:top w:w="-1" w:type="dxa"/>
              <w:left w:w="-1" w:type="dxa"/>
              <w:bottom w:w="-1" w:type="dxa"/>
              <w:right w:w="-1" w:type="dxa"/>
            </w:tcMar>
            <w:vAlign w:val="center"/>
          </w:tcPr>
          <w:p w14:paraId="65005F51">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11.19</w:t>
            </w:r>
          </w:p>
        </w:tc>
        <w:tc>
          <w:tcPr>
            <w:tcW w:w="0" w:type="auto"/>
            <w:tcBorders>
              <w:top w:val="nil"/>
              <w:left w:val="nil"/>
              <w:bottom w:val="nil"/>
              <w:right w:val="nil"/>
            </w:tcBorders>
            <w:noWrap w:val="0"/>
            <w:tcMar>
              <w:top w:w="-1" w:type="dxa"/>
              <w:left w:w="-1" w:type="dxa"/>
              <w:bottom w:w="-1" w:type="dxa"/>
              <w:right w:w="-1" w:type="dxa"/>
            </w:tcMar>
            <w:vAlign w:val="center"/>
          </w:tcPr>
          <w:p w14:paraId="5F86383A">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36</w:t>
            </w:r>
          </w:p>
        </w:tc>
        <w:tc>
          <w:tcPr>
            <w:tcW w:w="0" w:type="auto"/>
            <w:tcBorders>
              <w:top w:val="nil"/>
              <w:left w:val="nil"/>
              <w:bottom w:val="nil"/>
              <w:right w:val="nil"/>
            </w:tcBorders>
            <w:noWrap w:val="0"/>
            <w:tcMar>
              <w:top w:w="-1" w:type="dxa"/>
              <w:left w:w="-1" w:type="dxa"/>
              <w:bottom w:w="-1" w:type="dxa"/>
              <w:right w:w="-1" w:type="dxa"/>
            </w:tcMar>
            <w:vAlign w:val="center"/>
          </w:tcPr>
          <w:p w14:paraId="4E5B805C">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w:t>
            </w:r>
          </w:p>
        </w:tc>
        <w:tc>
          <w:tcPr>
            <w:tcW w:w="0" w:type="auto"/>
            <w:tcBorders>
              <w:top w:val="nil"/>
              <w:left w:val="nil"/>
              <w:bottom w:val="nil"/>
              <w:right w:val="nil"/>
            </w:tcBorders>
            <w:noWrap w:val="0"/>
            <w:tcMar>
              <w:top w:w="-1" w:type="dxa"/>
              <w:left w:w="-1" w:type="dxa"/>
              <w:bottom w:w="-1" w:type="dxa"/>
              <w:right w:w="-1" w:type="dxa"/>
            </w:tcMar>
            <w:vAlign w:val="center"/>
          </w:tcPr>
          <w:p w14:paraId="563D5BEE">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99.9816%</w:t>
            </w:r>
          </w:p>
        </w:tc>
        <w:tc>
          <w:tcPr>
            <w:tcW w:w="975" w:type="dxa"/>
            <w:tcBorders>
              <w:top w:val="nil"/>
              <w:left w:val="nil"/>
              <w:bottom w:val="nil"/>
              <w:right w:val="nil"/>
            </w:tcBorders>
            <w:noWrap w:val="0"/>
            <w:tcMar>
              <w:top w:w="-1" w:type="dxa"/>
              <w:left w:w="-1" w:type="dxa"/>
              <w:bottom w:w="-1" w:type="dxa"/>
              <w:right w:w="-1" w:type="dxa"/>
            </w:tcMar>
            <w:vAlign w:val="center"/>
          </w:tcPr>
          <w:p w14:paraId="3A929F3F">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-6.78%</w:t>
            </w:r>
          </w:p>
        </w:tc>
      </w:tr>
      <w:tr w14:paraId="15F931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02" w:type="dxa"/>
            <w:tcBorders>
              <w:top w:val="nil"/>
              <w:left w:val="nil"/>
              <w:bottom w:val="single" w:color="auto" w:sz="12" w:space="0"/>
              <w:right w:val="nil"/>
            </w:tcBorders>
            <w:noWrap w:val="0"/>
            <w:tcMar>
              <w:top w:w="-1" w:type="dxa"/>
              <w:left w:w="-1" w:type="dxa"/>
              <w:bottom w:w="-1" w:type="dxa"/>
              <w:right w:w="-1" w:type="dxa"/>
            </w:tcMar>
            <w:vAlign w:val="center"/>
          </w:tcPr>
          <w:p w14:paraId="44FC8906">
            <w:pPr>
              <w:snapToGrid w:val="0"/>
              <w:spacing w:line="240" w:lineRule="auto"/>
              <w:ind w:left="0" w:leftChars="0" w:right="0" w:rightChars="0" w:firstLine="0" w:firstLineChars="0"/>
              <w:jc w:val="left"/>
              <w:rPr>
                <w:rFonts w:hint="default" w:ascii="Times New Roman" w:eastAsia="宋体"/>
                <w:sz w:val="18"/>
                <w:szCs w:val="18"/>
                <w:lang w:val="en-US" w:eastAsia="zh-CN"/>
              </w:rPr>
            </w:pPr>
            <w:r>
              <w:rPr>
                <w:rFonts w:ascii="Times New Roman" w:hAnsi="Times New Roman" w:eastAsia="宋体" w:cs="Times New Roman"/>
                <w:b w:val="0"/>
                <w:sz w:val="18"/>
                <w:szCs w:val="18"/>
              </w:rPr>
              <w:t xml:space="preserve">完整 </w:t>
            </w:r>
            <w:r>
              <w:rPr>
                <w:rFonts w:hint="eastAsia" w:ascii="Times New Roman" w:hAnsi="Times New Roman" w:cs="Times New Roman"/>
                <w:b w:val="0"/>
                <w:sz w:val="18"/>
                <w:szCs w:val="18"/>
                <w:lang w:val="en-US" w:eastAsia="zh-CN"/>
              </w:rPr>
              <w:t>FSCC</w:t>
            </w:r>
          </w:p>
        </w:tc>
        <w:tc>
          <w:tcPr>
            <w:tcW w:w="893" w:type="dxa"/>
            <w:tcBorders>
              <w:top w:val="nil"/>
              <w:left w:val="nil"/>
              <w:bottom w:val="single" w:color="auto" w:sz="12" w:space="0"/>
              <w:right w:val="nil"/>
            </w:tcBorders>
            <w:noWrap w:val="0"/>
            <w:tcMar>
              <w:top w:w="-1" w:type="dxa"/>
              <w:left w:w="-1" w:type="dxa"/>
              <w:bottom w:w="-1" w:type="dxa"/>
              <w:right w:w="-1" w:type="dxa"/>
            </w:tcMar>
            <w:vAlign w:val="center"/>
          </w:tcPr>
          <w:p w14:paraId="4B28A5FB">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912.174</w:t>
            </w:r>
          </w:p>
        </w:tc>
        <w:tc>
          <w:tcPr>
            <w:tcW w:w="893" w:type="dxa"/>
            <w:tcBorders>
              <w:top w:val="nil"/>
              <w:left w:val="nil"/>
              <w:bottom w:val="single" w:color="auto" w:sz="12" w:space="0"/>
              <w:right w:val="nil"/>
            </w:tcBorders>
            <w:noWrap w:val="0"/>
            <w:tcMar>
              <w:top w:w="-1" w:type="dxa"/>
              <w:left w:w="-1" w:type="dxa"/>
              <w:bottom w:w="-1" w:type="dxa"/>
              <w:right w:w="-1" w:type="dxa"/>
            </w:tcMar>
            <w:vAlign w:val="center"/>
          </w:tcPr>
          <w:p w14:paraId="26240BAF">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840.523</w:t>
            </w:r>
          </w:p>
        </w:tc>
        <w:tc>
          <w:tcPr>
            <w:tcW w:w="1047" w:type="dxa"/>
            <w:tcBorders>
              <w:top w:val="nil"/>
              <w:left w:val="nil"/>
              <w:bottom w:val="single" w:color="auto" w:sz="12" w:space="0"/>
              <w:right w:val="nil"/>
            </w:tcBorders>
            <w:noWrap w:val="0"/>
            <w:tcMar>
              <w:top w:w="-1" w:type="dxa"/>
              <w:left w:w="-1" w:type="dxa"/>
              <w:bottom w:w="-1" w:type="dxa"/>
              <w:right w:w="-1" w:type="dxa"/>
            </w:tcMar>
            <w:vAlign w:val="center"/>
          </w:tcPr>
          <w:p w14:paraId="40B6B1A4">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11.14</w:t>
            </w:r>
          </w:p>
        </w:tc>
        <w:tc>
          <w:tcPr>
            <w:tcW w:w="1047" w:type="dxa"/>
            <w:tcBorders>
              <w:top w:val="nil"/>
              <w:left w:val="nil"/>
              <w:bottom w:val="single" w:color="auto" w:sz="12" w:space="0"/>
              <w:right w:val="nil"/>
            </w:tcBorders>
            <w:noWrap w:val="0"/>
            <w:tcMar>
              <w:top w:w="-1" w:type="dxa"/>
              <w:left w:w="-1" w:type="dxa"/>
              <w:bottom w:w="-1" w:type="dxa"/>
              <w:right w:w="-1" w:type="dxa"/>
            </w:tcMar>
            <w:vAlign w:val="center"/>
          </w:tcPr>
          <w:p w14:paraId="771D0739">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36</w:t>
            </w:r>
          </w:p>
        </w:tc>
        <w:tc>
          <w:tcPr>
            <w:tcW w:w="847" w:type="dxa"/>
            <w:tcBorders>
              <w:top w:val="nil"/>
              <w:left w:val="nil"/>
              <w:bottom w:val="single" w:color="auto" w:sz="12" w:space="0"/>
              <w:right w:val="nil"/>
            </w:tcBorders>
            <w:noWrap w:val="0"/>
            <w:tcMar>
              <w:top w:w="-1" w:type="dxa"/>
              <w:left w:w="-1" w:type="dxa"/>
              <w:bottom w:w="-1" w:type="dxa"/>
              <w:right w:w="-1" w:type="dxa"/>
            </w:tcMar>
            <w:vAlign w:val="center"/>
          </w:tcPr>
          <w:p w14:paraId="53C2F5C7">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w:t>
            </w:r>
          </w:p>
        </w:tc>
        <w:tc>
          <w:tcPr>
            <w:tcW w:w="1061" w:type="dxa"/>
            <w:tcBorders>
              <w:top w:val="nil"/>
              <w:left w:val="nil"/>
              <w:bottom w:val="single" w:color="auto" w:sz="12" w:space="0"/>
              <w:right w:val="nil"/>
            </w:tcBorders>
            <w:noWrap w:val="0"/>
            <w:tcMar>
              <w:top w:w="-1" w:type="dxa"/>
              <w:left w:w="-1" w:type="dxa"/>
              <w:bottom w:w="-1" w:type="dxa"/>
              <w:right w:w="-1" w:type="dxa"/>
            </w:tcMar>
            <w:vAlign w:val="center"/>
          </w:tcPr>
          <w:p w14:paraId="43C601BF">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99.9816%</w:t>
            </w:r>
          </w:p>
        </w:tc>
        <w:tc>
          <w:tcPr>
            <w:tcW w:w="975" w:type="dxa"/>
            <w:tcBorders>
              <w:top w:val="nil"/>
              <w:left w:val="nil"/>
              <w:bottom w:val="single" w:color="auto" w:sz="12" w:space="0"/>
              <w:right w:val="nil"/>
            </w:tcBorders>
            <w:noWrap w:val="0"/>
            <w:tcMar>
              <w:top w:w="-1" w:type="dxa"/>
              <w:left w:w="-1" w:type="dxa"/>
              <w:bottom w:w="-1" w:type="dxa"/>
              <w:right w:w="-1" w:type="dxa"/>
            </w:tcMar>
            <w:vAlign w:val="center"/>
          </w:tcPr>
          <w:p w14:paraId="701379F7">
            <w:pPr>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-7.00%</w:t>
            </w:r>
          </w:p>
        </w:tc>
      </w:tr>
    </w:tbl>
    <w:p w14:paraId="4800A089"/>
    <w:p w14:paraId="1FC64DCB">
      <w:pPr>
        <w:spacing w:after="120" w:line="360" w:lineRule="auto"/>
        <w:ind w:firstLine="480"/>
      </w:pPr>
      <w:r>
        <w:rPr>
          <w:rFonts w:ascii="Times New Roman" w:hAnsi="Times New Roman" w:eastAsia="宋体" w:cs="Times New Roman"/>
          <w:b w:val="0"/>
          <w:sz w:val="24"/>
        </w:rPr>
        <w:t>结果显示，完整组合在早高峰、平峰和晚高峰均获得最低或接近最低的 TT，并保持与基线几乎一致的吞吐率。SACF+TRANSYT 去除 SPCN 后在平峰与 TRANSYT-only 完全相同，说明在该场景及参数下，SACF 门控没有形成足以改变相位竞争排序的有效残差；晚高峰仅较 TRANSYT-only 多 0.08 个百分点的 TT 改善。原因不是“SACF 无效”的绝对结论，而是缺少 SPCN 的相位竞争结构后，SACF 输出受动作映射、信赖域和安全约束限制，难以稳定区分竞争强度接近的候选相位。SPCN 提供的相位对竞争特征正是把这种细粒度差异转化为可执行修正的关键。</w:t>
      </w:r>
    </w:p>
    <w:p w14:paraId="30ADF0A5">
      <w:pPr>
        <w:spacing w:after="120" w:line="360" w:lineRule="auto"/>
        <w:ind w:firstLine="480"/>
      </w:pPr>
      <w:r>
        <w:rPr>
          <w:rFonts w:ascii="Times New Roman" w:hAnsi="Times New Roman" w:eastAsia="宋体" w:cs="Times New Roman"/>
          <w:b w:val="0"/>
          <w:sz w:val="24"/>
        </w:rPr>
        <w:t>另一方面，SACF+SPCN 无 TRANSYT 在平峰和晚高峰表现较好，但早高峰 TT 高于固定配时 0.60%。这说明在高饱和状态下，仅优化单路口相位竞争可能把排队压力向相邻路口转移；TRANSYT 协调层通过到达波与相位偏移补上网络层约束。三组消融共同支持“局部竞争修正 + 走廊协调 + 安全迁移先验”的组件互补性，而不是单一模块在所有时段都占优。</w:t>
      </w:r>
    </w:p>
    <w:p w14:paraId="2FC4BA24">
      <w:pPr>
        <w:spacing w:after="120" w:line="360" w:lineRule="auto"/>
        <w:ind w:firstLine="480"/>
      </w:pPr>
      <w:r>
        <w:rPr>
          <w:rFonts w:ascii="Times New Roman" w:hAnsi="Times New Roman" w:eastAsia="宋体" w:cs="Times New Roman"/>
          <w:sz w:val="24"/>
        </w:rPr>
        <w:t>正式评测统一 7,500 步、相同场景输入和固定随机种子。吞吐率</w:t>
      </w:r>
      <m:oMath>
        <m:r>
          <m:rPr/>
          <m:t>= completed_vehicles_est / total_demand</m:t>
        </m:r>
      </m:oMath>
      <w:r>
        <w:rPr>
          <w:rFonts w:ascii="Times New Roman" w:hAnsi="Times New Roman" w:eastAsia="宋体" w:cs="Times New Roman"/>
          <w:sz w:val="24"/>
        </w:rPr>
        <w:t>；改善率</w:t>
      </w:r>
      <m:oMath>
        <m:r>
          <m:rPr/>
          <m:t>= (fixed − method) / fixed × 100%</m:t>
        </m:r>
      </m:oMath>
      <w:r>
        <w:rPr>
          <w:rFonts w:ascii="Times New Roman" w:hAnsi="Times New Roman" w:eastAsia="宋体" w:cs="Times New Roman"/>
          <w:sz w:val="24"/>
        </w:rPr>
        <w:t>。队列使用 queue_proxy；延迟比例</w:t>
      </w:r>
      <m:oMath>
        <m:sSub>
          <m:sSubPr/>
          <m:e>
            <m:r>
              <m:rPr/>
              <m:t>delay</m:t>
            </m:r>
          </m:e>
          <m:sub>
            <m:r>
              <m:rPr>
                <m:sty m:val="p"/>
              </m:rPr>
              <m:t>ratio_apx</m:t>
            </m:r>
          </m:sub>
        </m:sSub>
        <m:r>
          <m:rPr/>
          <m:t>= 1 − 平均速度 / 限速</m:t>
        </m:r>
      </m:oMath>
      <w:r>
        <w:rPr>
          <w:rFonts w:ascii="Times New Roman" w:hAnsi="Times New Roman" w:eastAsia="宋体" w:cs="Times New Roman"/>
          <w:sz w:val="24"/>
        </w:rPr>
        <w:t>，不与旧日志累计真实延迟总量混比。</w:t>
      </w:r>
    </w:p>
    <w:p w14:paraId="3DFD049C">
      <w:pPr>
        <w:pStyle w:val="15"/>
        <w:spacing w:after="120" w:line="360" w:lineRule="auto"/>
        <w:jc w:val="center"/>
      </w:pPr>
      <w:r>
        <w:rPr>
          <w:rFonts w:ascii="Times New Roman" w:hAnsi="Times New Roman" w:eastAsia="宋体" w:cs="Times New Roman"/>
          <w:sz w:val="24"/>
        </w:rPr>
        <w:t>表6-4 20 路口三时段主结果</w:t>
      </w:r>
    </w:p>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57"/>
        <w:gridCol w:w="1137"/>
        <w:gridCol w:w="1669"/>
        <w:gridCol w:w="1253"/>
        <w:gridCol w:w="1116"/>
        <w:gridCol w:w="1061"/>
        <w:gridCol w:w="2337"/>
      </w:tblGrid>
      <w:tr w14:paraId="02EEE1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957"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8D0DAD1">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时段</w:t>
            </w:r>
          </w:p>
        </w:tc>
        <w:tc>
          <w:tcPr>
            <w:tcW w:w="1137"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CA526B2">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方法</w:t>
            </w:r>
          </w:p>
        </w:tc>
        <w:tc>
          <w:tcPr>
            <w:tcW w:w="1669"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1C62EBD8">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平均旅行时间/s</w:t>
            </w:r>
          </w:p>
        </w:tc>
        <w:tc>
          <w:tcPr>
            <w:tcW w:w="1253"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290F319">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估计延迟/s</w:t>
            </w:r>
          </w:p>
        </w:tc>
        <w:tc>
          <w:tcPr>
            <w:tcW w:w="1116"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5F58A792">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平均队列</w:t>
            </w:r>
          </w:p>
        </w:tc>
        <w:tc>
          <w:tcPr>
            <w:tcW w:w="1061"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26599FE">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吞吐率</w:t>
            </w:r>
          </w:p>
        </w:tc>
        <w:tc>
          <w:tcPr>
            <w:tcW w:w="2337"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48D6CFE">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相对固定配时</w:t>
            </w:r>
          </w:p>
        </w:tc>
      </w:tr>
      <w:tr w14:paraId="22B1DD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7" w:type="dxa"/>
            <w:tcBorders>
              <w:top w:val="single" w:color="auto" w:sz="4" w:space="0"/>
              <w:left w:val="nil"/>
              <w:bottom w:val="nil"/>
              <w:right w:val="nil"/>
            </w:tcBorders>
            <w:noWrap w:val="0"/>
            <w:tcMar>
              <w:top w:w="-1" w:type="dxa"/>
              <w:left w:w="-1" w:type="dxa"/>
              <w:bottom w:w="-1" w:type="dxa"/>
              <w:right w:w="-1" w:type="dxa"/>
            </w:tcMar>
            <w:vAlign w:val="center"/>
          </w:tcPr>
          <w:p w14:paraId="2F32F97A">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早高峰</w:t>
            </w:r>
          </w:p>
        </w:tc>
        <w:tc>
          <w:tcPr>
            <w:tcW w:w="1137" w:type="dxa"/>
            <w:tcBorders>
              <w:top w:val="single" w:color="auto" w:sz="4" w:space="0"/>
              <w:left w:val="nil"/>
              <w:bottom w:val="nil"/>
              <w:right w:val="nil"/>
            </w:tcBorders>
            <w:noWrap w:val="0"/>
            <w:tcMar>
              <w:top w:w="-1" w:type="dxa"/>
              <w:left w:w="-1" w:type="dxa"/>
              <w:bottom w:w="-1" w:type="dxa"/>
              <w:right w:w="-1" w:type="dxa"/>
            </w:tcMar>
            <w:vAlign w:val="center"/>
          </w:tcPr>
          <w:p w14:paraId="52D2F2FB">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固定配时</w:t>
            </w:r>
          </w:p>
        </w:tc>
        <w:tc>
          <w:tcPr>
            <w:tcW w:w="1669" w:type="dxa"/>
            <w:tcBorders>
              <w:top w:val="single" w:color="auto" w:sz="4" w:space="0"/>
              <w:left w:val="nil"/>
              <w:bottom w:val="nil"/>
              <w:right w:val="nil"/>
            </w:tcBorders>
            <w:noWrap w:val="0"/>
            <w:tcMar>
              <w:top w:w="-1" w:type="dxa"/>
              <w:left w:w="-1" w:type="dxa"/>
              <w:bottom w:w="-1" w:type="dxa"/>
              <w:right w:w="-1" w:type="dxa"/>
            </w:tcMar>
            <w:vAlign w:val="center"/>
          </w:tcPr>
          <w:p w14:paraId="19B96DC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1204.245</w:t>
            </w:r>
          </w:p>
        </w:tc>
        <w:tc>
          <w:tcPr>
            <w:tcW w:w="1253" w:type="dxa"/>
            <w:tcBorders>
              <w:top w:val="single" w:color="auto" w:sz="4" w:space="0"/>
              <w:left w:val="nil"/>
              <w:bottom w:val="nil"/>
              <w:right w:val="nil"/>
            </w:tcBorders>
            <w:noWrap w:val="0"/>
            <w:tcMar>
              <w:top w:w="-1" w:type="dxa"/>
              <w:left w:w="-1" w:type="dxa"/>
              <w:bottom w:w="-1" w:type="dxa"/>
              <w:right w:w="-1" w:type="dxa"/>
            </w:tcMar>
            <w:vAlign w:val="center"/>
          </w:tcPr>
          <w:p w14:paraId="326A6B63">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1130.715</w:t>
            </w:r>
          </w:p>
        </w:tc>
        <w:tc>
          <w:tcPr>
            <w:tcW w:w="1116" w:type="dxa"/>
            <w:tcBorders>
              <w:top w:val="single" w:color="auto" w:sz="4" w:space="0"/>
              <w:left w:val="nil"/>
              <w:bottom w:val="nil"/>
              <w:right w:val="nil"/>
            </w:tcBorders>
            <w:noWrap w:val="0"/>
            <w:tcMar>
              <w:top w:w="-1" w:type="dxa"/>
              <w:left w:w="-1" w:type="dxa"/>
              <w:bottom w:w="-1" w:type="dxa"/>
              <w:right w:w="-1" w:type="dxa"/>
            </w:tcMar>
            <w:vAlign w:val="center"/>
          </w:tcPr>
          <w:p w14:paraId="292DC906">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17.751</w:t>
            </w:r>
          </w:p>
        </w:tc>
        <w:tc>
          <w:tcPr>
            <w:tcW w:w="1061" w:type="dxa"/>
            <w:tcBorders>
              <w:top w:val="single" w:color="auto" w:sz="4" w:space="0"/>
              <w:left w:val="nil"/>
              <w:bottom w:val="nil"/>
              <w:right w:val="nil"/>
            </w:tcBorders>
            <w:noWrap w:val="0"/>
            <w:tcMar>
              <w:top w:w="-1" w:type="dxa"/>
              <w:left w:w="-1" w:type="dxa"/>
              <w:bottom w:w="-1" w:type="dxa"/>
              <w:right w:w="-1" w:type="dxa"/>
            </w:tcMar>
            <w:vAlign w:val="center"/>
          </w:tcPr>
          <w:p w14:paraId="496D3AA2">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0.999704</w:t>
            </w:r>
          </w:p>
        </w:tc>
        <w:tc>
          <w:tcPr>
            <w:tcW w:w="2337" w:type="dxa"/>
            <w:tcBorders>
              <w:top w:val="single" w:color="auto" w:sz="4" w:space="0"/>
              <w:left w:val="nil"/>
              <w:bottom w:val="nil"/>
              <w:right w:val="nil"/>
            </w:tcBorders>
            <w:noWrap w:val="0"/>
            <w:tcMar>
              <w:top w:w="-1" w:type="dxa"/>
              <w:left w:w="-1" w:type="dxa"/>
              <w:bottom w:w="-1" w:type="dxa"/>
              <w:right w:w="-1" w:type="dxa"/>
            </w:tcMar>
            <w:vAlign w:val="center"/>
          </w:tcPr>
          <w:p w14:paraId="468403ED">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w:t>
            </w:r>
          </w:p>
        </w:tc>
      </w:tr>
      <w:tr w14:paraId="492AC8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7" w:type="dxa"/>
            <w:tcBorders>
              <w:top w:val="nil"/>
              <w:left w:val="nil"/>
              <w:bottom w:val="nil"/>
              <w:right w:val="nil"/>
            </w:tcBorders>
            <w:noWrap w:val="0"/>
            <w:tcMar>
              <w:top w:w="-1" w:type="dxa"/>
              <w:left w:w="-1" w:type="dxa"/>
              <w:bottom w:w="-1" w:type="dxa"/>
              <w:right w:w="-1" w:type="dxa"/>
            </w:tcMar>
            <w:vAlign w:val="center"/>
          </w:tcPr>
          <w:p w14:paraId="13B75483">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早高峰</w:t>
            </w:r>
          </w:p>
        </w:tc>
        <w:tc>
          <w:tcPr>
            <w:tcW w:w="1137" w:type="dxa"/>
            <w:tcBorders>
              <w:top w:val="nil"/>
              <w:left w:val="nil"/>
              <w:bottom w:val="nil"/>
              <w:right w:val="nil"/>
            </w:tcBorders>
            <w:noWrap w:val="0"/>
            <w:tcMar>
              <w:top w:w="-1" w:type="dxa"/>
              <w:left w:w="-1" w:type="dxa"/>
              <w:bottom w:w="-1" w:type="dxa"/>
              <w:right w:w="-1" w:type="dxa"/>
            </w:tcMar>
            <w:vAlign w:val="center"/>
          </w:tcPr>
          <w:p w14:paraId="3B6371E6">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完整组合</w:t>
            </w:r>
          </w:p>
        </w:tc>
        <w:tc>
          <w:tcPr>
            <w:tcW w:w="1669" w:type="dxa"/>
            <w:tcBorders>
              <w:top w:val="nil"/>
              <w:left w:val="nil"/>
              <w:bottom w:val="nil"/>
              <w:right w:val="nil"/>
            </w:tcBorders>
            <w:noWrap w:val="0"/>
            <w:tcMar>
              <w:top w:w="-1" w:type="dxa"/>
              <w:left w:w="-1" w:type="dxa"/>
              <w:bottom w:w="-1" w:type="dxa"/>
              <w:right w:w="-1" w:type="dxa"/>
            </w:tcMar>
            <w:vAlign w:val="center"/>
          </w:tcPr>
          <w:p w14:paraId="713D2770">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1149.833</w:t>
            </w:r>
          </w:p>
        </w:tc>
        <w:tc>
          <w:tcPr>
            <w:tcW w:w="1253" w:type="dxa"/>
            <w:tcBorders>
              <w:top w:val="nil"/>
              <w:left w:val="nil"/>
              <w:bottom w:val="nil"/>
              <w:right w:val="nil"/>
            </w:tcBorders>
            <w:noWrap w:val="0"/>
            <w:tcMar>
              <w:top w:w="-1" w:type="dxa"/>
              <w:left w:w="-1" w:type="dxa"/>
              <w:bottom w:w="-1" w:type="dxa"/>
              <w:right w:w="-1" w:type="dxa"/>
            </w:tcMar>
            <w:vAlign w:val="center"/>
          </w:tcPr>
          <w:p w14:paraId="357DDB47">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1076.303</w:t>
            </w:r>
          </w:p>
        </w:tc>
        <w:tc>
          <w:tcPr>
            <w:tcW w:w="1116" w:type="dxa"/>
            <w:tcBorders>
              <w:top w:val="nil"/>
              <w:left w:val="nil"/>
              <w:bottom w:val="nil"/>
              <w:right w:val="nil"/>
            </w:tcBorders>
            <w:noWrap w:val="0"/>
            <w:tcMar>
              <w:top w:w="-1" w:type="dxa"/>
              <w:left w:w="-1" w:type="dxa"/>
              <w:bottom w:w="-1" w:type="dxa"/>
              <w:right w:w="-1" w:type="dxa"/>
            </w:tcMar>
            <w:vAlign w:val="center"/>
          </w:tcPr>
          <w:p w14:paraId="72B0921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16.283</w:t>
            </w:r>
          </w:p>
        </w:tc>
        <w:tc>
          <w:tcPr>
            <w:tcW w:w="1061" w:type="dxa"/>
            <w:tcBorders>
              <w:top w:val="nil"/>
              <w:left w:val="nil"/>
              <w:bottom w:val="nil"/>
              <w:right w:val="nil"/>
            </w:tcBorders>
            <w:noWrap w:val="0"/>
            <w:tcMar>
              <w:top w:w="-1" w:type="dxa"/>
              <w:left w:w="-1" w:type="dxa"/>
              <w:bottom w:w="-1" w:type="dxa"/>
              <w:right w:w="-1" w:type="dxa"/>
            </w:tcMar>
            <w:vAlign w:val="center"/>
          </w:tcPr>
          <w:p w14:paraId="0DF3E418">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0.999704</w:t>
            </w:r>
          </w:p>
        </w:tc>
        <w:tc>
          <w:tcPr>
            <w:tcW w:w="2337" w:type="dxa"/>
            <w:tcBorders>
              <w:top w:val="nil"/>
              <w:left w:val="nil"/>
              <w:bottom w:val="nil"/>
              <w:right w:val="nil"/>
            </w:tcBorders>
            <w:noWrap w:val="0"/>
            <w:tcMar>
              <w:top w:w="-1" w:type="dxa"/>
              <w:left w:w="-1" w:type="dxa"/>
              <w:bottom w:w="-1" w:type="dxa"/>
              <w:right w:w="-1" w:type="dxa"/>
            </w:tcMar>
            <w:vAlign w:val="center"/>
          </w:tcPr>
          <w:p w14:paraId="3CD4807F">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TT 4.52%; 队列 8.27%</w:t>
            </w:r>
          </w:p>
        </w:tc>
      </w:tr>
      <w:tr w14:paraId="5D6804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7" w:type="dxa"/>
            <w:tcBorders>
              <w:top w:val="nil"/>
              <w:left w:val="nil"/>
              <w:bottom w:val="nil"/>
              <w:right w:val="nil"/>
            </w:tcBorders>
            <w:noWrap w:val="0"/>
            <w:tcMar>
              <w:top w:w="-1" w:type="dxa"/>
              <w:left w:w="-1" w:type="dxa"/>
              <w:bottom w:w="-1" w:type="dxa"/>
              <w:right w:w="-1" w:type="dxa"/>
            </w:tcMar>
            <w:vAlign w:val="center"/>
          </w:tcPr>
          <w:p w14:paraId="338F9A10">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平峰</w:t>
            </w:r>
          </w:p>
        </w:tc>
        <w:tc>
          <w:tcPr>
            <w:tcW w:w="1137" w:type="dxa"/>
            <w:tcBorders>
              <w:top w:val="nil"/>
              <w:left w:val="nil"/>
              <w:bottom w:val="nil"/>
              <w:right w:val="nil"/>
            </w:tcBorders>
            <w:noWrap w:val="0"/>
            <w:tcMar>
              <w:top w:w="-1" w:type="dxa"/>
              <w:left w:w="-1" w:type="dxa"/>
              <w:bottom w:w="-1" w:type="dxa"/>
              <w:right w:w="-1" w:type="dxa"/>
            </w:tcMar>
            <w:vAlign w:val="center"/>
          </w:tcPr>
          <w:p w14:paraId="5AA77A9F">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固定配时</w:t>
            </w:r>
          </w:p>
        </w:tc>
        <w:tc>
          <w:tcPr>
            <w:tcW w:w="1669" w:type="dxa"/>
            <w:tcBorders>
              <w:top w:val="nil"/>
              <w:left w:val="nil"/>
              <w:bottom w:val="nil"/>
              <w:right w:val="nil"/>
            </w:tcBorders>
            <w:noWrap w:val="0"/>
            <w:tcMar>
              <w:top w:w="-1" w:type="dxa"/>
              <w:left w:w="-1" w:type="dxa"/>
              <w:bottom w:w="-1" w:type="dxa"/>
              <w:right w:w="-1" w:type="dxa"/>
            </w:tcMar>
            <w:vAlign w:val="center"/>
          </w:tcPr>
          <w:p w14:paraId="06DACF26">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846.804</w:t>
            </w:r>
          </w:p>
        </w:tc>
        <w:tc>
          <w:tcPr>
            <w:tcW w:w="1253" w:type="dxa"/>
            <w:tcBorders>
              <w:top w:val="nil"/>
              <w:left w:val="nil"/>
              <w:bottom w:val="nil"/>
              <w:right w:val="nil"/>
            </w:tcBorders>
            <w:noWrap w:val="0"/>
            <w:tcMar>
              <w:top w:w="-1" w:type="dxa"/>
              <w:left w:w="-1" w:type="dxa"/>
              <w:bottom w:w="-1" w:type="dxa"/>
              <w:right w:w="-1" w:type="dxa"/>
            </w:tcMar>
            <w:vAlign w:val="center"/>
          </w:tcPr>
          <w:p w14:paraId="6800D635">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775.401</w:t>
            </w:r>
          </w:p>
        </w:tc>
        <w:tc>
          <w:tcPr>
            <w:tcW w:w="1116" w:type="dxa"/>
            <w:tcBorders>
              <w:top w:val="nil"/>
              <w:left w:val="nil"/>
              <w:bottom w:val="nil"/>
              <w:right w:val="nil"/>
            </w:tcBorders>
            <w:noWrap w:val="0"/>
            <w:tcMar>
              <w:top w:w="-1" w:type="dxa"/>
              <w:left w:w="-1" w:type="dxa"/>
              <w:bottom w:w="-1" w:type="dxa"/>
              <w:right w:w="-1" w:type="dxa"/>
            </w:tcMar>
            <w:vAlign w:val="center"/>
          </w:tcPr>
          <w:p w14:paraId="1595FC57">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7.133</w:t>
            </w:r>
          </w:p>
        </w:tc>
        <w:tc>
          <w:tcPr>
            <w:tcW w:w="1061" w:type="dxa"/>
            <w:tcBorders>
              <w:top w:val="nil"/>
              <w:left w:val="nil"/>
              <w:bottom w:val="nil"/>
              <w:right w:val="nil"/>
            </w:tcBorders>
            <w:noWrap w:val="0"/>
            <w:tcMar>
              <w:top w:w="-1" w:type="dxa"/>
              <w:left w:w="-1" w:type="dxa"/>
              <w:bottom w:w="-1" w:type="dxa"/>
              <w:right w:w="-1" w:type="dxa"/>
            </w:tcMar>
            <w:vAlign w:val="center"/>
          </w:tcPr>
          <w:p w14:paraId="2EF84FFA">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0.999763</w:t>
            </w:r>
          </w:p>
        </w:tc>
        <w:tc>
          <w:tcPr>
            <w:tcW w:w="2337" w:type="dxa"/>
            <w:tcBorders>
              <w:top w:val="nil"/>
              <w:left w:val="nil"/>
              <w:bottom w:val="nil"/>
              <w:right w:val="nil"/>
            </w:tcBorders>
            <w:noWrap w:val="0"/>
            <w:tcMar>
              <w:top w:w="-1" w:type="dxa"/>
              <w:left w:w="-1" w:type="dxa"/>
              <w:bottom w:w="-1" w:type="dxa"/>
              <w:right w:w="-1" w:type="dxa"/>
            </w:tcMar>
            <w:vAlign w:val="center"/>
          </w:tcPr>
          <w:p w14:paraId="0B8DD8CB">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w:t>
            </w:r>
          </w:p>
        </w:tc>
      </w:tr>
      <w:tr w14:paraId="61F621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7" w:type="dxa"/>
            <w:tcBorders>
              <w:top w:val="nil"/>
              <w:left w:val="nil"/>
              <w:bottom w:val="nil"/>
              <w:right w:val="nil"/>
            </w:tcBorders>
            <w:noWrap w:val="0"/>
            <w:tcMar>
              <w:top w:w="-1" w:type="dxa"/>
              <w:left w:w="-1" w:type="dxa"/>
              <w:bottom w:w="-1" w:type="dxa"/>
              <w:right w:w="-1" w:type="dxa"/>
            </w:tcMar>
            <w:vAlign w:val="center"/>
          </w:tcPr>
          <w:p w14:paraId="089AF45F">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平峰</w:t>
            </w:r>
          </w:p>
        </w:tc>
        <w:tc>
          <w:tcPr>
            <w:tcW w:w="1137" w:type="dxa"/>
            <w:tcBorders>
              <w:top w:val="nil"/>
              <w:left w:val="nil"/>
              <w:bottom w:val="nil"/>
              <w:right w:val="nil"/>
            </w:tcBorders>
            <w:noWrap w:val="0"/>
            <w:tcMar>
              <w:top w:w="-1" w:type="dxa"/>
              <w:left w:w="-1" w:type="dxa"/>
              <w:bottom w:w="-1" w:type="dxa"/>
              <w:right w:w="-1" w:type="dxa"/>
            </w:tcMar>
            <w:vAlign w:val="center"/>
          </w:tcPr>
          <w:p w14:paraId="5C878F40">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完整组合</w:t>
            </w:r>
          </w:p>
        </w:tc>
        <w:tc>
          <w:tcPr>
            <w:tcW w:w="1669" w:type="dxa"/>
            <w:tcBorders>
              <w:top w:val="nil"/>
              <w:left w:val="nil"/>
              <w:bottom w:val="nil"/>
              <w:right w:val="nil"/>
            </w:tcBorders>
            <w:noWrap w:val="0"/>
            <w:tcMar>
              <w:top w:w="-1" w:type="dxa"/>
              <w:left w:w="-1" w:type="dxa"/>
              <w:bottom w:w="-1" w:type="dxa"/>
              <w:right w:w="-1" w:type="dxa"/>
            </w:tcMar>
            <w:vAlign w:val="center"/>
          </w:tcPr>
          <w:p w14:paraId="7515BDA9">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777.750</w:t>
            </w:r>
          </w:p>
        </w:tc>
        <w:tc>
          <w:tcPr>
            <w:tcW w:w="1253" w:type="dxa"/>
            <w:tcBorders>
              <w:top w:val="nil"/>
              <w:left w:val="nil"/>
              <w:bottom w:val="nil"/>
              <w:right w:val="nil"/>
            </w:tcBorders>
            <w:noWrap w:val="0"/>
            <w:tcMar>
              <w:top w:w="-1" w:type="dxa"/>
              <w:left w:w="-1" w:type="dxa"/>
              <w:bottom w:w="-1" w:type="dxa"/>
              <w:right w:w="-1" w:type="dxa"/>
            </w:tcMar>
            <w:vAlign w:val="center"/>
          </w:tcPr>
          <w:p w14:paraId="102C3514">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706.348</w:t>
            </w:r>
          </w:p>
        </w:tc>
        <w:tc>
          <w:tcPr>
            <w:tcW w:w="1116" w:type="dxa"/>
            <w:tcBorders>
              <w:top w:val="nil"/>
              <w:left w:val="nil"/>
              <w:bottom w:val="nil"/>
              <w:right w:val="nil"/>
            </w:tcBorders>
            <w:noWrap w:val="0"/>
            <w:tcMar>
              <w:top w:w="-1" w:type="dxa"/>
              <w:left w:w="-1" w:type="dxa"/>
              <w:bottom w:w="-1" w:type="dxa"/>
              <w:right w:w="-1" w:type="dxa"/>
            </w:tcMar>
            <w:vAlign w:val="center"/>
          </w:tcPr>
          <w:p w14:paraId="4D64EF79">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6.128</w:t>
            </w:r>
          </w:p>
        </w:tc>
        <w:tc>
          <w:tcPr>
            <w:tcW w:w="1061" w:type="dxa"/>
            <w:tcBorders>
              <w:top w:val="nil"/>
              <w:left w:val="nil"/>
              <w:bottom w:val="nil"/>
              <w:right w:val="nil"/>
            </w:tcBorders>
            <w:noWrap w:val="0"/>
            <w:tcMar>
              <w:top w:w="-1" w:type="dxa"/>
              <w:left w:w="-1" w:type="dxa"/>
              <w:bottom w:w="-1" w:type="dxa"/>
              <w:right w:w="-1" w:type="dxa"/>
            </w:tcMar>
            <w:vAlign w:val="center"/>
          </w:tcPr>
          <w:p w14:paraId="11E38E2A">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0.999763</w:t>
            </w:r>
          </w:p>
        </w:tc>
        <w:tc>
          <w:tcPr>
            <w:tcW w:w="2337" w:type="dxa"/>
            <w:tcBorders>
              <w:top w:val="nil"/>
              <w:left w:val="nil"/>
              <w:bottom w:val="nil"/>
              <w:right w:val="nil"/>
            </w:tcBorders>
            <w:noWrap w:val="0"/>
            <w:tcMar>
              <w:top w:w="-1" w:type="dxa"/>
              <w:left w:w="-1" w:type="dxa"/>
              <w:bottom w:w="-1" w:type="dxa"/>
              <w:right w:w="-1" w:type="dxa"/>
            </w:tcMar>
            <w:vAlign w:val="center"/>
          </w:tcPr>
          <w:p w14:paraId="23E4DB85">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TT 8.15%; 队列 14.09%</w:t>
            </w:r>
          </w:p>
        </w:tc>
      </w:tr>
      <w:tr w14:paraId="338C9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7" w:type="dxa"/>
            <w:tcBorders>
              <w:top w:val="nil"/>
              <w:left w:val="nil"/>
              <w:bottom w:val="nil"/>
              <w:right w:val="nil"/>
            </w:tcBorders>
            <w:noWrap w:val="0"/>
            <w:tcMar>
              <w:top w:w="-1" w:type="dxa"/>
              <w:left w:w="-1" w:type="dxa"/>
              <w:bottom w:w="-1" w:type="dxa"/>
              <w:right w:w="-1" w:type="dxa"/>
            </w:tcMar>
            <w:vAlign w:val="center"/>
          </w:tcPr>
          <w:p w14:paraId="08F59C50">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晚高峰</w:t>
            </w:r>
          </w:p>
        </w:tc>
        <w:tc>
          <w:tcPr>
            <w:tcW w:w="1137" w:type="dxa"/>
            <w:tcBorders>
              <w:top w:val="nil"/>
              <w:left w:val="nil"/>
              <w:bottom w:val="nil"/>
              <w:right w:val="nil"/>
            </w:tcBorders>
            <w:noWrap w:val="0"/>
            <w:tcMar>
              <w:top w:w="-1" w:type="dxa"/>
              <w:left w:w="-1" w:type="dxa"/>
              <w:bottom w:w="-1" w:type="dxa"/>
              <w:right w:w="-1" w:type="dxa"/>
            </w:tcMar>
            <w:vAlign w:val="center"/>
          </w:tcPr>
          <w:p w14:paraId="2ACF3823">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固定配时</w:t>
            </w:r>
          </w:p>
        </w:tc>
        <w:tc>
          <w:tcPr>
            <w:tcW w:w="1669" w:type="dxa"/>
            <w:tcBorders>
              <w:top w:val="nil"/>
              <w:left w:val="nil"/>
              <w:bottom w:val="nil"/>
              <w:right w:val="nil"/>
            </w:tcBorders>
            <w:noWrap w:val="0"/>
            <w:tcMar>
              <w:top w:w="-1" w:type="dxa"/>
              <w:left w:w="-1" w:type="dxa"/>
              <w:bottom w:w="-1" w:type="dxa"/>
              <w:right w:w="-1" w:type="dxa"/>
            </w:tcMar>
            <w:vAlign w:val="center"/>
          </w:tcPr>
          <w:p w14:paraId="21793266">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980.884</w:t>
            </w:r>
          </w:p>
        </w:tc>
        <w:tc>
          <w:tcPr>
            <w:tcW w:w="1253" w:type="dxa"/>
            <w:tcBorders>
              <w:top w:val="nil"/>
              <w:left w:val="nil"/>
              <w:bottom w:val="nil"/>
              <w:right w:val="nil"/>
            </w:tcBorders>
            <w:noWrap w:val="0"/>
            <w:tcMar>
              <w:top w:w="-1" w:type="dxa"/>
              <w:left w:w="-1" w:type="dxa"/>
              <w:bottom w:w="-1" w:type="dxa"/>
              <w:right w:w="-1" w:type="dxa"/>
            </w:tcMar>
            <w:vAlign w:val="center"/>
          </w:tcPr>
          <w:p w14:paraId="47B8464D">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909.232</w:t>
            </w:r>
          </w:p>
        </w:tc>
        <w:tc>
          <w:tcPr>
            <w:tcW w:w="1116" w:type="dxa"/>
            <w:tcBorders>
              <w:top w:val="nil"/>
              <w:left w:val="nil"/>
              <w:bottom w:val="nil"/>
              <w:right w:val="nil"/>
            </w:tcBorders>
            <w:noWrap w:val="0"/>
            <w:tcMar>
              <w:top w:w="-1" w:type="dxa"/>
              <w:left w:w="-1" w:type="dxa"/>
              <w:bottom w:w="-1" w:type="dxa"/>
              <w:right w:w="-1" w:type="dxa"/>
            </w:tcMar>
            <w:vAlign w:val="center"/>
          </w:tcPr>
          <w:p w14:paraId="2DBAC232">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12.707</w:t>
            </w:r>
          </w:p>
        </w:tc>
        <w:tc>
          <w:tcPr>
            <w:tcW w:w="1061" w:type="dxa"/>
            <w:tcBorders>
              <w:top w:val="nil"/>
              <w:left w:val="nil"/>
              <w:bottom w:val="nil"/>
              <w:right w:val="nil"/>
            </w:tcBorders>
            <w:noWrap w:val="0"/>
            <w:tcMar>
              <w:top w:w="-1" w:type="dxa"/>
              <w:left w:w="-1" w:type="dxa"/>
              <w:bottom w:w="-1" w:type="dxa"/>
              <w:right w:w="-1" w:type="dxa"/>
            </w:tcMar>
            <w:vAlign w:val="center"/>
          </w:tcPr>
          <w:p w14:paraId="2C8833AE">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0.999816</w:t>
            </w:r>
          </w:p>
        </w:tc>
        <w:tc>
          <w:tcPr>
            <w:tcW w:w="2337" w:type="dxa"/>
            <w:tcBorders>
              <w:top w:val="nil"/>
              <w:left w:val="nil"/>
              <w:bottom w:val="nil"/>
              <w:right w:val="nil"/>
            </w:tcBorders>
            <w:noWrap w:val="0"/>
            <w:tcMar>
              <w:top w:w="-1" w:type="dxa"/>
              <w:left w:w="-1" w:type="dxa"/>
              <w:bottom w:w="-1" w:type="dxa"/>
              <w:right w:w="-1" w:type="dxa"/>
            </w:tcMar>
            <w:vAlign w:val="center"/>
          </w:tcPr>
          <w:p w14:paraId="3AA4D15F">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w:t>
            </w:r>
          </w:p>
        </w:tc>
      </w:tr>
      <w:tr w14:paraId="693EB2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57" w:type="dxa"/>
            <w:tcBorders>
              <w:top w:val="nil"/>
              <w:left w:val="nil"/>
              <w:bottom w:val="single" w:color="auto" w:sz="12" w:space="0"/>
              <w:right w:val="nil"/>
            </w:tcBorders>
            <w:noWrap w:val="0"/>
            <w:tcMar>
              <w:top w:w="-1" w:type="dxa"/>
              <w:left w:w="-1" w:type="dxa"/>
              <w:bottom w:w="-1" w:type="dxa"/>
              <w:right w:w="-1" w:type="dxa"/>
            </w:tcMar>
            <w:vAlign w:val="center"/>
          </w:tcPr>
          <w:p w14:paraId="2CB44F1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晚高峰</w:t>
            </w:r>
          </w:p>
        </w:tc>
        <w:tc>
          <w:tcPr>
            <w:tcW w:w="1137" w:type="dxa"/>
            <w:tcBorders>
              <w:top w:val="nil"/>
              <w:left w:val="nil"/>
              <w:bottom w:val="single" w:color="auto" w:sz="12" w:space="0"/>
              <w:right w:val="nil"/>
            </w:tcBorders>
            <w:noWrap w:val="0"/>
            <w:tcMar>
              <w:top w:w="-1" w:type="dxa"/>
              <w:left w:w="-1" w:type="dxa"/>
              <w:bottom w:w="-1" w:type="dxa"/>
              <w:right w:w="-1" w:type="dxa"/>
            </w:tcMar>
            <w:vAlign w:val="center"/>
          </w:tcPr>
          <w:p w14:paraId="361B4B21">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完整组合</w:t>
            </w:r>
          </w:p>
        </w:tc>
        <w:tc>
          <w:tcPr>
            <w:tcW w:w="1669" w:type="dxa"/>
            <w:tcBorders>
              <w:top w:val="nil"/>
              <w:left w:val="nil"/>
              <w:bottom w:val="single" w:color="auto" w:sz="12" w:space="0"/>
              <w:right w:val="nil"/>
            </w:tcBorders>
            <w:noWrap w:val="0"/>
            <w:tcMar>
              <w:top w:w="-1" w:type="dxa"/>
              <w:left w:w="-1" w:type="dxa"/>
              <w:bottom w:w="-1" w:type="dxa"/>
              <w:right w:w="-1" w:type="dxa"/>
            </w:tcMar>
            <w:vAlign w:val="center"/>
          </w:tcPr>
          <w:p w14:paraId="05F52F5F">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912.174</w:t>
            </w:r>
          </w:p>
        </w:tc>
        <w:tc>
          <w:tcPr>
            <w:tcW w:w="1253" w:type="dxa"/>
            <w:tcBorders>
              <w:top w:val="nil"/>
              <w:left w:val="nil"/>
              <w:bottom w:val="single" w:color="auto" w:sz="12" w:space="0"/>
              <w:right w:val="nil"/>
            </w:tcBorders>
            <w:noWrap w:val="0"/>
            <w:tcMar>
              <w:top w:w="-1" w:type="dxa"/>
              <w:left w:w="-1" w:type="dxa"/>
              <w:bottom w:w="-1" w:type="dxa"/>
              <w:right w:w="-1" w:type="dxa"/>
            </w:tcMar>
            <w:vAlign w:val="center"/>
          </w:tcPr>
          <w:p w14:paraId="6C74F031">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840.523</w:t>
            </w:r>
          </w:p>
        </w:tc>
        <w:tc>
          <w:tcPr>
            <w:tcW w:w="1116" w:type="dxa"/>
            <w:tcBorders>
              <w:top w:val="nil"/>
              <w:left w:val="nil"/>
              <w:bottom w:val="single" w:color="auto" w:sz="12" w:space="0"/>
              <w:right w:val="nil"/>
            </w:tcBorders>
            <w:noWrap w:val="0"/>
            <w:tcMar>
              <w:top w:w="-1" w:type="dxa"/>
              <w:left w:w="-1" w:type="dxa"/>
              <w:bottom w:w="-1" w:type="dxa"/>
              <w:right w:w="-1" w:type="dxa"/>
            </w:tcMar>
            <w:vAlign w:val="center"/>
          </w:tcPr>
          <w:p w14:paraId="74A2D49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11.140</w:t>
            </w:r>
          </w:p>
        </w:tc>
        <w:tc>
          <w:tcPr>
            <w:tcW w:w="1061" w:type="dxa"/>
            <w:tcBorders>
              <w:top w:val="nil"/>
              <w:left w:val="nil"/>
              <w:bottom w:val="single" w:color="auto" w:sz="12" w:space="0"/>
              <w:right w:val="nil"/>
            </w:tcBorders>
            <w:noWrap w:val="0"/>
            <w:tcMar>
              <w:top w:w="-1" w:type="dxa"/>
              <w:left w:w="-1" w:type="dxa"/>
              <w:bottom w:w="-1" w:type="dxa"/>
              <w:right w:w="-1" w:type="dxa"/>
            </w:tcMar>
            <w:vAlign w:val="center"/>
          </w:tcPr>
          <w:p w14:paraId="03B1D39F">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0.999816</w:t>
            </w:r>
          </w:p>
        </w:tc>
        <w:tc>
          <w:tcPr>
            <w:tcW w:w="2337" w:type="dxa"/>
            <w:tcBorders>
              <w:top w:val="nil"/>
              <w:left w:val="nil"/>
              <w:bottom w:val="single" w:color="auto" w:sz="12" w:space="0"/>
              <w:right w:val="nil"/>
            </w:tcBorders>
            <w:noWrap w:val="0"/>
            <w:tcMar>
              <w:top w:w="-1" w:type="dxa"/>
              <w:left w:w="-1" w:type="dxa"/>
              <w:bottom w:w="-1" w:type="dxa"/>
              <w:right w:w="-1" w:type="dxa"/>
            </w:tcMar>
            <w:vAlign w:val="center"/>
          </w:tcPr>
          <w:p w14:paraId="546D2458">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TT 7.00%; 队列 12.33%</w:t>
            </w:r>
          </w:p>
        </w:tc>
      </w:tr>
    </w:tbl>
    <w:p w14:paraId="60595E55">
      <w:pPr>
        <w:spacing w:after="120" w:line="360" w:lineRule="auto"/>
        <w:ind w:firstLine="480"/>
      </w:pPr>
    </w:p>
    <w:p w14:paraId="0A2B4F43">
      <w:pPr>
        <w:spacing w:after="120" w:line="360" w:lineRule="auto"/>
        <w:ind w:firstLine="480"/>
      </w:pPr>
      <w:r>
        <w:rPr>
          <w:rFonts w:ascii="Times New Roman" w:hAnsi="Times New Roman" w:eastAsia="宋体" w:cs="Times New Roman"/>
          <w:b w:val="0"/>
          <w:sz w:val="24"/>
        </w:rPr>
        <w:t>完整组合在三个时段均降低旅行时间、延迟和平均队列代理量，吞吐率与固定配时保持一致。平峰改善最大；SACF+SPCN 无 TRANSYT 在早高峰为 1,211.461 s，高于固定配时，因此不宣称其单独有效。</w:t>
      </w:r>
    </w:p>
    <w:p w14:paraId="09F08521">
      <w:pPr>
        <w:pStyle w:val="15"/>
        <w:spacing w:after="120" w:line="360" w:lineRule="auto"/>
        <w:jc w:val="center"/>
      </w:pPr>
      <w:r>
        <w:rPr>
          <w:rFonts w:ascii="Times New Roman" w:hAnsi="Times New Roman" w:eastAsia="宋体" w:cs="Times New Roman"/>
          <w:sz w:val="24"/>
        </w:rPr>
        <w:t>表6-5 平峰压力扰动结果</w:t>
      </w:r>
    </w:p>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80"/>
        <w:gridCol w:w="1348"/>
        <w:gridCol w:w="1829"/>
        <w:gridCol w:w="1342"/>
        <w:gridCol w:w="1169"/>
        <w:gridCol w:w="1281"/>
        <w:gridCol w:w="1281"/>
      </w:tblGrid>
      <w:tr w14:paraId="2EB793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81"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B72F5FE">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需求增幅</w:t>
            </w:r>
          </w:p>
        </w:tc>
        <w:tc>
          <w:tcPr>
            <w:tcW w:w="1348"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95CEB7A">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总需求/辆</w:t>
            </w:r>
          </w:p>
        </w:tc>
        <w:tc>
          <w:tcPr>
            <w:tcW w:w="1829"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CA0CC3A">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固定配时TT/s</w:t>
            </w:r>
          </w:p>
        </w:tc>
        <w:tc>
          <w:tcPr>
            <w:tcW w:w="134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1C9E471">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组合TT/s</w:t>
            </w:r>
          </w:p>
        </w:tc>
        <w:tc>
          <w:tcPr>
            <w:tcW w:w="1169"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9273CCF">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TT降幅</w:t>
            </w:r>
          </w:p>
        </w:tc>
        <w:tc>
          <w:tcPr>
            <w:tcW w:w="1281"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177E4A0E">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固定队列</w:t>
            </w:r>
          </w:p>
        </w:tc>
        <w:tc>
          <w:tcPr>
            <w:tcW w:w="1281"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8FEDF08">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组合队列</w:t>
            </w:r>
          </w:p>
        </w:tc>
      </w:tr>
      <w:tr w14:paraId="216529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4C9998E">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10%</w:t>
            </w:r>
          </w:p>
        </w:tc>
        <w:tc>
          <w:tcPr>
            <w:tcW w:w="1348" w:type="dxa"/>
            <w:tcBorders>
              <w:top w:val="single" w:color="auto" w:sz="4" w:space="0"/>
              <w:left w:val="nil"/>
              <w:bottom w:val="nil"/>
              <w:right w:val="nil"/>
            </w:tcBorders>
            <w:noWrap w:val="0"/>
            <w:tcMar>
              <w:top w:w="-1" w:type="dxa"/>
              <w:left w:w="-1" w:type="dxa"/>
              <w:bottom w:w="-1" w:type="dxa"/>
              <w:right w:w="-1" w:type="dxa"/>
            </w:tcMar>
            <w:vAlign w:val="center"/>
          </w:tcPr>
          <w:p w14:paraId="682CF075">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60,350</w:t>
            </w:r>
          </w:p>
        </w:tc>
        <w:tc>
          <w:tcPr>
            <w:tcW w:w="1829" w:type="dxa"/>
            <w:tcBorders>
              <w:top w:val="single" w:color="auto" w:sz="4" w:space="0"/>
              <w:left w:val="nil"/>
              <w:bottom w:val="nil"/>
              <w:right w:val="nil"/>
            </w:tcBorders>
            <w:noWrap w:val="0"/>
            <w:tcMar>
              <w:top w:w="-1" w:type="dxa"/>
              <w:left w:w="-1" w:type="dxa"/>
              <w:bottom w:w="-1" w:type="dxa"/>
              <w:right w:w="-1" w:type="dxa"/>
            </w:tcMar>
            <w:vAlign w:val="center"/>
          </w:tcPr>
          <w:p w14:paraId="0F7F07A1">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826.424</w:t>
            </w:r>
          </w:p>
        </w:tc>
        <w:tc>
          <w:tcPr>
            <w:tcW w:w="1342" w:type="dxa"/>
            <w:tcBorders>
              <w:top w:val="single" w:color="auto" w:sz="4" w:space="0"/>
              <w:left w:val="nil"/>
              <w:bottom w:val="nil"/>
              <w:right w:val="nil"/>
            </w:tcBorders>
            <w:noWrap w:val="0"/>
            <w:tcMar>
              <w:top w:w="-1" w:type="dxa"/>
              <w:left w:w="-1" w:type="dxa"/>
              <w:bottom w:w="-1" w:type="dxa"/>
              <w:right w:w="-1" w:type="dxa"/>
            </w:tcMar>
            <w:vAlign w:val="center"/>
          </w:tcPr>
          <w:p w14:paraId="2425AC86">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759.763</w:t>
            </w:r>
          </w:p>
        </w:tc>
        <w:tc>
          <w:tcPr>
            <w:tcW w:w="1169" w:type="dxa"/>
            <w:tcBorders>
              <w:top w:val="single" w:color="auto" w:sz="4" w:space="0"/>
              <w:left w:val="nil"/>
              <w:bottom w:val="nil"/>
              <w:right w:val="nil"/>
            </w:tcBorders>
            <w:noWrap w:val="0"/>
            <w:tcMar>
              <w:top w:w="-1" w:type="dxa"/>
              <w:left w:w="-1" w:type="dxa"/>
              <w:bottom w:w="-1" w:type="dxa"/>
              <w:right w:w="-1" w:type="dxa"/>
            </w:tcMar>
            <w:vAlign w:val="center"/>
          </w:tcPr>
          <w:p w14:paraId="110B89A9">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8.07%</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5076F30A">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7.320</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056865D8">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6.299</w:t>
            </w:r>
          </w:p>
        </w:tc>
      </w:tr>
      <w:tr w14:paraId="0D1FDA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1" w:type="dxa"/>
            <w:tcBorders>
              <w:top w:val="nil"/>
              <w:left w:val="nil"/>
              <w:bottom w:val="nil"/>
              <w:right w:val="nil"/>
            </w:tcBorders>
            <w:noWrap w:val="0"/>
            <w:tcMar>
              <w:top w:w="-1" w:type="dxa"/>
              <w:left w:w="-1" w:type="dxa"/>
              <w:bottom w:w="-1" w:type="dxa"/>
              <w:right w:w="-1" w:type="dxa"/>
            </w:tcMar>
            <w:vAlign w:val="center"/>
          </w:tcPr>
          <w:p w14:paraId="515BBE20">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20%</w:t>
            </w:r>
          </w:p>
        </w:tc>
        <w:tc>
          <w:tcPr>
            <w:tcW w:w="1348" w:type="dxa"/>
            <w:tcBorders>
              <w:top w:val="nil"/>
              <w:left w:val="nil"/>
              <w:bottom w:val="nil"/>
              <w:right w:val="nil"/>
            </w:tcBorders>
            <w:noWrap w:val="0"/>
            <w:tcMar>
              <w:top w:w="-1" w:type="dxa"/>
              <w:left w:w="-1" w:type="dxa"/>
              <w:bottom w:w="-1" w:type="dxa"/>
              <w:right w:w="-1" w:type="dxa"/>
            </w:tcMar>
            <w:vAlign w:val="center"/>
          </w:tcPr>
          <w:p w14:paraId="624DBB73">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65,837</w:t>
            </w:r>
          </w:p>
        </w:tc>
        <w:tc>
          <w:tcPr>
            <w:tcW w:w="1829" w:type="dxa"/>
            <w:tcBorders>
              <w:top w:val="nil"/>
              <w:left w:val="nil"/>
              <w:bottom w:val="nil"/>
              <w:right w:val="nil"/>
            </w:tcBorders>
            <w:noWrap w:val="0"/>
            <w:tcMar>
              <w:top w:w="-1" w:type="dxa"/>
              <w:left w:w="-1" w:type="dxa"/>
              <w:bottom w:w="-1" w:type="dxa"/>
              <w:right w:w="-1" w:type="dxa"/>
            </w:tcMar>
            <w:vAlign w:val="center"/>
          </w:tcPr>
          <w:p w14:paraId="28D8332D">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857.605</w:t>
            </w:r>
          </w:p>
        </w:tc>
        <w:tc>
          <w:tcPr>
            <w:tcW w:w="1342" w:type="dxa"/>
            <w:tcBorders>
              <w:top w:val="nil"/>
              <w:left w:val="nil"/>
              <w:bottom w:val="nil"/>
              <w:right w:val="nil"/>
            </w:tcBorders>
            <w:noWrap w:val="0"/>
            <w:tcMar>
              <w:top w:w="-1" w:type="dxa"/>
              <w:left w:w="-1" w:type="dxa"/>
              <w:bottom w:w="-1" w:type="dxa"/>
              <w:right w:w="-1" w:type="dxa"/>
            </w:tcMar>
            <w:vAlign w:val="center"/>
          </w:tcPr>
          <w:p w14:paraId="1AE38F57">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788.447</w:t>
            </w:r>
          </w:p>
        </w:tc>
        <w:tc>
          <w:tcPr>
            <w:tcW w:w="1169" w:type="dxa"/>
            <w:tcBorders>
              <w:top w:val="nil"/>
              <w:left w:val="nil"/>
              <w:bottom w:val="nil"/>
              <w:right w:val="nil"/>
            </w:tcBorders>
            <w:noWrap w:val="0"/>
            <w:tcMar>
              <w:top w:w="-1" w:type="dxa"/>
              <w:left w:w="-1" w:type="dxa"/>
              <w:bottom w:w="-1" w:type="dxa"/>
              <w:right w:w="-1" w:type="dxa"/>
            </w:tcMar>
            <w:vAlign w:val="center"/>
          </w:tcPr>
          <w:p w14:paraId="30578E91">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8.06%</w:t>
            </w:r>
          </w:p>
        </w:tc>
        <w:tc>
          <w:tcPr>
            <w:tcW w:w="1281" w:type="dxa"/>
            <w:tcBorders>
              <w:top w:val="nil"/>
              <w:left w:val="nil"/>
              <w:bottom w:val="nil"/>
              <w:right w:val="nil"/>
            </w:tcBorders>
            <w:noWrap w:val="0"/>
            <w:tcMar>
              <w:top w:w="-1" w:type="dxa"/>
              <w:left w:w="-1" w:type="dxa"/>
              <w:bottom w:w="-1" w:type="dxa"/>
              <w:right w:w="-1" w:type="dxa"/>
            </w:tcMar>
            <w:vAlign w:val="center"/>
          </w:tcPr>
          <w:p w14:paraId="21C42561">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9.781</w:t>
            </w:r>
          </w:p>
        </w:tc>
        <w:tc>
          <w:tcPr>
            <w:tcW w:w="1281" w:type="dxa"/>
            <w:tcBorders>
              <w:top w:val="nil"/>
              <w:left w:val="nil"/>
              <w:bottom w:val="nil"/>
              <w:right w:val="nil"/>
            </w:tcBorders>
            <w:noWrap w:val="0"/>
            <w:tcMar>
              <w:top w:w="-1" w:type="dxa"/>
              <w:left w:w="-1" w:type="dxa"/>
              <w:bottom w:w="-1" w:type="dxa"/>
              <w:right w:w="-1" w:type="dxa"/>
            </w:tcMar>
            <w:vAlign w:val="center"/>
          </w:tcPr>
          <w:p w14:paraId="05CB59A6">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8.429</w:t>
            </w:r>
          </w:p>
        </w:tc>
      </w:tr>
      <w:tr w14:paraId="7E9F81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74C3C875">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30%</w:t>
            </w:r>
          </w:p>
        </w:tc>
        <w:tc>
          <w:tcPr>
            <w:tcW w:w="1348" w:type="dxa"/>
            <w:tcBorders>
              <w:top w:val="nil"/>
              <w:left w:val="nil"/>
              <w:bottom w:val="single" w:color="auto" w:sz="12" w:space="0"/>
              <w:right w:val="nil"/>
            </w:tcBorders>
            <w:noWrap w:val="0"/>
            <w:tcMar>
              <w:top w:w="-1" w:type="dxa"/>
              <w:left w:w="-1" w:type="dxa"/>
              <w:bottom w:w="-1" w:type="dxa"/>
              <w:right w:w="-1" w:type="dxa"/>
            </w:tcMar>
            <w:vAlign w:val="center"/>
          </w:tcPr>
          <w:p w14:paraId="092396AE">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71,323</w:t>
            </w:r>
          </w:p>
        </w:tc>
        <w:tc>
          <w:tcPr>
            <w:tcW w:w="1829" w:type="dxa"/>
            <w:tcBorders>
              <w:top w:val="nil"/>
              <w:left w:val="nil"/>
              <w:bottom w:val="single" w:color="auto" w:sz="12" w:space="0"/>
              <w:right w:val="nil"/>
            </w:tcBorders>
            <w:noWrap w:val="0"/>
            <w:tcMar>
              <w:top w:w="-1" w:type="dxa"/>
              <w:left w:w="-1" w:type="dxa"/>
              <w:bottom w:w="-1" w:type="dxa"/>
              <w:right w:w="-1" w:type="dxa"/>
            </w:tcMar>
            <w:vAlign w:val="center"/>
          </w:tcPr>
          <w:p w14:paraId="40F8080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870.000</w:t>
            </w:r>
          </w:p>
        </w:tc>
        <w:tc>
          <w:tcPr>
            <w:tcW w:w="1342" w:type="dxa"/>
            <w:tcBorders>
              <w:top w:val="nil"/>
              <w:left w:val="nil"/>
              <w:bottom w:val="single" w:color="auto" w:sz="12" w:space="0"/>
              <w:right w:val="nil"/>
            </w:tcBorders>
            <w:noWrap w:val="0"/>
            <w:tcMar>
              <w:top w:w="-1" w:type="dxa"/>
              <w:left w:w="-1" w:type="dxa"/>
              <w:bottom w:w="-1" w:type="dxa"/>
              <w:right w:w="-1" w:type="dxa"/>
            </w:tcMar>
            <w:vAlign w:val="center"/>
          </w:tcPr>
          <w:p w14:paraId="69E04468">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804.657</w:t>
            </w:r>
          </w:p>
        </w:tc>
        <w:tc>
          <w:tcPr>
            <w:tcW w:w="1169" w:type="dxa"/>
            <w:tcBorders>
              <w:top w:val="nil"/>
              <w:left w:val="nil"/>
              <w:bottom w:val="single" w:color="auto" w:sz="12" w:space="0"/>
              <w:right w:val="nil"/>
            </w:tcBorders>
            <w:noWrap w:val="0"/>
            <w:tcMar>
              <w:top w:w="-1" w:type="dxa"/>
              <w:left w:w="-1" w:type="dxa"/>
              <w:bottom w:w="-1" w:type="dxa"/>
              <w:right w:w="-1" w:type="dxa"/>
            </w:tcMar>
            <w:vAlign w:val="center"/>
          </w:tcPr>
          <w:p w14:paraId="4E0548A1">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7.51%</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65CA28B8">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9.087</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0D419ED0">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7.888</w:t>
            </w:r>
          </w:p>
        </w:tc>
      </w:tr>
    </w:tbl>
    <w:p w14:paraId="2656DD6F">
      <w:pPr>
        <w:spacing w:after="120" w:line="360" w:lineRule="auto"/>
        <w:ind w:firstLine="480"/>
      </w:pPr>
    </w:p>
    <w:p w14:paraId="4068F80C">
      <w:pPr>
        <w:jc w:val="center"/>
      </w:pPr>
      <w:r>
        <w:rPr>
          <w:rFonts w:ascii="Times New Roman" w:hAnsi="Times New Roman" w:eastAsia="宋体" w:cs="Times New Roman"/>
          <w:sz w:val="24"/>
        </w:rPr>
        <w:drawing>
          <wp:inline distT="0" distB="0" distL="114300" distR="114300">
            <wp:extent cx="4198620" cy="2045970"/>
            <wp:effectExtent l="0" t="0" r="190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4198620" cy="2045970"/>
                    </a:xfrm>
                    <a:prstGeom prst="rect">
                      <a:avLst/>
                    </a:prstGeom>
                  </pic:spPr>
                </pic:pic>
              </a:graphicData>
            </a:graphic>
          </wp:inline>
        </w:drawing>
      </w:r>
    </w:p>
    <w:p w14:paraId="6C9D4240">
      <w:pPr>
        <w:pStyle w:val="15"/>
        <w:spacing w:after="120" w:line="360" w:lineRule="auto"/>
        <w:jc w:val="center"/>
      </w:pPr>
      <w:r>
        <w:rPr>
          <w:rFonts w:ascii="Times New Roman" w:hAnsi="Times New Roman" w:eastAsia="宋体" w:cs="Times New Roman"/>
          <w:b w:val="0"/>
          <w:sz w:val="24"/>
        </w:rPr>
        <w:t>图6-1 三时段各方法平均旅行时间对比</w:t>
      </w:r>
    </w:p>
    <w:p w14:paraId="35A50C87">
      <w:pPr>
        <w:spacing w:after="120" w:line="360" w:lineRule="auto"/>
        <w:ind w:firstLine="480"/>
      </w:pPr>
      <w:r>
        <w:rPr>
          <w:rFonts w:ascii="Times New Roman" w:hAnsi="Times New Roman" w:eastAsia="宋体" w:cs="Times New Roman"/>
          <w:sz w:val="24"/>
        </w:rPr>
        <w:t>图中完整组合在三个时段均低于固定配时，且平峰差距更明显；这与平峰阶段仍存在较大协调空间的交通机理一致。</w:t>
      </w:r>
    </w:p>
    <w:p w14:paraId="7A593CE4">
      <w:pPr>
        <w:jc w:val="center"/>
      </w:pPr>
      <w:r>
        <w:rPr>
          <w:rFonts w:ascii="Times New Roman" w:hAnsi="Times New Roman" w:eastAsia="宋体" w:cs="Times New Roman"/>
          <w:sz w:val="24"/>
        </w:rPr>
        <w:drawing>
          <wp:inline distT="0" distB="0" distL="114300" distR="114300">
            <wp:extent cx="2482215" cy="172021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2482215" cy="1720215"/>
                    </a:xfrm>
                    <a:prstGeom prst="rect">
                      <a:avLst/>
                    </a:prstGeom>
                  </pic:spPr>
                </pic:pic>
              </a:graphicData>
            </a:graphic>
          </wp:inline>
        </w:drawing>
      </w:r>
    </w:p>
    <w:p w14:paraId="5D6DC84A">
      <w:pPr>
        <w:pStyle w:val="15"/>
        <w:spacing w:after="120" w:line="360" w:lineRule="auto"/>
        <w:jc w:val="center"/>
      </w:pPr>
      <w:r>
        <w:rPr>
          <w:rFonts w:ascii="Times New Roman" w:hAnsi="Times New Roman" w:eastAsia="宋体" w:cs="Times New Roman"/>
          <w:b w:val="0"/>
          <w:sz w:val="24"/>
        </w:rPr>
        <w:t>图6-2 TRANSYT/SPCN 消融改善率热力图</w:t>
      </w:r>
    </w:p>
    <w:p w14:paraId="415E9393">
      <w:pPr>
        <w:spacing w:after="120" w:line="360" w:lineRule="auto"/>
        <w:ind w:firstLine="480"/>
      </w:pPr>
      <w:r>
        <w:rPr>
          <w:rFonts w:ascii="Times New Roman" w:hAnsi="Times New Roman" w:eastAsia="宋体" w:cs="Times New Roman"/>
          <w:sz w:val="24"/>
        </w:rPr>
        <w:t>热力图用于观察组件增益是否稳定，而非只看单一最优点。完整组合在三时段均保持正向改善，支持“规则先验、相位竞争和走廊协调互补”的设计判断。</w:t>
      </w:r>
    </w:p>
    <w:p w14:paraId="4DD1AD10">
      <w:pPr>
        <w:jc w:val="center"/>
      </w:pPr>
      <w:r>
        <w:rPr>
          <w:rFonts w:ascii="Times New Roman" w:hAnsi="Times New Roman" w:eastAsia="宋体" w:cs="Times New Roman"/>
          <w:sz w:val="24"/>
        </w:rPr>
        <w:drawing>
          <wp:inline distT="0" distB="0" distL="114300" distR="114300">
            <wp:extent cx="3236595" cy="1877060"/>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3236595" cy="1877060"/>
                    </a:xfrm>
                    <a:prstGeom prst="rect">
                      <a:avLst/>
                    </a:prstGeom>
                  </pic:spPr>
                </pic:pic>
              </a:graphicData>
            </a:graphic>
          </wp:inline>
        </w:drawing>
      </w:r>
    </w:p>
    <w:p w14:paraId="1255344F">
      <w:pPr>
        <w:pStyle w:val="15"/>
        <w:spacing w:after="120" w:line="360" w:lineRule="auto"/>
        <w:jc w:val="center"/>
      </w:pPr>
      <w:r>
        <w:rPr>
          <w:rFonts w:ascii="Times New Roman" w:hAnsi="Times New Roman" w:eastAsia="宋体" w:cs="Times New Roman"/>
          <w:b w:val="0"/>
          <w:sz w:val="24"/>
        </w:rPr>
        <w:t>图6-3 平峰压力扰动下平均旅行时间</w:t>
      </w:r>
    </w:p>
    <w:p w14:paraId="6B78F688">
      <w:pPr>
        <w:jc w:val="center"/>
      </w:pPr>
      <w:r>
        <w:rPr>
          <w:rFonts w:ascii="Times New Roman" w:hAnsi="Times New Roman" w:eastAsia="宋体" w:cs="Times New Roman"/>
          <w:sz w:val="24"/>
        </w:rPr>
        <w:drawing>
          <wp:inline distT="0" distB="0" distL="114300" distR="114300">
            <wp:extent cx="3388995" cy="2218055"/>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3388995" cy="2218055"/>
                    </a:xfrm>
                    <a:prstGeom prst="rect">
                      <a:avLst/>
                    </a:prstGeom>
                  </pic:spPr>
                </pic:pic>
              </a:graphicData>
            </a:graphic>
          </wp:inline>
        </w:drawing>
      </w:r>
    </w:p>
    <w:p w14:paraId="5B17F6A4">
      <w:pPr>
        <w:pStyle w:val="15"/>
        <w:spacing w:after="120" w:line="360" w:lineRule="auto"/>
        <w:jc w:val="center"/>
      </w:pPr>
      <w:r>
        <w:rPr>
          <w:rFonts w:ascii="Times New Roman" w:hAnsi="Times New Roman" w:eastAsia="宋体" w:cs="Times New Roman"/>
          <w:b w:val="0"/>
          <w:sz w:val="24"/>
        </w:rPr>
        <w:t>图6-4 独立路口固定配时与自适应策略性能对比</w:t>
      </w:r>
    </w:p>
    <w:p w14:paraId="1C04D8E7">
      <w:pPr>
        <w:jc w:val="center"/>
      </w:pPr>
      <w:r>
        <w:rPr>
          <w:rFonts w:ascii="Times New Roman" w:hAnsi="Times New Roman" w:eastAsia="宋体" w:cs="Times New Roman"/>
          <w:sz w:val="24"/>
        </w:rPr>
        <w:drawing>
          <wp:inline distT="0" distB="0" distL="114300" distR="114300">
            <wp:extent cx="4401820" cy="1760855"/>
            <wp:effectExtent l="0" t="0" r="825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4401820" cy="1760855"/>
                    </a:xfrm>
                    <a:prstGeom prst="rect">
                      <a:avLst/>
                    </a:prstGeom>
                  </pic:spPr>
                </pic:pic>
              </a:graphicData>
            </a:graphic>
          </wp:inline>
        </w:drawing>
      </w:r>
    </w:p>
    <w:p w14:paraId="3949AB14">
      <w:pPr>
        <w:pStyle w:val="15"/>
        <w:spacing w:after="120" w:line="360" w:lineRule="auto"/>
        <w:jc w:val="center"/>
      </w:pPr>
      <w:r>
        <w:rPr>
          <w:rFonts w:ascii="Times New Roman" w:hAnsi="Times New Roman" w:eastAsia="宋体" w:cs="Times New Roman"/>
          <w:b w:val="0"/>
          <w:sz w:val="24"/>
        </w:rPr>
        <w:t>图6-5 SPCN 适配器训练损失曲线</w:t>
      </w:r>
    </w:p>
    <w:p w14:paraId="7C76651E">
      <w:pPr>
        <w:pStyle w:val="15"/>
        <w:spacing w:after="120" w:line="360" w:lineRule="auto"/>
        <w:jc w:val="center"/>
        <w:rPr>
          <w:rFonts w:ascii="Times New Roman" w:hAnsi="Times New Roman" w:eastAsia="宋体"/>
          <w:b w:val="0"/>
          <w:sz w:val="24"/>
        </w:rPr>
      </w:pPr>
      <w:r>
        <w:rPr>
          <w:rFonts w:ascii="Times New Roman" w:hAnsi="Times New Roman" w:eastAsia="宋体" w:cs="Times New Roman"/>
          <w:b w:val="0"/>
          <w:sz w:val="24"/>
        </w:rPr>
        <w:t>表6-6 单路口 SUMO 验证结果</w:t>
      </w:r>
    </w:p>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44"/>
        <w:gridCol w:w="1602"/>
        <w:gridCol w:w="1348"/>
        <w:gridCol w:w="2038"/>
        <w:gridCol w:w="1520"/>
        <w:gridCol w:w="1678"/>
      </w:tblGrid>
      <w:tr w14:paraId="25DCD2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344"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9E0AEDF">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场景</w:t>
            </w:r>
          </w:p>
        </w:tc>
        <w:tc>
          <w:tcPr>
            <w:tcW w:w="160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0806058E">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策略</w:t>
            </w:r>
          </w:p>
        </w:tc>
        <w:tc>
          <w:tcPr>
            <w:tcW w:w="1348"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63AA298">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完成车辆</w:t>
            </w:r>
          </w:p>
        </w:tc>
        <w:tc>
          <w:tcPr>
            <w:tcW w:w="2038"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060CE5A">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平均旅行时间/s</w:t>
            </w:r>
          </w:p>
        </w:tc>
        <w:tc>
          <w:tcPr>
            <w:tcW w:w="1520"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26D1F383">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平均等待/s</w:t>
            </w:r>
          </w:p>
        </w:tc>
        <w:tc>
          <w:tcPr>
            <w:tcW w:w="1678"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91B0BAD">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平均队列/辆</w:t>
            </w:r>
          </w:p>
        </w:tc>
      </w:tr>
      <w:tr w14:paraId="222C36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44" w:type="dxa"/>
            <w:tcBorders>
              <w:top w:val="single" w:color="auto" w:sz="4" w:space="0"/>
              <w:left w:val="nil"/>
              <w:bottom w:val="nil"/>
              <w:right w:val="nil"/>
            </w:tcBorders>
            <w:noWrap w:val="0"/>
            <w:tcMar>
              <w:top w:w="-1" w:type="dxa"/>
              <w:left w:w="-1" w:type="dxa"/>
              <w:bottom w:w="-1" w:type="dxa"/>
              <w:right w:w="-1" w:type="dxa"/>
            </w:tcMar>
            <w:vAlign w:val="center"/>
          </w:tcPr>
          <w:p w14:paraId="6C6C99F3">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十字路口</w:t>
            </w:r>
          </w:p>
        </w:tc>
        <w:tc>
          <w:tcPr>
            <w:tcW w:w="1602" w:type="dxa"/>
            <w:tcBorders>
              <w:top w:val="single" w:color="auto" w:sz="4" w:space="0"/>
              <w:left w:val="nil"/>
              <w:bottom w:val="nil"/>
              <w:right w:val="nil"/>
            </w:tcBorders>
            <w:noWrap w:val="0"/>
            <w:tcMar>
              <w:top w:w="-1" w:type="dxa"/>
              <w:left w:w="-1" w:type="dxa"/>
              <w:bottom w:w="-1" w:type="dxa"/>
              <w:right w:w="-1" w:type="dxa"/>
            </w:tcMar>
            <w:vAlign w:val="center"/>
          </w:tcPr>
          <w:p w14:paraId="69BF8264">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固定配时</w:t>
            </w:r>
          </w:p>
        </w:tc>
        <w:tc>
          <w:tcPr>
            <w:tcW w:w="1348" w:type="dxa"/>
            <w:tcBorders>
              <w:top w:val="single" w:color="auto" w:sz="4" w:space="0"/>
              <w:left w:val="nil"/>
              <w:bottom w:val="nil"/>
              <w:right w:val="nil"/>
            </w:tcBorders>
            <w:noWrap w:val="0"/>
            <w:tcMar>
              <w:top w:w="-1" w:type="dxa"/>
              <w:left w:w="-1" w:type="dxa"/>
              <w:bottom w:w="-1" w:type="dxa"/>
              <w:right w:w="-1" w:type="dxa"/>
            </w:tcMar>
            <w:vAlign w:val="center"/>
          </w:tcPr>
          <w:p w14:paraId="033CB8BB">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3953</w:t>
            </w:r>
          </w:p>
        </w:tc>
        <w:tc>
          <w:tcPr>
            <w:tcW w:w="2038" w:type="dxa"/>
            <w:tcBorders>
              <w:top w:val="single" w:color="auto" w:sz="4" w:space="0"/>
              <w:left w:val="nil"/>
              <w:bottom w:val="nil"/>
              <w:right w:val="nil"/>
            </w:tcBorders>
            <w:noWrap w:val="0"/>
            <w:tcMar>
              <w:top w:w="-1" w:type="dxa"/>
              <w:left w:w="-1" w:type="dxa"/>
              <w:bottom w:w="-1" w:type="dxa"/>
              <w:right w:w="-1" w:type="dxa"/>
            </w:tcMar>
            <w:vAlign w:val="center"/>
          </w:tcPr>
          <w:p w14:paraId="684F9EE7">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92.62</w:t>
            </w:r>
          </w:p>
        </w:tc>
        <w:tc>
          <w:tcPr>
            <w:tcW w:w="1520" w:type="dxa"/>
            <w:tcBorders>
              <w:top w:val="single" w:color="auto" w:sz="4" w:space="0"/>
              <w:left w:val="nil"/>
              <w:bottom w:val="nil"/>
              <w:right w:val="nil"/>
            </w:tcBorders>
            <w:noWrap w:val="0"/>
            <w:tcMar>
              <w:top w:w="-1" w:type="dxa"/>
              <w:left w:w="-1" w:type="dxa"/>
              <w:bottom w:w="-1" w:type="dxa"/>
              <w:right w:w="-1" w:type="dxa"/>
            </w:tcMar>
            <w:vAlign w:val="center"/>
          </w:tcPr>
          <w:p w14:paraId="566390B9">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49.01</w:t>
            </w:r>
          </w:p>
        </w:tc>
        <w:tc>
          <w:tcPr>
            <w:tcW w:w="1678" w:type="dxa"/>
            <w:tcBorders>
              <w:top w:val="single" w:color="auto" w:sz="4" w:space="0"/>
              <w:left w:val="nil"/>
              <w:bottom w:val="nil"/>
              <w:right w:val="nil"/>
            </w:tcBorders>
            <w:noWrap w:val="0"/>
            <w:tcMar>
              <w:top w:w="-1" w:type="dxa"/>
              <w:left w:w="-1" w:type="dxa"/>
              <w:bottom w:w="-1" w:type="dxa"/>
              <w:right w:w="-1" w:type="dxa"/>
            </w:tcMar>
            <w:vAlign w:val="center"/>
          </w:tcPr>
          <w:p w14:paraId="7A48D2A3">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27.15</w:t>
            </w:r>
          </w:p>
        </w:tc>
      </w:tr>
      <w:tr w14:paraId="1722D7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44" w:type="dxa"/>
            <w:tcBorders>
              <w:top w:val="nil"/>
              <w:left w:val="nil"/>
              <w:bottom w:val="single" w:color="auto" w:sz="12" w:space="0"/>
              <w:right w:val="nil"/>
            </w:tcBorders>
            <w:noWrap w:val="0"/>
            <w:tcMar>
              <w:top w:w="-1" w:type="dxa"/>
              <w:left w:w="-1" w:type="dxa"/>
              <w:bottom w:w="-1" w:type="dxa"/>
              <w:right w:w="-1" w:type="dxa"/>
            </w:tcMar>
            <w:vAlign w:val="center"/>
          </w:tcPr>
          <w:p w14:paraId="0EB10ACF">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十字路口</w:t>
            </w:r>
          </w:p>
        </w:tc>
        <w:tc>
          <w:tcPr>
            <w:tcW w:w="1602" w:type="dxa"/>
            <w:tcBorders>
              <w:top w:val="nil"/>
              <w:left w:val="nil"/>
              <w:bottom w:val="single" w:color="auto" w:sz="12" w:space="0"/>
              <w:right w:val="nil"/>
            </w:tcBorders>
            <w:noWrap w:val="0"/>
            <w:tcMar>
              <w:top w:w="-1" w:type="dxa"/>
              <w:left w:w="-1" w:type="dxa"/>
              <w:bottom w:w="-1" w:type="dxa"/>
              <w:right w:w="-1" w:type="dxa"/>
            </w:tcMar>
            <w:vAlign w:val="center"/>
          </w:tcPr>
          <w:p w14:paraId="7666BF1C">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自适应控制</w:t>
            </w:r>
          </w:p>
        </w:tc>
        <w:tc>
          <w:tcPr>
            <w:tcW w:w="1348" w:type="dxa"/>
            <w:tcBorders>
              <w:top w:val="nil"/>
              <w:left w:val="nil"/>
              <w:bottom w:val="single" w:color="auto" w:sz="12" w:space="0"/>
              <w:right w:val="nil"/>
            </w:tcBorders>
            <w:noWrap w:val="0"/>
            <w:tcMar>
              <w:top w:w="-1" w:type="dxa"/>
              <w:left w:w="-1" w:type="dxa"/>
              <w:bottom w:w="-1" w:type="dxa"/>
              <w:right w:w="-1" w:type="dxa"/>
            </w:tcMar>
            <w:vAlign w:val="center"/>
          </w:tcPr>
          <w:p w14:paraId="33E5A6FD">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3960</w:t>
            </w:r>
          </w:p>
        </w:tc>
        <w:tc>
          <w:tcPr>
            <w:tcW w:w="2038" w:type="dxa"/>
            <w:tcBorders>
              <w:top w:val="nil"/>
              <w:left w:val="nil"/>
              <w:bottom w:val="single" w:color="auto" w:sz="12" w:space="0"/>
              <w:right w:val="nil"/>
            </w:tcBorders>
            <w:noWrap w:val="0"/>
            <w:tcMar>
              <w:top w:w="-1" w:type="dxa"/>
              <w:left w:w="-1" w:type="dxa"/>
              <w:bottom w:w="-1" w:type="dxa"/>
              <w:right w:w="-1" w:type="dxa"/>
            </w:tcMar>
            <w:vAlign w:val="center"/>
          </w:tcPr>
          <w:p w14:paraId="38DE39B6">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81.62</w:t>
            </w:r>
          </w:p>
        </w:tc>
        <w:tc>
          <w:tcPr>
            <w:tcW w:w="1520" w:type="dxa"/>
            <w:tcBorders>
              <w:top w:val="nil"/>
              <w:left w:val="nil"/>
              <w:bottom w:val="single" w:color="auto" w:sz="12" w:space="0"/>
              <w:right w:val="nil"/>
            </w:tcBorders>
            <w:noWrap w:val="0"/>
            <w:tcMar>
              <w:top w:w="-1" w:type="dxa"/>
              <w:left w:w="-1" w:type="dxa"/>
              <w:bottom w:w="-1" w:type="dxa"/>
              <w:right w:w="-1" w:type="dxa"/>
            </w:tcMar>
            <w:vAlign w:val="center"/>
          </w:tcPr>
          <w:p w14:paraId="1254FC02">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38.69</w:t>
            </w:r>
          </w:p>
        </w:tc>
        <w:tc>
          <w:tcPr>
            <w:tcW w:w="1678" w:type="dxa"/>
            <w:tcBorders>
              <w:top w:val="nil"/>
              <w:left w:val="nil"/>
              <w:bottom w:val="single" w:color="auto" w:sz="12" w:space="0"/>
              <w:right w:val="nil"/>
            </w:tcBorders>
            <w:noWrap w:val="0"/>
            <w:tcMar>
              <w:top w:w="-1" w:type="dxa"/>
              <w:left w:w="-1" w:type="dxa"/>
              <w:bottom w:w="-1" w:type="dxa"/>
              <w:right w:w="-1" w:type="dxa"/>
            </w:tcMar>
            <w:vAlign w:val="center"/>
          </w:tcPr>
          <w:p w14:paraId="4BABC7BE">
            <w:pPr>
              <w:snapToGrid w:val="0"/>
              <w:spacing w:after="0"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21.44</w:t>
            </w:r>
          </w:p>
        </w:tc>
      </w:tr>
    </w:tbl>
    <w:p w14:paraId="47ADE0CF">
      <w:pPr>
        <w:spacing w:after="120" w:line="360" w:lineRule="auto"/>
      </w:pPr>
    </w:p>
    <w:p w14:paraId="08A779D9">
      <w:pPr>
        <w:pStyle w:val="3"/>
      </w:pPr>
      <w:bookmarkStart w:id="45" w:name="bmk_605148"/>
      <w:bookmarkStart w:id="46" w:name="_Toc22182"/>
      <w:r>
        <w:rPr>
          <w:rFonts w:ascii="Times New Roman" w:hAnsi="Times New Roman" w:eastAsia="宋体"/>
          <w:b/>
          <w:color w:val="1F4E79"/>
          <w:sz w:val="32"/>
        </w:rPr>
        <w:t>7 工程化、安全与标准化</w:t>
      </w:r>
      <w:bookmarkEnd w:id="45"/>
      <w:bookmarkEnd w:id="46"/>
    </w:p>
    <w:p w14:paraId="56633398">
      <w:pPr>
        <w:pStyle w:val="4"/>
        <w:rPr>
          <w:rFonts w:ascii="Times New Roman" w:hAnsi="Times New Roman" w:eastAsia="宋体"/>
          <w:b/>
          <w:color w:val="2F5597"/>
          <w:sz w:val="26"/>
        </w:rPr>
      </w:pPr>
      <w:bookmarkStart w:id="47" w:name="_Toc9450"/>
      <w:r>
        <w:rPr>
          <w:rFonts w:ascii="Times New Roman" w:hAnsi="Times New Roman" w:eastAsia="宋体"/>
          <w:b/>
          <w:color w:val="2F5597"/>
          <w:sz w:val="26"/>
        </w:rPr>
        <w:t>7.1 能耗、排放与统计严谨性说明</w:t>
      </w:r>
      <w:bookmarkEnd w:id="47"/>
    </w:p>
    <w:p w14:paraId="1B43A35C">
      <w:pPr>
        <w:spacing w:after="120" w:line="360" w:lineRule="auto"/>
        <w:ind w:firstLine="480"/>
      </w:pPr>
      <w:r>
        <w:rPr>
          <w:rFonts w:ascii="Times New Roman" w:hAnsi="Times New Roman" w:eastAsia="宋体" w:cs="Times New Roman"/>
          <w:sz w:val="24"/>
        </w:rPr>
        <w:t>现有正式结果文件包含旅行时间、延迟、队列、吞吐率和车辆状态轨迹，但未包含按车辆瞬时速度与加速度计算的燃油或排放字段。因此，报告不将未实测的燃油量或 CO₂ 数值作为实验结论。为使后续评估可复算，平台可在每个仿真步从 vehicle_snapshot 提取速度</w:t>
      </w:r>
      <m:oMath>
        <m:r>
          <m:rPr/>
          <m:t>v</m:t>
        </m:r>
      </m:oMath>
      <w:r>
        <w:rPr>
          <w:rFonts w:ascii="Times New Roman" w:hAnsi="Times New Roman" w:eastAsia="宋体" w:cs="Times New Roman"/>
          <w:sz w:val="24"/>
        </w:rPr>
        <w:t>和加速度</w:t>
      </w:r>
      <m:oMath>
        <m:r>
          <m:rPr/>
          <m:t>a</m:t>
        </m:r>
      </m:oMath>
      <w:r>
        <w:rPr>
          <w:rFonts w:ascii="Times New Roman" w:hAnsi="Times New Roman" w:eastAsia="宋体" w:cs="Times New Roman"/>
          <w:sz w:val="24"/>
        </w:rPr>
        <w:t>，并调用 SUMO HBEFA/牵引功率模型或 VT-Micro 模型得到单车燃油消耗</w:t>
      </w:r>
      <m:oMath>
        <m:r>
          <m:rPr/>
          <m:t>f(v,a)</m:t>
        </m:r>
      </m:oMath>
      <w:r>
        <w:rPr>
          <w:rFonts w:ascii="Times New Roman" w:hAnsi="Times New Roman" w:eastAsia="宋体" w:cs="Times New Roman"/>
          <w:sz w:val="24"/>
        </w:rPr>
        <w:t>，再按时段、算法聚合。</w:t>
      </w:r>
    </w:p>
    <w:p w14:paraId="7F4F2615">
      <w:pPr>
        <w:spacing w:after="120" w:line="360" w:lineRule="auto"/>
        <w:ind w:firstLine="480"/>
      </w:pPr>
      <w:r>
        <w:rPr>
          <w:rFonts w:ascii="Times New Roman" w:hAnsi="Times New Roman" w:eastAsia="宋体" w:cs="Times New Roman"/>
          <w:sz w:val="24"/>
        </w:rPr>
        <w:t>推荐的派生指标为：总燃油</w:t>
      </w:r>
      <m:oMath>
        <m:r>
          <m:rPr/>
          <m:t>F = Σ_i Σ_t f(</m:t>
        </m:r>
        <m:sSub>
          <m:sSubPr/>
          <m:e>
            <m:r>
              <m:rPr/>
              <m:t>v</m:t>
            </m:r>
          </m:e>
          <m:sub>
            <m:r>
              <m:rPr>
                <m:sty m:val="p"/>
              </m:rPr>
              <m:t>i,t</m:t>
            </m:r>
          </m:sub>
        </m:sSub>
        <m:r>
          <m:rPr/>
          <m:t>,</m:t>
        </m:r>
        <m:sSub>
          <m:sSubPr/>
          <m:e>
            <m:r>
              <m:rPr/>
              <m:t>a</m:t>
            </m:r>
          </m:e>
          <m:sub>
            <m:r>
              <m:rPr>
                <m:sty m:val="p"/>
              </m:rPr>
              <m:t>i,t</m:t>
            </m:r>
          </m:sub>
        </m:sSub>
        <m:r>
          <m:rPr/>
          <m:t>) Δt</m:t>
        </m:r>
      </m:oMath>
      <w:r>
        <w:rPr>
          <w:rFonts w:ascii="Times New Roman" w:hAnsi="Times New Roman" w:eastAsia="宋体" w:cs="Times New Roman"/>
          <w:sz w:val="24"/>
        </w:rPr>
        <w:t>；二氧化碳排放</w:t>
      </w:r>
      <m:oMath>
        <m:sSub>
          <m:sSubPr/>
          <m:e>
            <m:r>
              <m:rPr/>
              <m:t>E</m:t>
            </m:r>
          </m:e>
          <m:sub>
            <m:r>
              <m:rPr>
                <m:sty m:val="p"/>
              </m:rPr>
              <m:t>CO₂</m:t>
            </m:r>
          </m:sub>
        </m:sSub>
        <m:r>
          <m:rPr/>
          <m:t>= EF · F</m:t>
        </m:r>
      </m:oMath>
      <w:r>
        <w:rPr>
          <w:rFonts w:ascii="Times New Roman" w:hAnsi="Times New Roman" w:eastAsia="宋体" w:cs="Times New Roman"/>
          <w:sz w:val="24"/>
        </w:rPr>
        <w:t>，其中 EF 为燃油排放因子；怠速燃油可单列为速度低于阈值时的累积消耗。该口径将“减少队列和延迟”转化为潜在能耗收益，但只有在原始车辆轨迹和排放模型版本均锁定后，才允许报告具体百分比。</w:t>
      </w:r>
    </w:p>
    <w:p w14:paraId="7FCDFF9B">
      <w:pPr>
        <w:spacing w:after="120" w:line="360" w:lineRule="auto"/>
        <w:ind w:firstLine="480"/>
      </w:pPr>
      <w:r>
        <w:rPr>
          <w:rFonts w:ascii="Times New Roman" w:hAnsi="Times New Roman" w:eastAsia="宋体" w:cs="Times New Roman"/>
          <w:b w:val="0"/>
          <w:sz w:val="24"/>
        </w:rPr>
        <w:t>置信区间同样遵循不伪造原则：当前三时段正式结果为固定随机种子下的点估计，TT 4.52% 是一次可复算运行的相对改善，而不是统计显著性结论。建议以至少 5 个随机种子重复运行，报告均值、标准差和 95% 置信区间；在多种子结果未补齐前，表 6-6 如实标记“待复测”。</w:t>
      </w:r>
    </w:p>
    <w:p w14:paraId="398360FE">
      <w:pPr>
        <w:spacing w:after="120" w:line="360" w:lineRule="auto"/>
        <w:ind w:firstLine="480"/>
      </w:pPr>
      <w:r>
        <w:rPr>
          <w:rFonts w:ascii="Times New Roman" w:hAnsi="Times New Roman" w:eastAsia="宋体" w:cs="Times New Roman"/>
          <w:b w:val="0"/>
          <w:sz w:val="24"/>
        </w:rPr>
        <w:t>采用上述边界说明并不会削弱现有结果，反而使结论更可信：现有数据已经充分支持“在固定种子、固定场景和固定步数下的相对收益”；多种子统计和能耗模型补测将用于回答“收益是否具有统计稳定性”和“效率提升是否同步降低排放”这两个更高阶的问题。</w:t>
      </w:r>
    </w:p>
    <w:p w14:paraId="676967FB">
      <w:pPr>
        <w:spacing w:after="120" w:line="360" w:lineRule="auto"/>
        <w:ind w:firstLine="480"/>
      </w:pPr>
      <w:r>
        <w:rPr>
          <w:rFonts w:ascii="Times New Roman" w:hAnsi="Times New Roman" w:eastAsia="宋体" w:cs="Times New Roman"/>
          <w:sz w:val="24"/>
        </w:rPr>
        <w:t>系统的工程化潜力体现在“可替换、可回退、可追责”三个方面。可替换指算法通过插件契约接入；可回退指动作越界、模型异常或状态缺失时可以回到规则策略；可追责指每次运行都保留配置、模型版本、动作轨迹和指标结果。</w:t>
      </w:r>
    </w:p>
    <w:p w14:paraId="59BA4EBD">
      <w:pPr>
        <w:spacing w:after="120" w:line="360" w:lineRule="auto"/>
        <w:ind w:firstLine="480"/>
      </w:pPr>
      <w:r>
        <w:rPr>
          <w:rFonts w:ascii="Times New Roman" w:hAnsi="Times New Roman" w:eastAsia="宋体" w:cs="Times New Roman"/>
          <w:sz w:val="24"/>
        </w:rPr>
        <w:t>标准化方面，建议将 observation/action/result 三类 Schema 作为最小接口集，将场景清单、随机种子、版本锁定和复算脚本作为实验包的强制附件。未来还可在此基础上增加通信延迟、设备健康度和安全事件字段，形成适用于车路云协同控制的扩展协议。</w:t>
      </w:r>
    </w:p>
    <w:p w14:paraId="0D219BC4">
      <w:pPr>
        <w:spacing w:after="120" w:line="360" w:lineRule="auto"/>
        <w:ind w:firstLine="480"/>
      </w:pPr>
      <w:r>
        <w:rPr>
          <w:rFonts w:ascii="Times New Roman" w:hAnsi="Times New Roman" w:eastAsia="宋体" w:cs="Times New Roman"/>
          <w:b w:val="0"/>
          <w:sz w:val="24"/>
        </w:rPr>
        <w:t>模型、场景和算法名称登记在 JSON/YAML 配置中，主循环无需修改即可替换算法；观测维度、动作范围、NaN/Infinity、未知算法和模型键不匹配均触发明确异常；CityFlow 采用固定源码提交和 Docker 构建。生产车路云接入还应增加设备认证、链路加密、速率限制、时间戳单调性、重放防护和审计日志。</w:t>
      </w:r>
    </w:p>
    <w:p w14:paraId="3EB9D6AB">
      <w:pPr>
        <w:spacing w:after="120" w:line="360" w:lineRule="auto"/>
        <w:ind w:firstLine="480"/>
      </w:pPr>
      <w:r>
        <w:rPr>
          <w:rFonts w:ascii="Times New Roman" w:hAnsi="Times New Roman" w:eastAsia="宋体" w:cs="Times New Roman"/>
          <w:b w:val="0"/>
          <w:sz w:val="24"/>
        </w:rPr>
        <w:t>可标准化沉淀三类成果：observation/action/result Schema；总需求、完成车辆、平均旅行时间、估计延迟、队列代理量和吞吐率字段；固定种子、场景清单、模型版本和原始轨迹组成的复现包规范。</w:t>
      </w:r>
    </w:p>
    <w:p w14:paraId="0397F8C9">
      <w:pPr>
        <w:pStyle w:val="4"/>
      </w:pPr>
      <w:bookmarkStart w:id="48" w:name="_Toc4871"/>
      <w:r>
        <w:rPr>
          <w:rFonts w:ascii="Times New Roman" w:hAnsi="Times New Roman" w:eastAsia="宋体"/>
          <w:b/>
          <w:color w:val="2F5597"/>
          <w:sz w:val="26"/>
        </w:rPr>
        <w:t>7.2 实际场景应用演示方案</w:t>
      </w:r>
      <w:bookmarkEnd w:id="48"/>
    </w:p>
    <w:p w14:paraId="406B84FD">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演示流程应覆盖“场景导入—算法部署—实时协同调控—效果对比”四个环节，并与答辩PPT和5—8分钟视频使用同一套场景、算法版本和指标口径。报告中尚未实际生成的PPT、视频或补测结果不得表述为已完成成果，应在提交前单独补齐并进行文件核验。</w:t>
      </w:r>
    </w:p>
    <w:p w14:paraId="0393DA21">
      <w:pPr>
        <w:spacing w:after="120" w:line="360" w:lineRule="auto"/>
        <w:ind w:firstLine="480"/>
        <w:rPr>
          <w:rFonts w:ascii="Times New Roman" w:hAnsi="Times New Roman" w:eastAsia="宋体" w:cs="Times New Roman"/>
          <w:sz w:val="24"/>
        </w:rPr>
      </w:pPr>
      <w:r>
        <w:rPr>
          <w:rFonts w:ascii="Times New Roman" w:hAnsi="Times New Roman" w:eastAsia="宋体" w:cs="Times New Roman"/>
          <w:sz w:val="24"/>
        </w:rPr>
        <w:t>为满足原赛题关于实际场景应用演示的要求，建议以雄安新区20路口“窄路密网”早高峰场景作为统一演示对象。演示首先导入路网、交通流和信号配置，随后依次运行固定配时、经典交通控制基线和完整SACF+SPCN+TRANSYT协同策略，实时显示仿真时间、车辆数、信号相位、队列代理量和算法名称。演示结尾展示平均旅行时间、估计延迟、平均队列代理量和吞吐率对比，并用消融结果说明SACF、SPCN和TRANSYT协调层的作用。</w:t>
      </w:r>
    </w:p>
    <w:p w14:paraId="759D03CD">
      <w:pPr>
        <w:spacing w:after="120" w:line="360" w:lineRule="auto"/>
        <w:ind w:firstLine="480"/>
      </w:pPr>
      <w:r>
        <w:rPr>
          <w:rFonts w:ascii="Times New Roman" w:hAnsi="Times New Roman" w:eastAsia="宋体" w:cs="Times New Roman"/>
          <w:sz w:val="24"/>
        </w:rPr>
        <w:t>复现时应先做静态检查，再做短步冒烟，最后做完整评测。静态检查确认文件结构和 Schema，冒烟运行确认引擎、插件和结果落盘链路，完整评测才用于比较算法收益。若运行环境缺少 CityFlow 或 SUMO，应记录依赖缺失并停止，不应以伪造的默认指标替代真实结果。</w:t>
      </w:r>
    </w:p>
    <w:p w14:paraId="5B981261">
      <w:pPr>
        <w:spacing w:after="120" w:line="360" w:lineRule="auto"/>
        <w:ind w:firstLine="480"/>
      </w:pPr>
      <w:r>
        <w:rPr>
          <w:rFonts w:ascii="Times New Roman" w:hAnsi="Times New Roman" w:eastAsia="宋体" w:cs="Times New Roman"/>
          <w:sz w:val="24"/>
        </w:rPr>
        <w:t>从现有结果看，完整组合在三时段均降低平均旅行时间、延迟和队列代理量，并在 10%—30% 平峰压力增幅下保持 7.5% 以上的旅行时间降幅。下一步应增加多随机种子置信区间、通信延迟注入和真实设备闭环测试，使仿真优势进一步转化为部署证据。</w:t>
      </w:r>
    </w:p>
    <w:p w14:paraId="0980DE90">
      <w:pPr>
        <w:spacing w:after="120" w:line="360" w:lineRule="auto"/>
        <w:ind w:firstLine="480"/>
        <w:rPr>
          <w:rFonts w:ascii="Times New Roman" w:hAnsi="Times New Roman" w:eastAsia="宋体" w:cs="Times New Roman"/>
          <w:b w:val="0"/>
          <w:sz w:val="24"/>
        </w:rPr>
      </w:pPr>
      <w:r>
        <w:rPr>
          <w:rFonts w:ascii="Times New Roman" w:hAnsi="Times New Roman" w:eastAsia="宋体" w:cs="Times New Roman"/>
          <w:b w:val="0"/>
          <w:sz w:val="24"/>
        </w:rPr>
        <w:t>建议顺序：执行功能一 verify_delivery.py；执行功能二 validate_scenario.py；以 demo 模式校验插件与结果格式；在 Docker/Linux 中按时段、算法和 7,500 步运行 CityFlow；读取最终主线汇总 CSV，按本文公式复算改善率，并用 trace JSON 与 Dashboard 检查动作轨迹。平台已完成从场景生成、状态采集、算法接入到实验评估的闭环。正式结果表明完整组合在三时段均有稳定改善，压力扰动下旅行时间降低 7.51%—8.07%。后续应补充多随机种子置信区间、真实路侧设备闭环和更大规模压力测试。</w:t>
      </w:r>
    </w:p>
    <w:p w14:paraId="6142F605">
      <w:pPr>
        <w:pStyle w:val="3"/>
        <w:rPr>
          <w:rFonts w:hint="eastAsia" w:ascii="Times New Roman" w:hAnsi="Times New Roman" w:eastAsia="宋体"/>
          <w:b/>
          <w:color w:val="1F4E79"/>
          <w:sz w:val="32"/>
          <w:lang w:val="en-US" w:eastAsia="zh-CN"/>
        </w:rPr>
      </w:pPr>
      <w:bookmarkStart w:id="49" w:name="_Toc29414"/>
      <w:r>
        <w:rPr>
          <w:rFonts w:hint="eastAsia" w:ascii="Times New Roman" w:hAnsi="Times New Roman" w:eastAsia="宋体"/>
          <w:b/>
          <w:color w:val="1F4E79"/>
          <w:sz w:val="32"/>
          <w:lang w:val="en-US" w:eastAsia="zh-CN"/>
        </w:rPr>
        <w:t>8 交通信号控制方法概述</w:t>
      </w:r>
      <w:bookmarkEnd w:id="49"/>
    </w:p>
    <w:p w14:paraId="3D7617BF">
      <w:pPr>
        <w:pStyle w:val="4"/>
        <w:rPr>
          <w:rFonts w:hint="default" w:ascii="Times New Roman" w:hAnsi="Times New Roman" w:eastAsia="宋体"/>
          <w:b/>
          <w:color w:val="2F5597"/>
          <w:sz w:val="26"/>
          <w:lang w:val="en-US" w:eastAsia="zh-CN"/>
        </w:rPr>
      </w:pPr>
      <w:bookmarkStart w:id="50" w:name="_Toc30165"/>
      <w:r>
        <w:rPr>
          <w:rFonts w:hint="eastAsia" w:ascii="Times New Roman" w:hAnsi="Times New Roman" w:eastAsia="宋体"/>
          <w:b/>
          <w:color w:val="2F5597"/>
          <w:sz w:val="26"/>
          <w:lang w:val="en-US" w:eastAsia="zh-CN"/>
        </w:rPr>
        <w:t>8.1传统</w:t>
      </w:r>
      <w:r>
        <w:rPr>
          <w:rFonts w:ascii="Times New Roman" w:hAnsi="Times New Roman" w:eastAsia="宋体"/>
          <w:b/>
          <w:color w:val="2F5597"/>
          <w:sz w:val="26"/>
        </w:rPr>
        <w:t>交通信号控制方法</w:t>
      </w:r>
      <w:bookmarkEnd w:id="50"/>
    </w:p>
    <w:p w14:paraId="79F29090">
      <w:pPr>
        <w:spacing w:after="120" w:line="360" w:lineRule="auto"/>
        <w:ind w:firstLine="420"/>
        <w:rPr>
          <w:rFonts w:ascii="Times New Roman" w:hAnsi="Times New Roman" w:eastAsia="宋体" w:cs="Times New Roman"/>
          <w:b w:val="0"/>
          <w:sz w:val="24"/>
        </w:rPr>
      </w:pPr>
      <w:r>
        <w:rPr>
          <w:rFonts w:hint="eastAsia" w:ascii="Times New Roman" w:hAnsi="Times New Roman" w:eastAsia="宋体" w:cs="Times New Roman"/>
          <w:b w:val="0"/>
          <w:sz w:val="24"/>
          <w:lang w:val="en-US" w:eastAsia="zh-CN"/>
        </w:rPr>
        <w:t>1. 定时控制与 TRANSYT 配时优化</w:t>
      </w:r>
      <w:r>
        <w:rPr>
          <w:rFonts w:hint="eastAsia" w:ascii="Times New Roman" w:hAnsi="Times New Roman" w:eastAsia="宋体" w:cs="Times New Roman"/>
          <w:b w:val="0"/>
          <w:sz w:val="24"/>
          <w:lang w:val="en-US" w:eastAsia="zh-CN"/>
        </w:rPr>
        <w:br w:type="textWrapping"/>
      </w:r>
      <w:r>
        <w:rPr>
          <w:rFonts w:hint="eastAsia" w:ascii="Times New Roman" w:hAnsi="Times New Roman" w:eastAsia="宋体" w:cs="Times New Roman"/>
          <w:b w:val="0"/>
          <w:sz w:val="24"/>
          <w:lang w:val="en-US" w:eastAsia="zh-CN"/>
        </w:rPr>
        <w:t>定时控制依据历史交通流预先设定信号周期、绿信比、相位顺序和相位差，具有结构简单、运行稳定、计算开销小和结果易复现等特点。TRANSYT 类方法在此基础上建立交通流到达与离开模型，通过离线优化共同周期、绿信比和相位偏移，使干道上游路口的放行窗口与下游路口的车队到达时间尽量匹配。这类方法适合交通需求相对稳定、路网结构和信号方案较明确的城市干道，但对历史流量、模型参数和预设方案依赖较强，当交通需求发生突变或局部路口出现拥堵时，难以及时完成在线调整。</w:t>
      </w:r>
    </w:p>
    <w:p w14:paraId="62551471">
      <w:pPr>
        <w:spacing w:after="120" w:line="360" w:lineRule="auto"/>
        <w:ind w:firstLine="420"/>
        <w:rPr>
          <w:rFonts w:ascii="Times New Roman" w:hAnsi="Times New Roman" w:eastAsia="宋体" w:cs="Times New Roman"/>
          <w:b w:val="0"/>
          <w:sz w:val="24"/>
        </w:rPr>
      </w:pPr>
      <w:r>
        <w:rPr>
          <w:rFonts w:ascii="Times New Roman" w:hAnsi="Times New Roman" w:eastAsia="宋体" w:cs="Times New Roman"/>
          <w:b w:val="0"/>
          <w:sz w:val="24"/>
        </w:rPr>
        <w:t>2. 车辆感应控制</w:t>
      </w:r>
      <w:r>
        <w:rPr>
          <w:rFonts w:ascii="Times New Roman" w:hAnsi="Times New Roman" w:eastAsia="宋体" w:cs="Times New Roman"/>
          <w:b w:val="0"/>
          <w:sz w:val="24"/>
        </w:rPr>
        <w:br w:type="textWrapping"/>
      </w:r>
      <w:r>
        <w:rPr>
          <w:rFonts w:ascii="Times New Roman" w:hAnsi="Times New Roman" w:eastAsia="宋体" w:cs="Times New Roman"/>
          <w:b w:val="0"/>
          <w:sz w:val="24"/>
        </w:rPr>
        <w:t>车辆感应控制利用线圈、视频、雷达或其他路侧检测设备获取流量、占有率、排队长度和车辆到达信息，并根据实时需求延长、缩短或提前结束当前绿灯。该方法能够改善单个交叉口在短时流量波动下的通行效率，控制逻辑也较容易解释和部署。但其性能依赖检测器覆盖范围、数据质量和通信稳定性，通常以局部路口为主要决策单元，无法充分表达相邻路口之间的排队传播和走廊时序关系。</w:t>
      </w:r>
    </w:p>
    <w:p w14:paraId="71BBCE25">
      <w:pPr>
        <w:spacing w:after="120" w:line="360" w:lineRule="auto"/>
        <w:ind w:firstLine="420"/>
        <w:rPr>
          <w:rFonts w:ascii="Times New Roman" w:hAnsi="Times New Roman" w:eastAsia="宋体" w:cs="Times New Roman"/>
          <w:b w:val="0"/>
          <w:sz w:val="24"/>
        </w:rPr>
      </w:pPr>
      <w:r>
        <w:rPr>
          <w:rFonts w:ascii="Times New Roman" w:hAnsi="Times New Roman" w:eastAsia="宋体" w:cs="Times New Roman"/>
          <w:b w:val="0"/>
          <w:sz w:val="24"/>
        </w:rPr>
        <w:t>3. 自适应协调控制</w:t>
      </w:r>
      <w:r>
        <w:rPr>
          <w:rFonts w:ascii="Times New Roman" w:hAnsi="Times New Roman" w:eastAsia="宋体" w:cs="Times New Roman"/>
          <w:b w:val="0"/>
          <w:sz w:val="24"/>
        </w:rPr>
        <w:br w:type="textWrapping"/>
      </w:r>
      <w:r>
        <w:rPr>
          <w:rFonts w:ascii="Times New Roman" w:hAnsi="Times New Roman" w:eastAsia="宋体" w:cs="Times New Roman"/>
          <w:b w:val="0"/>
          <w:sz w:val="24"/>
        </w:rPr>
        <w:t>自适应协调控制根据实时检测数据持续调整周期、绿信比和相位差，SCOOT、SCATS 等系统属于这一类方法。与固定配时相比，自适应协调能够更快响应交通需求变化，并在一定程度上兼顾路口局部状态和干道协调目标。其不足在于系统需要较完善的检测、通信和参数标定体系，控制器往往依赖大量工程经验；在数据缺失、需求高度随机或突发事件场景下，协调效果和控制稳定性可能下降。</w:t>
      </w:r>
    </w:p>
    <w:p w14:paraId="6DBF2D82">
      <w:pPr>
        <w:spacing w:after="120" w:line="360" w:lineRule="auto"/>
        <w:ind w:firstLine="420"/>
        <w:rPr>
          <w:rFonts w:ascii="Times New Roman" w:hAnsi="Times New Roman" w:eastAsia="宋体" w:cs="Times New Roman"/>
          <w:b w:val="0"/>
          <w:sz w:val="24"/>
        </w:rPr>
      </w:pPr>
      <w:r>
        <w:rPr>
          <w:rFonts w:ascii="Times New Roman" w:hAnsi="Times New Roman" w:eastAsia="宋体" w:cs="Times New Roman"/>
          <w:b w:val="0"/>
          <w:sz w:val="24"/>
        </w:rPr>
        <w:t>4. 最大压力控制</w:t>
      </w:r>
      <w:r>
        <w:rPr>
          <w:rFonts w:ascii="Times New Roman" w:hAnsi="Times New Roman" w:eastAsia="宋体" w:cs="Times New Roman"/>
          <w:b w:val="0"/>
          <w:sz w:val="24"/>
        </w:rPr>
        <w:br w:type="textWrapping"/>
      </w:r>
      <w:r>
        <w:rPr>
          <w:rFonts w:ascii="Times New Roman" w:hAnsi="Times New Roman" w:eastAsia="宋体" w:cs="Times New Roman"/>
          <w:b w:val="0"/>
          <w:sz w:val="24"/>
        </w:rPr>
        <w:t>最大压力控制根据候选相位对应的上游排队需求与下游接收能力计算压力，优先放行能够释放较大网络压力的相位。该方法具有明确的交通守恒解释，适合高饱和度和多路口网络，也便于采用分布式方式部署。然而，最大压力主要依赖当前时刻的局部状态，对车辆到达波、信号相位差和未来短时交通演化考虑不足，可能在局部最优与走廊整体协调之间产生冲突，导致排队压力向相邻路口转移。</w:t>
      </w:r>
    </w:p>
    <w:p w14:paraId="1FBDBBA6">
      <w:pPr>
        <w:spacing w:after="120" w:line="360" w:lineRule="auto"/>
        <w:ind w:firstLine="420"/>
        <w:rPr>
          <w:rFonts w:ascii="Times New Roman" w:hAnsi="Times New Roman" w:eastAsia="宋体" w:cs="Times New Roman"/>
          <w:b w:val="0"/>
          <w:sz w:val="24"/>
        </w:rPr>
      </w:pPr>
      <w:r>
        <w:rPr>
          <w:rFonts w:ascii="Times New Roman" w:hAnsi="Times New Roman" w:eastAsia="宋体" w:cs="Times New Roman"/>
          <w:b w:val="0"/>
          <w:sz w:val="24"/>
        </w:rPr>
        <w:t>5. 模型预测控制（MPC）</w:t>
      </w:r>
      <w:r>
        <w:rPr>
          <w:rFonts w:ascii="Times New Roman" w:hAnsi="Times New Roman" w:eastAsia="宋体" w:cs="Times New Roman"/>
          <w:b w:val="0"/>
          <w:sz w:val="24"/>
        </w:rPr>
        <w:br w:type="textWrapping"/>
      </w:r>
      <w:r>
        <w:rPr>
          <w:rFonts w:ascii="Times New Roman" w:hAnsi="Times New Roman" w:eastAsia="宋体" w:cs="Times New Roman"/>
          <w:b w:val="0"/>
          <w:sz w:val="24"/>
        </w:rPr>
        <w:t>模型预测控制利用交通流模型预测未来时间窗内的车辆到达、排队和通行状态，并在滚动优化过程中联合考虑延误、队列、排放、相位切换和信号安全约束。MPC能够处理多目标控制问题，适合交通走廊和计算资源充足的控制中心。但其效果高度依赖预测模型和参数标定，在线求解复杂度较高；当模型与实际交通状态存在偏差时，预测误差会进一步影响信号配时结果。</w:t>
      </w:r>
    </w:p>
    <w:p w14:paraId="1CA1AE1D">
      <w:pPr>
        <w:spacing w:after="120" w:line="360" w:lineRule="auto"/>
        <w:ind w:firstLine="420"/>
        <w:rPr>
          <w:rFonts w:ascii="Times New Roman" w:hAnsi="Times New Roman" w:eastAsia="宋体" w:cs="Times New Roman"/>
          <w:b w:val="0"/>
          <w:sz w:val="24"/>
        </w:rPr>
      </w:pPr>
      <w:r>
        <w:rPr>
          <w:rFonts w:ascii="Times New Roman" w:hAnsi="Times New Roman" w:eastAsia="宋体" w:cs="Times New Roman"/>
          <w:b w:val="0"/>
          <w:sz w:val="24"/>
        </w:rPr>
        <w:t>6. 车路协同和联网车辆控制</w:t>
      </w:r>
      <w:r>
        <w:rPr>
          <w:rFonts w:ascii="Times New Roman" w:hAnsi="Times New Roman" w:eastAsia="宋体" w:cs="Times New Roman"/>
          <w:b w:val="0"/>
          <w:sz w:val="24"/>
        </w:rPr>
        <w:br w:type="textWrapping"/>
      </w:r>
      <w:r>
        <w:rPr>
          <w:rFonts w:ascii="Times New Roman" w:hAnsi="Times New Roman" w:eastAsia="宋体" w:cs="Times New Roman"/>
          <w:b w:val="0"/>
          <w:sz w:val="24"/>
        </w:rPr>
        <w:t>车路协同控制利用联网车辆轨迹、速度、位置、排队和路侧感知信息进行信号配时、速度引导或优先控制，能够获得比传统检测器更细粒度的交通状态。其优势是信息维度丰富、可支持车辆—信号联合优化，但实际应用依赖V2X通信覆盖、设备部署、数据安全和联网车辆渗透率。在联网车辆比例较低、状态数据存在延迟或设备异构性较强时，控制器仍需要稳定的规则基线和异常回退机制。</w:t>
      </w:r>
    </w:p>
    <w:p w14:paraId="52F0D355">
      <w:pPr>
        <w:pStyle w:val="4"/>
      </w:pPr>
      <w:bookmarkStart w:id="51" w:name="_Toc25043"/>
      <w:r>
        <w:rPr>
          <w:rFonts w:hint="eastAsia" w:ascii="Times New Roman" w:hAnsi="Times New Roman" w:eastAsia="宋体"/>
          <w:b/>
          <w:color w:val="2F5597"/>
          <w:sz w:val="26"/>
          <w:lang w:val="en-US" w:eastAsia="zh-CN"/>
        </w:rPr>
        <w:t>8.2本文方法相对传统方法的改进</w:t>
      </w:r>
      <w:bookmarkEnd w:id="51"/>
    </w:p>
    <w:p w14:paraId="0EF75ED5">
      <w:pPr>
        <w:spacing w:after="120" w:line="360" w:lineRule="auto"/>
        <w:ind w:firstLine="420"/>
        <w:rPr>
          <w:rFonts w:hint="default"/>
          <w:lang w:val="en-US" w:eastAsia="zh-CN"/>
        </w:rPr>
      </w:pPr>
      <w:r>
        <w:rPr>
          <w:rFonts w:ascii="Times New Roman" w:hAnsi="Times New Roman" w:eastAsia="宋体" w:cs="Times New Roman"/>
          <w:b w:val="0"/>
          <w:sz w:val="24"/>
        </w:rPr>
        <w:t>与上述传统方法相比，本文提出的融序协同控制机制（Fusion-Sequence Cooperative Control，FSCC）并不是用单一学习模型替代既有交通控制，而是针对不同方法的优势和局限进行分层融合。首先，FSCC保留固定配时和最大压力控制的可解释性与安全兜底能力，并以TRANSYT风格控制承担共同周期、绿信比、相位偏移和车辆到达波的走廊级协调任务；其次，FSCC引入冻结SACF作为迁移动作先验，使已有策略知识能够在新场景中提供稳定的候选动作价值，同时避免在线更新破坏已验证模型；再次，FSCC使用SPCN显式建模候选信号相位之间的竞争和冲突关系，以有界残差方式细化局部相位排序，而不是直接输出不受约束的控制命令。最终，系统通过压力增益、拥堵状态、最小绿灯、清空相位和动作范围等门控条件决定是否接受局部修正，当状态缺失、模型异常或不确定性过高时回退到最大压力或固定配时策略。由此，FSCC在传统方法的稳定性、TRANSYT的走廊协调能力、SACF的策略迁移能力和SPCN的相位竞争表达能力之间建立统一闭环，在保证可解释、可复算和可回滚的同时，提高多路口交通控制对局部波动和网络耦合的适应能力。</w:t>
      </w:r>
    </w:p>
    <w:p w14:paraId="419705BD">
      <w:pPr>
        <w:pStyle w:val="3"/>
      </w:pPr>
      <w:bookmarkStart w:id="52" w:name="bmk_648062"/>
      <w:bookmarkStart w:id="53" w:name="_Toc27176"/>
      <w:r>
        <w:rPr>
          <w:rFonts w:hint="eastAsia" w:ascii="Times New Roman" w:hAnsi="Times New Roman" w:eastAsia="宋体"/>
          <w:b/>
          <w:color w:val="1F4E79"/>
          <w:sz w:val="32"/>
          <w:lang w:val="en-US" w:eastAsia="zh-CN"/>
        </w:rPr>
        <w:t>9</w:t>
      </w:r>
      <w:r>
        <w:rPr>
          <w:rFonts w:ascii="Times New Roman" w:hAnsi="Times New Roman" w:eastAsia="宋体"/>
          <w:b/>
          <w:color w:val="1F4E79"/>
          <w:sz w:val="32"/>
        </w:rPr>
        <w:t xml:space="preserve"> 复现说明与结论</w:t>
      </w:r>
      <w:bookmarkEnd w:id="52"/>
      <w:bookmarkEnd w:id="53"/>
    </w:p>
    <w:p w14:paraId="54DABD22">
      <w:pPr>
        <w:pStyle w:val="3"/>
      </w:pPr>
      <w:bookmarkStart w:id="54" w:name="bmk_410260"/>
      <w:bookmarkStart w:id="55" w:name="_Toc11306"/>
      <w:r>
        <w:rPr>
          <w:rFonts w:ascii="Times New Roman" w:hAnsi="Times New Roman" w:eastAsia="宋体"/>
          <w:b/>
          <w:color w:val="1F4E79"/>
          <w:sz w:val="32"/>
        </w:rPr>
        <w:t>附录A 接口字段与结果格式</w:t>
      </w:r>
      <w:bookmarkEnd w:id="54"/>
      <w:bookmarkEnd w:id="55"/>
    </w:p>
    <w:p w14:paraId="5471DE0A">
      <w:pPr>
        <w:pStyle w:val="15"/>
        <w:spacing w:after="120" w:line="360" w:lineRule="auto"/>
        <w:jc w:val="center"/>
      </w:pPr>
      <w:r>
        <w:rPr>
          <w:rFonts w:ascii="Times New Roman" w:hAnsi="Times New Roman" w:eastAsia="宋体" w:cs="Times New Roman"/>
          <w:b w:val="0"/>
          <w:sz w:val="24"/>
        </w:rPr>
        <w:t>表A-1 核心接口字段</w:t>
      </w:r>
    </w:p>
    <w:tbl>
      <w:tblPr>
        <w:tblStyle w:val="36"/>
        <w:tblW w:w="952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97"/>
        <w:gridCol w:w="3709"/>
        <w:gridCol w:w="2920"/>
      </w:tblGrid>
      <w:tr w14:paraId="2F4632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C9DB502">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字段</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553186DA">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类型/范围</w:t>
            </w:r>
          </w:p>
        </w:tc>
        <w:tc>
          <w:tcPr>
            <w:tcW w:w="2920"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56E95887">
            <w:pPr>
              <w:snapToGrid w:val="0"/>
              <w:spacing w:after="0"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含义</w:t>
            </w:r>
          </w:p>
        </w:tc>
      </w:tr>
      <w:tr w14:paraId="79F594F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0639803">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time_s</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4B4D63">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number，&gt;=0</w:t>
            </w:r>
          </w:p>
        </w:tc>
        <w:tc>
          <w:tcPr>
            <w:tcW w:w="2920" w:type="dxa"/>
            <w:tcBorders>
              <w:top w:val="single" w:color="auto" w:sz="4" w:space="0"/>
              <w:left w:val="nil"/>
              <w:bottom w:val="nil"/>
              <w:right w:val="nil"/>
            </w:tcBorders>
            <w:noWrap w:val="0"/>
            <w:tcMar>
              <w:top w:w="-1" w:type="dxa"/>
              <w:left w:w="-1" w:type="dxa"/>
              <w:bottom w:w="-1" w:type="dxa"/>
              <w:right w:w="-1" w:type="dxa"/>
            </w:tcMar>
            <w:vAlign w:val="center"/>
          </w:tcPr>
          <w:p w14:paraId="4CE4045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仿真时间</w:t>
            </w:r>
          </w:p>
        </w:tc>
      </w:tr>
      <w:tr w14:paraId="01875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A8DF84">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intersection_id</w:t>
            </w:r>
          </w:p>
        </w:tc>
        <w:tc>
          <w:tcPr>
            <w:tcW w:w="0" w:type="auto"/>
            <w:tcBorders>
              <w:top w:val="nil"/>
              <w:left w:val="nil"/>
              <w:bottom w:val="nil"/>
              <w:right w:val="nil"/>
            </w:tcBorders>
            <w:noWrap w:val="0"/>
            <w:tcMar>
              <w:top w:w="-1" w:type="dxa"/>
              <w:left w:w="-1" w:type="dxa"/>
              <w:bottom w:w="-1" w:type="dxa"/>
              <w:right w:w="-1" w:type="dxa"/>
            </w:tcMar>
            <w:vAlign w:val="center"/>
          </w:tcPr>
          <w:p w14:paraId="21E2A208">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string</w:t>
            </w:r>
          </w:p>
        </w:tc>
        <w:tc>
          <w:tcPr>
            <w:tcW w:w="2920" w:type="dxa"/>
            <w:tcBorders>
              <w:top w:val="nil"/>
              <w:left w:val="nil"/>
              <w:bottom w:val="nil"/>
              <w:right w:val="nil"/>
            </w:tcBorders>
            <w:noWrap w:val="0"/>
            <w:tcMar>
              <w:top w:w="-1" w:type="dxa"/>
              <w:left w:w="-1" w:type="dxa"/>
              <w:bottom w:w="-1" w:type="dxa"/>
              <w:right w:w="-1" w:type="dxa"/>
            </w:tcMar>
            <w:vAlign w:val="center"/>
          </w:tcPr>
          <w:p w14:paraId="16AE46C4">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路口唯一标识</w:t>
            </w:r>
          </w:p>
        </w:tc>
      </w:tr>
      <w:tr w14:paraId="45B47D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E4F6DCB">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phase</w:t>
            </w:r>
          </w:p>
        </w:tc>
        <w:tc>
          <w:tcPr>
            <w:tcW w:w="0" w:type="auto"/>
            <w:tcBorders>
              <w:top w:val="nil"/>
              <w:left w:val="nil"/>
              <w:bottom w:val="nil"/>
              <w:right w:val="nil"/>
            </w:tcBorders>
            <w:noWrap w:val="0"/>
            <w:tcMar>
              <w:top w:w="-1" w:type="dxa"/>
              <w:left w:w="-1" w:type="dxa"/>
              <w:bottom w:w="-1" w:type="dxa"/>
              <w:right w:w="-1" w:type="dxa"/>
            </w:tcMar>
            <w:vAlign w:val="center"/>
          </w:tcPr>
          <w:p w14:paraId="01266BFE">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integer，&gt;=0</w:t>
            </w:r>
          </w:p>
        </w:tc>
        <w:tc>
          <w:tcPr>
            <w:tcW w:w="2920" w:type="dxa"/>
            <w:tcBorders>
              <w:top w:val="nil"/>
              <w:left w:val="nil"/>
              <w:bottom w:val="nil"/>
              <w:right w:val="nil"/>
            </w:tcBorders>
            <w:noWrap w:val="0"/>
            <w:tcMar>
              <w:top w:w="-1" w:type="dxa"/>
              <w:left w:w="-1" w:type="dxa"/>
              <w:bottom w:w="-1" w:type="dxa"/>
              <w:right w:w="-1" w:type="dxa"/>
            </w:tcMar>
            <w:vAlign w:val="center"/>
          </w:tcPr>
          <w:p w14:paraId="1C50351D">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信号相位编号</w:t>
            </w:r>
          </w:p>
        </w:tc>
      </w:tr>
      <w:tr w14:paraId="1481E8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D4D29E4">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queue_length</w:t>
            </w:r>
          </w:p>
        </w:tc>
        <w:tc>
          <w:tcPr>
            <w:tcW w:w="0" w:type="auto"/>
            <w:tcBorders>
              <w:top w:val="nil"/>
              <w:left w:val="nil"/>
              <w:bottom w:val="nil"/>
              <w:right w:val="nil"/>
            </w:tcBorders>
            <w:noWrap w:val="0"/>
            <w:tcMar>
              <w:top w:w="-1" w:type="dxa"/>
              <w:left w:w="-1" w:type="dxa"/>
              <w:bottom w:w="-1" w:type="dxa"/>
              <w:right w:w="-1" w:type="dxa"/>
            </w:tcMar>
            <w:vAlign w:val="center"/>
          </w:tcPr>
          <w:p w14:paraId="3BCFF831">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integer，&gt;=0</w:t>
            </w:r>
          </w:p>
        </w:tc>
        <w:tc>
          <w:tcPr>
            <w:tcW w:w="2920" w:type="dxa"/>
            <w:tcBorders>
              <w:top w:val="nil"/>
              <w:left w:val="nil"/>
              <w:bottom w:val="nil"/>
              <w:right w:val="nil"/>
            </w:tcBorders>
            <w:noWrap w:val="0"/>
            <w:tcMar>
              <w:top w:w="-1" w:type="dxa"/>
              <w:left w:w="-1" w:type="dxa"/>
              <w:bottom w:w="-1" w:type="dxa"/>
              <w:right w:w="-1" w:type="dxa"/>
            </w:tcMar>
            <w:vAlign w:val="center"/>
          </w:tcPr>
          <w:p w14:paraId="71CDB27B">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排队数合计</w:t>
            </w:r>
          </w:p>
        </w:tc>
      </w:tr>
      <w:tr w14:paraId="44A6CDA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6754EA7">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speed_mps</w:t>
            </w:r>
          </w:p>
        </w:tc>
        <w:tc>
          <w:tcPr>
            <w:tcW w:w="0" w:type="auto"/>
            <w:tcBorders>
              <w:top w:val="nil"/>
              <w:left w:val="nil"/>
              <w:bottom w:val="nil"/>
              <w:right w:val="nil"/>
            </w:tcBorders>
            <w:noWrap w:val="0"/>
            <w:tcMar>
              <w:top w:w="-1" w:type="dxa"/>
              <w:left w:w="-1" w:type="dxa"/>
              <w:bottom w:w="-1" w:type="dxa"/>
              <w:right w:w="-1" w:type="dxa"/>
            </w:tcMar>
            <w:vAlign w:val="center"/>
          </w:tcPr>
          <w:p w14:paraId="39D46BA2">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number</w:t>
            </w:r>
          </w:p>
        </w:tc>
        <w:tc>
          <w:tcPr>
            <w:tcW w:w="2920" w:type="dxa"/>
            <w:tcBorders>
              <w:top w:val="nil"/>
              <w:left w:val="nil"/>
              <w:bottom w:val="nil"/>
              <w:right w:val="nil"/>
            </w:tcBorders>
            <w:noWrap w:val="0"/>
            <w:tcMar>
              <w:top w:w="-1" w:type="dxa"/>
              <w:left w:w="-1" w:type="dxa"/>
              <w:bottom w:w="-1" w:type="dxa"/>
              <w:right w:w="-1" w:type="dxa"/>
            </w:tcMar>
            <w:vAlign w:val="center"/>
          </w:tcPr>
          <w:p w14:paraId="2216186A">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平均速度</w:t>
            </w:r>
          </w:p>
        </w:tc>
      </w:tr>
      <w:tr w14:paraId="33FEB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BA6DC2">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actions</w:t>
            </w:r>
          </w:p>
        </w:tc>
        <w:tc>
          <w:tcPr>
            <w:tcW w:w="0" w:type="auto"/>
            <w:tcBorders>
              <w:top w:val="nil"/>
              <w:left w:val="nil"/>
              <w:bottom w:val="nil"/>
              <w:right w:val="nil"/>
            </w:tcBorders>
            <w:noWrap w:val="0"/>
            <w:tcMar>
              <w:top w:w="-1" w:type="dxa"/>
              <w:left w:w="-1" w:type="dxa"/>
              <w:bottom w:w="-1" w:type="dxa"/>
              <w:right w:w="-1" w:type="dxa"/>
            </w:tcMar>
            <w:vAlign w:val="center"/>
          </w:tcPr>
          <w:p w14:paraId="23937D76">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int64[N]，0..7</w:t>
            </w:r>
          </w:p>
        </w:tc>
        <w:tc>
          <w:tcPr>
            <w:tcW w:w="2920" w:type="dxa"/>
            <w:tcBorders>
              <w:top w:val="nil"/>
              <w:left w:val="nil"/>
              <w:bottom w:val="nil"/>
              <w:right w:val="nil"/>
            </w:tcBorders>
            <w:noWrap w:val="0"/>
            <w:tcMar>
              <w:top w:w="-1" w:type="dxa"/>
              <w:left w:w="-1" w:type="dxa"/>
              <w:bottom w:w="-1" w:type="dxa"/>
              <w:right w:w="-1" w:type="dxa"/>
            </w:tcMar>
            <w:vAlign w:val="center"/>
          </w:tcPr>
          <w:p w14:paraId="1803E630">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动作向量</w:t>
            </w:r>
          </w:p>
        </w:tc>
      </w:tr>
      <w:tr w14:paraId="0B7965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97" w:type="dxa"/>
            <w:tcBorders>
              <w:top w:val="nil"/>
              <w:left w:val="nil"/>
              <w:bottom w:val="single" w:color="auto" w:sz="12" w:space="0"/>
              <w:right w:val="nil"/>
            </w:tcBorders>
            <w:noWrap w:val="0"/>
            <w:tcMar>
              <w:top w:w="-1" w:type="dxa"/>
              <w:left w:w="-1" w:type="dxa"/>
              <w:bottom w:w="-1" w:type="dxa"/>
              <w:right w:w="-1" w:type="dxa"/>
            </w:tcMar>
            <w:vAlign w:val="center"/>
          </w:tcPr>
          <w:p w14:paraId="1A1DAD7A">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status</w:t>
            </w:r>
          </w:p>
        </w:tc>
        <w:tc>
          <w:tcPr>
            <w:tcW w:w="3709" w:type="dxa"/>
            <w:tcBorders>
              <w:top w:val="nil"/>
              <w:left w:val="nil"/>
              <w:bottom w:val="single" w:color="auto" w:sz="12" w:space="0"/>
              <w:right w:val="nil"/>
            </w:tcBorders>
            <w:noWrap w:val="0"/>
            <w:tcMar>
              <w:top w:w="-1" w:type="dxa"/>
              <w:left w:w="-1" w:type="dxa"/>
              <w:bottom w:w="-1" w:type="dxa"/>
              <w:right w:w="-1" w:type="dxa"/>
            </w:tcMar>
            <w:vAlign w:val="center"/>
          </w:tcPr>
          <w:p w14:paraId="7B67F070">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complete/运行状态</w:t>
            </w:r>
          </w:p>
        </w:tc>
        <w:tc>
          <w:tcPr>
            <w:tcW w:w="2920" w:type="dxa"/>
            <w:tcBorders>
              <w:top w:val="nil"/>
              <w:left w:val="nil"/>
              <w:bottom w:val="single" w:color="auto" w:sz="12" w:space="0"/>
              <w:right w:val="nil"/>
            </w:tcBorders>
            <w:noWrap w:val="0"/>
            <w:tcMar>
              <w:top w:w="-1" w:type="dxa"/>
              <w:left w:w="-1" w:type="dxa"/>
              <w:bottom w:w="-1" w:type="dxa"/>
              <w:right w:w="-1" w:type="dxa"/>
            </w:tcMar>
            <w:vAlign w:val="center"/>
          </w:tcPr>
          <w:p w14:paraId="7B7675F9">
            <w:pPr>
              <w:snapToGrid w:val="0"/>
              <w:spacing w:after="0"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完整运行标记</w:t>
            </w:r>
          </w:p>
        </w:tc>
      </w:tr>
    </w:tbl>
    <w:p w14:paraId="251BEDA5">
      <w:pPr>
        <w:spacing w:after="120" w:line="360" w:lineRule="auto"/>
      </w:pPr>
    </w:p>
    <w:p w14:paraId="755B0021">
      <w:pPr>
        <w:pStyle w:val="3"/>
      </w:pPr>
      <w:bookmarkStart w:id="56" w:name="bmk_852807"/>
      <w:bookmarkStart w:id="57" w:name="_Toc21837"/>
      <w:r>
        <w:rPr>
          <w:rFonts w:ascii="Times New Roman" w:hAnsi="Times New Roman" w:eastAsia="宋体"/>
          <w:b/>
          <w:color w:val="1F4E79"/>
          <w:sz w:val="32"/>
        </w:rPr>
        <w:t>附录B 指标口径与材料索引</w:t>
      </w:r>
      <w:bookmarkEnd w:id="56"/>
      <w:bookmarkEnd w:id="57"/>
    </w:p>
    <w:p w14:paraId="5E01C66E">
      <w:pPr>
        <w:spacing w:after="120" w:line="360" w:lineRule="auto"/>
        <w:ind w:firstLine="480"/>
      </w:pPr>
      <w:r>
        <w:rPr>
          <w:rFonts w:ascii="Times New Roman" w:hAnsi="Times New Roman" w:eastAsia="宋体" w:cs="Times New Roman"/>
          <w:b w:val="0"/>
          <w:sz w:val="24"/>
        </w:rPr>
        <w:t>主要依据为正式提交程序中功能一任务一、功能二任务一/二、功能三任务三的 README、API、ARCHITECTURE、INTERFACE_PROTOCOL、最终主线多指标复算汇总 CSV、压力梯度汇总 CSV、消融报告和复现清单。报告仅使用程序包中已存在的汇总数字，不新增无法复算的结论。</w:t>
      </w:r>
    </w:p>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876"/>
        <w:gridCol w:w="1949"/>
        <w:gridCol w:w="1004"/>
        <w:gridCol w:w="2288"/>
        <w:gridCol w:w="2413"/>
      </w:tblGrid>
      <w:tr w14:paraId="1E7E7F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876"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E367574">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指标</w:t>
            </w:r>
          </w:p>
        </w:tc>
        <w:tc>
          <w:tcPr>
            <w:tcW w:w="1949"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4EF798F7">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当前正式点估计</w:t>
            </w:r>
          </w:p>
        </w:tc>
        <w:tc>
          <w:tcPr>
            <w:tcW w:w="1004"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53C303C">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标准差</w:t>
            </w:r>
          </w:p>
        </w:tc>
        <w:tc>
          <w:tcPr>
            <w:tcW w:w="2288"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01590B00">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95%置信区间</w:t>
            </w:r>
          </w:p>
        </w:tc>
        <w:tc>
          <w:tcPr>
            <w:tcW w:w="241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6DDC2B54">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结论边界</w:t>
            </w:r>
          </w:p>
        </w:tc>
      </w:tr>
      <w:tr w14:paraId="7EE0725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6" w:type="dxa"/>
            <w:tcBorders>
              <w:top w:val="single" w:color="auto" w:sz="4" w:space="0"/>
              <w:left w:val="nil"/>
              <w:bottom w:val="nil"/>
              <w:right w:val="nil"/>
            </w:tcBorders>
            <w:noWrap w:val="0"/>
            <w:tcMar>
              <w:top w:w="-1" w:type="dxa"/>
              <w:left w:w="-1" w:type="dxa"/>
              <w:bottom w:w="-1" w:type="dxa"/>
              <w:right w:w="-1" w:type="dxa"/>
            </w:tcMar>
            <w:vAlign w:val="center"/>
          </w:tcPr>
          <w:p w14:paraId="6D2F612F">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早高峰 TT 改善</w:t>
            </w:r>
          </w:p>
        </w:tc>
        <w:tc>
          <w:tcPr>
            <w:tcW w:w="1949" w:type="dxa"/>
            <w:tcBorders>
              <w:top w:val="single" w:color="auto" w:sz="4" w:space="0"/>
              <w:left w:val="nil"/>
              <w:bottom w:val="nil"/>
              <w:right w:val="nil"/>
            </w:tcBorders>
            <w:noWrap w:val="0"/>
            <w:tcMar>
              <w:top w:w="-1" w:type="dxa"/>
              <w:left w:w="-1" w:type="dxa"/>
              <w:bottom w:w="-1" w:type="dxa"/>
              <w:right w:w="-1" w:type="dxa"/>
            </w:tcMar>
            <w:vAlign w:val="center"/>
          </w:tcPr>
          <w:p w14:paraId="32122DF8">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4.52%</w:t>
            </w:r>
          </w:p>
        </w:tc>
        <w:tc>
          <w:tcPr>
            <w:tcW w:w="1004" w:type="dxa"/>
            <w:tcBorders>
              <w:top w:val="single" w:color="auto" w:sz="4" w:space="0"/>
              <w:left w:val="nil"/>
              <w:bottom w:val="nil"/>
              <w:right w:val="nil"/>
            </w:tcBorders>
            <w:noWrap w:val="0"/>
            <w:tcMar>
              <w:top w:w="-1" w:type="dxa"/>
              <w:left w:w="-1" w:type="dxa"/>
              <w:bottom w:w="-1" w:type="dxa"/>
              <w:right w:w="-1" w:type="dxa"/>
            </w:tcMar>
            <w:vAlign w:val="center"/>
          </w:tcPr>
          <w:p w14:paraId="566BBB2A">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待复测</w:t>
            </w:r>
          </w:p>
        </w:tc>
        <w:tc>
          <w:tcPr>
            <w:tcW w:w="2288" w:type="dxa"/>
            <w:tcBorders>
              <w:top w:val="single" w:color="auto" w:sz="4" w:space="0"/>
              <w:left w:val="nil"/>
              <w:bottom w:val="nil"/>
              <w:right w:val="nil"/>
            </w:tcBorders>
            <w:noWrap w:val="0"/>
            <w:tcMar>
              <w:top w:w="-1" w:type="dxa"/>
              <w:left w:w="-1" w:type="dxa"/>
              <w:bottom w:w="-1" w:type="dxa"/>
              <w:right w:w="-1" w:type="dxa"/>
            </w:tcMar>
            <w:vAlign w:val="center"/>
          </w:tcPr>
          <w:p w14:paraId="4D744449">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待复测（≥5 seeds）</w:t>
            </w:r>
          </w:p>
        </w:tc>
        <w:tc>
          <w:tcPr>
            <w:tcW w:w="2412" w:type="dxa"/>
            <w:tcBorders>
              <w:top w:val="single" w:color="auto" w:sz="4" w:space="0"/>
              <w:left w:val="nil"/>
              <w:bottom w:val="nil"/>
              <w:right w:val="nil"/>
            </w:tcBorders>
            <w:noWrap w:val="0"/>
            <w:tcMar>
              <w:top w:w="-1" w:type="dxa"/>
              <w:left w:w="-1" w:type="dxa"/>
              <w:bottom w:w="-1" w:type="dxa"/>
              <w:right w:w="-1" w:type="dxa"/>
            </w:tcMar>
            <w:vAlign w:val="center"/>
          </w:tcPr>
          <w:p w14:paraId="7D84063A">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仅作为单种子点估计</w:t>
            </w:r>
          </w:p>
        </w:tc>
      </w:tr>
      <w:tr w14:paraId="18BE09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6" w:type="dxa"/>
            <w:tcBorders>
              <w:top w:val="nil"/>
              <w:left w:val="nil"/>
              <w:bottom w:val="nil"/>
              <w:right w:val="nil"/>
            </w:tcBorders>
            <w:noWrap w:val="0"/>
            <w:tcMar>
              <w:top w:w="-1" w:type="dxa"/>
              <w:left w:w="-1" w:type="dxa"/>
              <w:bottom w:w="-1" w:type="dxa"/>
              <w:right w:w="-1" w:type="dxa"/>
            </w:tcMar>
            <w:vAlign w:val="center"/>
          </w:tcPr>
          <w:p w14:paraId="6F2936CB">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平峰 TT 改善</w:t>
            </w:r>
          </w:p>
        </w:tc>
        <w:tc>
          <w:tcPr>
            <w:tcW w:w="1949" w:type="dxa"/>
            <w:tcBorders>
              <w:top w:val="nil"/>
              <w:left w:val="nil"/>
              <w:bottom w:val="nil"/>
              <w:right w:val="nil"/>
            </w:tcBorders>
            <w:noWrap w:val="0"/>
            <w:tcMar>
              <w:top w:w="-1" w:type="dxa"/>
              <w:left w:w="-1" w:type="dxa"/>
              <w:bottom w:w="-1" w:type="dxa"/>
              <w:right w:w="-1" w:type="dxa"/>
            </w:tcMar>
            <w:vAlign w:val="center"/>
          </w:tcPr>
          <w:p w14:paraId="16B13E0D">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8.15%</w:t>
            </w:r>
          </w:p>
        </w:tc>
        <w:tc>
          <w:tcPr>
            <w:tcW w:w="1004" w:type="dxa"/>
            <w:tcBorders>
              <w:top w:val="nil"/>
              <w:left w:val="nil"/>
              <w:bottom w:val="nil"/>
              <w:right w:val="nil"/>
            </w:tcBorders>
            <w:noWrap w:val="0"/>
            <w:tcMar>
              <w:top w:w="-1" w:type="dxa"/>
              <w:left w:w="-1" w:type="dxa"/>
              <w:bottom w:w="-1" w:type="dxa"/>
              <w:right w:w="-1" w:type="dxa"/>
            </w:tcMar>
            <w:vAlign w:val="center"/>
          </w:tcPr>
          <w:p w14:paraId="76FC6C44">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待复测</w:t>
            </w:r>
          </w:p>
        </w:tc>
        <w:tc>
          <w:tcPr>
            <w:tcW w:w="2288" w:type="dxa"/>
            <w:tcBorders>
              <w:top w:val="nil"/>
              <w:left w:val="nil"/>
              <w:bottom w:val="nil"/>
              <w:right w:val="nil"/>
            </w:tcBorders>
            <w:noWrap w:val="0"/>
            <w:tcMar>
              <w:top w:w="-1" w:type="dxa"/>
              <w:left w:w="-1" w:type="dxa"/>
              <w:bottom w:w="-1" w:type="dxa"/>
              <w:right w:w="-1" w:type="dxa"/>
            </w:tcMar>
            <w:vAlign w:val="center"/>
          </w:tcPr>
          <w:p w14:paraId="6B247771">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待复测（≥5 seeds）</w:t>
            </w:r>
          </w:p>
        </w:tc>
        <w:tc>
          <w:tcPr>
            <w:tcW w:w="2412" w:type="dxa"/>
            <w:tcBorders>
              <w:top w:val="nil"/>
              <w:left w:val="nil"/>
              <w:bottom w:val="nil"/>
              <w:right w:val="nil"/>
            </w:tcBorders>
            <w:noWrap w:val="0"/>
            <w:tcMar>
              <w:top w:w="-1" w:type="dxa"/>
              <w:left w:w="-1" w:type="dxa"/>
              <w:bottom w:w="-1" w:type="dxa"/>
              <w:right w:w="-1" w:type="dxa"/>
            </w:tcMar>
            <w:vAlign w:val="center"/>
          </w:tcPr>
          <w:p w14:paraId="248E8B2B">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仅作为单种子点估计</w:t>
            </w:r>
          </w:p>
        </w:tc>
      </w:tr>
      <w:tr w14:paraId="642D73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6" w:type="dxa"/>
            <w:tcBorders>
              <w:top w:val="nil"/>
              <w:left w:val="nil"/>
              <w:bottom w:val="nil"/>
              <w:right w:val="nil"/>
            </w:tcBorders>
            <w:noWrap w:val="0"/>
            <w:tcMar>
              <w:top w:w="-1" w:type="dxa"/>
              <w:left w:w="-1" w:type="dxa"/>
              <w:bottom w:w="-1" w:type="dxa"/>
              <w:right w:w="-1" w:type="dxa"/>
            </w:tcMar>
            <w:vAlign w:val="center"/>
          </w:tcPr>
          <w:p w14:paraId="3C63B331">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晚高峰 TT 改善</w:t>
            </w:r>
          </w:p>
        </w:tc>
        <w:tc>
          <w:tcPr>
            <w:tcW w:w="1949" w:type="dxa"/>
            <w:tcBorders>
              <w:top w:val="nil"/>
              <w:left w:val="nil"/>
              <w:bottom w:val="nil"/>
              <w:right w:val="nil"/>
            </w:tcBorders>
            <w:noWrap w:val="0"/>
            <w:tcMar>
              <w:top w:w="-1" w:type="dxa"/>
              <w:left w:w="-1" w:type="dxa"/>
              <w:bottom w:w="-1" w:type="dxa"/>
              <w:right w:w="-1" w:type="dxa"/>
            </w:tcMar>
            <w:vAlign w:val="center"/>
          </w:tcPr>
          <w:p w14:paraId="24B5F159">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7.00%</w:t>
            </w:r>
          </w:p>
        </w:tc>
        <w:tc>
          <w:tcPr>
            <w:tcW w:w="1004" w:type="dxa"/>
            <w:tcBorders>
              <w:top w:val="nil"/>
              <w:left w:val="nil"/>
              <w:bottom w:val="nil"/>
              <w:right w:val="nil"/>
            </w:tcBorders>
            <w:noWrap w:val="0"/>
            <w:tcMar>
              <w:top w:w="-1" w:type="dxa"/>
              <w:left w:w="-1" w:type="dxa"/>
              <w:bottom w:w="-1" w:type="dxa"/>
              <w:right w:w="-1" w:type="dxa"/>
            </w:tcMar>
            <w:vAlign w:val="center"/>
          </w:tcPr>
          <w:p w14:paraId="387011F1">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待复测</w:t>
            </w:r>
          </w:p>
        </w:tc>
        <w:tc>
          <w:tcPr>
            <w:tcW w:w="2288" w:type="dxa"/>
            <w:tcBorders>
              <w:top w:val="nil"/>
              <w:left w:val="nil"/>
              <w:bottom w:val="nil"/>
              <w:right w:val="nil"/>
            </w:tcBorders>
            <w:noWrap w:val="0"/>
            <w:tcMar>
              <w:top w:w="-1" w:type="dxa"/>
              <w:left w:w="-1" w:type="dxa"/>
              <w:bottom w:w="-1" w:type="dxa"/>
              <w:right w:w="-1" w:type="dxa"/>
            </w:tcMar>
            <w:vAlign w:val="center"/>
          </w:tcPr>
          <w:p w14:paraId="4378027B">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待复测（≥5 seeds）</w:t>
            </w:r>
          </w:p>
        </w:tc>
        <w:tc>
          <w:tcPr>
            <w:tcW w:w="2412" w:type="dxa"/>
            <w:tcBorders>
              <w:top w:val="nil"/>
              <w:left w:val="nil"/>
              <w:bottom w:val="nil"/>
              <w:right w:val="nil"/>
            </w:tcBorders>
            <w:noWrap w:val="0"/>
            <w:tcMar>
              <w:top w:w="-1" w:type="dxa"/>
              <w:left w:w="-1" w:type="dxa"/>
              <w:bottom w:w="-1" w:type="dxa"/>
              <w:right w:w="-1" w:type="dxa"/>
            </w:tcMar>
            <w:vAlign w:val="center"/>
          </w:tcPr>
          <w:p w14:paraId="0028DAC2">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仅作为单种子点估计</w:t>
            </w:r>
          </w:p>
        </w:tc>
      </w:tr>
      <w:tr w14:paraId="3CAB40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876" w:type="dxa"/>
            <w:tcBorders>
              <w:top w:val="nil"/>
              <w:left w:val="nil"/>
              <w:bottom w:val="single" w:color="auto" w:sz="12" w:space="0"/>
              <w:right w:val="nil"/>
            </w:tcBorders>
            <w:noWrap w:val="0"/>
            <w:tcMar>
              <w:top w:w="-1" w:type="dxa"/>
              <w:left w:w="-1" w:type="dxa"/>
              <w:bottom w:w="-1" w:type="dxa"/>
              <w:right w:w="-1" w:type="dxa"/>
            </w:tcMar>
            <w:vAlign w:val="center"/>
          </w:tcPr>
          <w:p w14:paraId="1560CF0B">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燃油/CO₂</w:t>
            </w:r>
          </w:p>
        </w:tc>
        <w:tc>
          <w:tcPr>
            <w:tcW w:w="1949" w:type="dxa"/>
            <w:tcBorders>
              <w:top w:val="nil"/>
              <w:left w:val="nil"/>
              <w:bottom w:val="single" w:color="auto" w:sz="12" w:space="0"/>
              <w:right w:val="nil"/>
            </w:tcBorders>
            <w:noWrap w:val="0"/>
            <w:tcMar>
              <w:top w:w="-1" w:type="dxa"/>
              <w:left w:w="-1" w:type="dxa"/>
              <w:bottom w:w="-1" w:type="dxa"/>
              <w:right w:w="-1" w:type="dxa"/>
            </w:tcMar>
            <w:vAlign w:val="center"/>
          </w:tcPr>
          <w:p w14:paraId="3D53F3EF">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未落盘</w:t>
            </w:r>
          </w:p>
        </w:tc>
        <w:tc>
          <w:tcPr>
            <w:tcW w:w="1004" w:type="dxa"/>
            <w:tcBorders>
              <w:top w:val="nil"/>
              <w:left w:val="nil"/>
              <w:bottom w:val="single" w:color="auto" w:sz="12" w:space="0"/>
              <w:right w:val="nil"/>
            </w:tcBorders>
            <w:noWrap w:val="0"/>
            <w:tcMar>
              <w:top w:w="-1" w:type="dxa"/>
              <w:left w:w="-1" w:type="dxa"/>
              <w:bottom w:w="-1" w:type="dxa"/>
              <w:right w:w="-1" w:type="dxa"/>
            </w:tcMar>
            <w:vAlign w:val="center"/>
          </w:tcPr>
          <w:p w14:paraId="76761B94">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不适用</w:t>
            </w:r>
          </w:p>
        </w:tc>
        <w:tc>
          <w:tcPr>
            <w:tcW w:w="2288" w:type="dxa"/>
            <w:tcBorders>
              <w:top w:val="nil"/>
              <w:left w:val="nil"/>
              <w:bottom w:val="single" w:color="auto" w:sz="12" w:space="0"/>
              <w:right w:val="nil"/>
            </w:tcBorders>
            <w:noWrap w:val="0"/>
            <w:tcMar>
              <w:top w:w="-1" w:type="dxa"/>
              <w:left w:w="-1" w:type="dxa"/>
              <w:bottom w:w="-1" w:type="dxa"/>
              <w:right w:w="-1" w:type="dxa"/>
            </w:tcMar>
            <w:vAlign w:val="center"/>
          </w:tcPr>
          <w:p w14:paraId="2ED160B5">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b w:val="0"/>
                <w:sz w:val="18"/>
                <w:szCs w:val="18"/>
              </w:rPr>
              <w:t>不适用</w:t>
            </w:r>
          </w:p>
        </w:tc>
        <w:tc>
          <w:tcPr>
            <w:tcW w:w="2412" w:type="dxa"/>
            <w:tcBorders>
              <w:top w:val="nil"/>
              <w:left w:val="nil"/>
              <w:bottom w:val="single" w:color="auto" w:sz="12" w:space="0"/>
              <w:right w:val="nil"/>
            </w:tcBorders>
            <w:noWrap w:val="0"/>
            <w:tcMar>
              <w:top w:w="-1" w:type="dxa"/>
              <w:left w:w="-1" w:type="dxa"/>
              <w:bottom w:w="-1" w:type="dxa"/>
              <w:right w:w="-1" w:type="dxa"/>
            </w:tcMar>
            <w:vAlign w:val="center"/>
          </w:tcPr>
          <w:p w14:paraId="58F4C85C">
            <w:pPr>
              <w:keepNext/>
              <w:snapToGrid w:val="0"/>
              <w:spacing w:line="240" w:lineRule="auto"/>
              <w:ind w:left="0" w:leftChars="0" w:right="0" w:rightChars="0" w:firstLine="0" w:firstLineChars="0"/>
              <w:jc w:val="center"/>
              <w:rPr>
                <w:rFonts w:ascii="Times New Roman" w:eastAsia="宋体"/>
                <w:sz w:val="18"/>
                <w:szCs w:val="18"/>
              </w:rPr>
            </w:pPr>
            <w:r>
              <w:rPr>
                <w:rFonts w:ascii="Times New Roman" w:hAnsi="Times New Roman" w:eastAsia="宋体" w:cs="Times New Roman"/>
                <w:b w:val="0"/>
                <w:sz w:val="18"/>
                <w:szCs w:val="18"/>
              </w:rPr>
              <w:t>需由轨迹与模型复算</w:t>
            </w:r>
          </w:p>
        </w:tc>
      </w:tr>
    </w:tbl>
    <w:p w14:paraId="02D6FF75"/>
    <w:tbl>
      <w:tblPr>
        <w:tblStyle w:val="36"/>
        <w:tblW w:w="95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221"/>
        <w:gridCol w:w="2022"/>
        <w:gridCol w:w="3025"/>
        <w:gridCol w:w="1519"/>
        <w:gridCol w:w="1743"/>
      </w:tblGrid>
      <w:tr w14:paraId="56D29E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221"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102838D3">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指标</w:t>
            </w:r>
          </w:p>
        </w:tc>
        <w:tc>
          <w:tcPr>
            <w:tcW w:w="2022"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30C4794F">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当前正式点估计</w:t>
            </w:r>
          </w:p>
        </w:tc>
        <w:tc>
          <w:tcPr>
            <w:tcW w:w="0" w:type="auto"/>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020ED64F">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标准差</w:t>
            </w:r>
          </w:p>
        </w:tc>
        <w:tc>
          <w:tcPr>
            <w:tcW w:w="1519"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779E0A2F">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95%置信区间</w:t>
            </w:r>
          </w:p>
        </w:tc>
        <w:tc>
          <w:tcPr>
            <w:tcW w:w="1743" w:type="dxa"/>
            <w:tcBorders>
              <w:top w:val="single" w:color="auto" w:sz="12" w:space="0"/>
              <w:left w:val="nil"/>
              <w:bottom w:val="nil"/>
              <w:right w:val="nil"/>
            </w:tcBorders>
            <w:shd w:val="clear" w:color="auto" w:fill="1F4E79"/>
            <w:noWrap w:val="0"/>
            <w:tcMar>
              <w:top w:w="-1" w:type="dxa"/>
              <w:left w:w="-1" w:type="dxa"/>
              <w:bottom w:w="-1" w:type="dxa"/>
              <w:right w:w="-1" w:type="dxa"/>
            </w:tcMar>
            <w:vAlign w:val="center"/>
          </w:tcPr>
          <w:p w14:paraId="5CBA5272">
            <w:pPr>
              <w:keepNext/>
              <w:snapToGrid w:val="0"/>
              <w:spacing w:line="240" w:lineRule="auto"/>
              <w:ind w:left="0" w:leftChars="0" w:right="0" w:rightChars="0" w:firstLine="0" w:firstLineChars="0"/>
              <w:jc w:val="center"/>
              <w:rPr>
                <w:rFonts w:ascii="Times New Roman" w:eastAsia="宋体"/>
                <w:b/>
                <w:sz w:val="18"/>
                <w:szCs w:val="18"/>
              </w:rPr>
            </w:pPr>
            <w:r>
              <w:rPr>
                <w:rFonts w:ascii="Times New Roman" w:hAnsi="Times New Roman" w:eastAsia="宋体" w:cs="Times New Roman"/>
                <w:b/>
                <w:color w:val="FFFFFF"/>
                <w:sz w:val="18"/>
                <w:szCs w:val="18"/>
              </w:rPr>
              <w:t>结论边界</w:t>
            </w:r>
          </w:p>
        </w:tc>
      </w:tr>
      <w:tr w14:paraId="6A1456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1" w:type="dxa"/>
            <w:tcBorders>
              <w:top w:val="single" w:color="auto" w:sz="4" w:space="0"/>
              <w:left w:val="nil"/>
              <w:bottom w:val="nil"/>
              <w:right w:val="nil"/>
            </w:tcBorders>
            <w:noWrap w:val="0"/>
            <w:tcMar>
              <w:top w:w="-1" w:type="dxa"/>
              <w:left w:w="-1" w:type="dxa"/>
              <w:bottom w:w="-1" w:type="dxa"/>
              <w:right w:w="-1" w:type="dxa"/>
            </w:tcMar>
            <w:vAlign w:val="center"/>
          </w:tcPr>
          <w:p w14:paraId="50B1397F">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固定配时</w:t>
            </w:r>
          </w:p>
        </w:tc>
        <w:tc>
          <w:tcPr>
            <w:tcW w:w="2022" w:type="dxa"/>
            <w:tcBorders>
              <w:top w:val="single" w:color="auto" w:sz="4" w:space="0"/>
              <w:left w:val="nil"/>
              <w:bottom w:val="nil"/>
              <w:right w:val="nil"/>
            </w:tcBorders>
            <w:noWrap w:val="0"/>
            <w:tcMar>
              <w:top w:w="-1" w:type="dxa"/>
              <w:left w:w="-1" w:type="dxa"/>
              <w:bottom w:w="-1" w:type="dxa"/>
              <w:right w:w="-1" w:type="dxa"/>
            </w:tcMar>
            <w:vAlign w:val="center"/>
          </w:tcPr>
          <w:p w14:paraId="1F9D585A">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相位保持周期、初始偏移</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9ED63AC">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保持1-4个决策周期；偏移0-7</w:t>
            </w:r>
          </w:p>
        </w:tc>
        <w:tc>
          <w:tcPr>
            <w:tcW w:w="1519" w:type="dxa"/>
            <w:tcBorders>
              <w:top w:val="single" w:color="auto" w:sz="4" w:space="0"/>
              <w:left w:val="nil"/>
              <w:bottom w:val="nil"/>
              <w:right w:val="nil"/>
            </w:tcBorders>
            <w:noWrap w:val="0"/>
            <w:tcMar>
              <w:top w:w="-1" w:type="dxa"/>
              <w:left w:w="-1" w:type="dxa"/>
              <w:bottom w:w="-1" w:type="dxa"/>
              <w:right w:w="-1" w:type="dxa"/>
            </w:tcMar>
            <w:vAlign w:val="center"/>
          </w:tcPr>
          <w:p w14:paraId="14D8E5F6">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保持3；偏移0</w:t>
            </w:r>
          </w:p>
        </w:tc>
        <w:tc>
          <w:tcPr>
            <w:tcW w:w="1743" w:type="dxa"/>
            <w:tcBorders>
              <w:top w:val="single" w:color="auto" w:sz="4" w:space="0"/>
              <w:left w:val="nil"/>
              <w:bottom w:val="nil"/>
              <w:right w:val="nil"/>
            </w:tcBorders>
            <w:noWrap w:val="0"/>
            <w:tcMar>
              <w:top w:w="-1" w:type="dxa"/>
              <w:left w:w="-1" w:type="dxa"/>
              <w:bottom w:w="-1" w:type="dxa"/>
              <w:right w:w="-1" w:type="dxa"/>
            </w:tcMar>
            <w:vAlign w:val="center"/>
          </w:tcPr>
          <w:p w14:paraId="7A32AE28">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旅行时间、队列、吞吐率</w:t>
            </w:r>
          </w:p>
        </w:tc>
      </w:tr>
      <w:tr w14:paraId="039B1AF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1" w:type="dxa"/>
            <w:tcBorders>
              <w:top w:val="nil"/>
              <w:left w:val="nil"/>
              <w:bottom w:val="nil"/>
              <w:right w:val="nil"/>
            </w:tcBorders>
            <w:noWrap w:val="0"/>
            <w:tcMar>
              <w:top w:w="-1" w:type="dxa"/>
              <w:left w:w="-1" w:type="dxa"/>
              <w:bottom w:w="-1" w:type="dxa"/>
              <w:right w:w="-1" w:type="dxa"/>
            </w:tcMar>
            <w:vAlign w:val="center"/>
          </w:tcPr>
          <w:p w14:paraId="0109B7EF">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最大压力</w:t>
            </w:r>
          </w:p>
        </w:tc>
        <w:tc>
          <w:tcPr>
            <w:tcW w:w="2022" w:type="dxa"/>
            <w:tcBorders>
              <w:top w:val="nil"/>
              <w:left w:val="nil"/>
              <w:bottom w:val="nil"/>
              <w:right w:val="nil"/>
            </w:tcBorders>
            <w:noWrap w:val="0"/>
            <w:tcMar>
              <w:top w:w="-1" w:type="dxa"/>
              <w:left w:w="-1" w:type="dxa"/>
              <w:bottom w:w="-1" w:type="dxa"/>
              <w:right w:w="-1" w:type="dxa"/>
            </w:tcMar>
            <w:vAlign w:val="center"/>
          </w:tcPr>
          <w:p w14:paraId="1C47D3D6">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控制变体、切换阈值</w:t>
            </w:r>
          </w:p>
        </w:tc>
        <w:tc>
          <w:tcPr>
            <w:tcW w:w="0" w:type="auto"/>
            <w:tcBorders>
              <w:top w:val="nil"/>
              <w:left w:val="nil"/>
              <w:bottom w:val="nil"/>
              <w:right w:val="nil"/>
            </w:tcBorders>
            <w:noWrap w:val="0"/>
            <w:tcMar>
              <w:top w:w="-1" w:type="dxa"/>
              <w:left w:w="-1" w:type="dxa"/>
              <w:bottom w:w="-1" w:type="dxa"/>
              <w:right w:w="-1" w:type="dxa"/>
            </w:tcMar>
            <w:vAlign w:val="center"/>
          </w:tcPr>
          <w:p w14:paraId="28CFD8C3">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max_pressure / actuated_pressure；阈值1.05-1.20</w:t>
            </w:r>
          </w:p>
        </w:tc>
        <w:tc>
          <w:tcPr>
            <w:tcW w:w="1519" w:type="dxa"/>
            <w:tcBorders>
              <w:top w:val="nil"/>
              <w:left w:val="nil"/>
              <w:bottom w:val="nil"/>
              <w:right w:val="nil"/>
            </w:tcBorders>
            <w:noWrap w:val="0"/>
            <w:tcMar>
              <w:top w:w="-1" w:type="dxa"/>
              <w:left w:w="-1" w:type="dxa"/>
              <w:bottom w:w="-1" w:type="dxa"/>
              <w:right w:w="-1" w:type="dxa"/>
            </w:tcMar>
            <w:vAlign w:val="center"/>
          </w:tcPr>
          <w:p w14:paraId="0E589016">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max_pressure基线</w:t>
            </w:r>
          </w:p>
        </w:tc>
        <w:tc>
          <w:tcPr>
            <w:tcW w:w="1743" w:type="dxa"/>
            <w:tcBorders>
              <w:top w:val="nil"/>
              <w:left w:val="nil"/>
              <w:bottom w:val="nil"/>
              <w:right w:val="nil"/>
            </w:tcBorders>
            <w:noWrap w:val="0"/>
            <w:tcMar>
              <w:top w:w="-1" w:type="dxa"/>
              <w:left w:w="-1" w:type="dxa"/>
              <w:bottom w:w="-1" w:type="dxa"/>
              <w:right w:w="-1" w:type="dxa"/>
            </w:tcMar>
            <w:vAlign w:val="center"/>
          </w:tcPr>
          <w:p w14:paraId="6D118521">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旅行时间、延迟、队列</w:t>
            </w:r>
          </w:p>
        </w:tc>
      </w:tr>
      <w:tr w14:paraId="4C1295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221" w:type="dxa"/>
            <w:tcBorders>
              <w:top w:val="nil"/>
              <w:left w:val="nil"/>
              <w:bottom w:val="single" w:color="auto" w:sz="12" w:space="0"/>
              <w:right w:val="nil"/>
            </w:tcBorders>
            <w:noWrap w:val="0"/>
            <w:tcMar>
              <w:top w:w="-1" w:type="dxa"/>
              <w:left w:w="-1" w:type="dxa"/>
              <w:bottom w:w="-1" w:type="dxa"/>
              <w:right w:w="-1" w:type="dxa"/>
            </w:tcMar>
            <w:vAlign w:val="center"/>
          </w:tcPr>
          <w:p w14:paraId="70C7E9A8">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TRANSYT风格</w:t>
            </w:r>
          </w:p>
        </w:tc>
        <w:tc>
          <w:tcPr>
            <w:tcW w:w="2022" w:type="dxa"/>
            <w:tcBorders>
              <w:top w:val="nil"/>
              <w:left w:val="nil"/>
              <w:bottom w:val="single" w:color="auto" w:sz="12" w:space="0"/>
              <w:right w:val="nil"/>
            </w:tcBorders>
            <w:noWrap w:val="0"/>
            <w:tcMar>
              <w:top w:w="-1" w:type="dxa"/>
              <w:left w:w="-1" w:type="dxa"/>
              <w:bottom w:w="-1" w:type="dxa"/>
              <w:right w:w="-1" w:type="dxa"/>
            </w:tcMar>
            <w:vAlign w:val="center"/>
          </w:tcPr>
          <w:p w14:paraId="082E1653">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共同周期、需求平滑、即时需求权重</w:t>
            </w:r>
          </w:p>
        </w:tc>
        <w:tc>
          <w:tcPr>
            <w:tcW w:w="3025" w:type="dxa"/>
            <w:tcBorders>
              <w:top w:val="nil"/>
              <w:left w:val="nil"/>
              <w:bottom w:val="single" w:color="auto" w:sz="12" w:space="0"/>
              <w:right w:val="nil"/>
            </w:tcBorders>
            <w:noWrap w:val="0"/>
            <w:tcMar>
              <w:top w:w="-1" w:type="dxa"/>
              <w:left w:w="-1" w:type="dxa"/>
              <w:bottom w:w="-1" w:type="dxa"/>
              <w:right w:w="-1" w:type="dxa"/>
            </w:tcMar>
            <w:vAlign w:val="center"/>
          </w:tcPr>
          <w:p w14:paraId="6E4EC59F">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周期8/9/10/12；系数0.25/0.35/0.50</w:t>
            </w:r>
          </w:p>
        </w:tc>
        <w:tc>
          <w:tcPr>
            <w:tcW w:w="1519" w:type="dxa"/>
            <w:tcBorders>
              <w:top w:val="nil"/>
              <w:left w:val="nil"/>
              <w:bottom w:val="single" w:color="auto" w:sz="12" w:space="0"/>
              <w:right w:val="nil"/>
            </w:tcBorders>
            <w:noWrap w:val="0"/>
            <w:tcMar>
              <w:top w:w="-1" w:type="dxa"/>
              <w:left w:w="-1" w:type="dxa"/>
              <w:bottom w:w="-1" w:type="dxa"/>
              <w:right w:w="-1" w:type="dxa"/>
            </w:tcMar>
            <w:vAlign w:val="center"/>
          </w:tcPr>
          <w:p w14:paraId="1DC510BD">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周期9；0.35；0.35</w:t>
            </w:r>
          </w:p>
        </w:tc>
        <w:tc>
          <w:tcPr>
            <w:tcW w:w="1743" w:type="dxa"/>
            <w:tcBorders>
              <w:top w:val="nil"/>
              <w:left w:val="nil"/>
              <w:bottom w:val="single" w:color="auto" w:sz="12" w:space="0"/>
              <w:right w:val="nil"/>
            </w:tcBorders>
            <w:noWrap w:val="0"/>
            <w:tcMar>
              <w:top w:w="-1" w:type="dxa"/>
              <w:left w:w="-1" w:type="dxa"/>
              <w:bottom w:w="-1" w:type="dxa"/>
              <w:right w:w="-1" w:type="dxa"/>
            </w:tcMar>
            <w:vAlign w:val="center"/>
          </w:tcPr>
          <w:p w14:paraId="70C295E4">
            <w:pPr>
              <w:keepNext/>
              <w:snapToGrid w:val="0"/>
              <w:spacing w:line="240" w:lineRule="auto"/>
              <w:ind w:left="0" w:leftChars="0" w:right="0" w:rightChars="0" w:firstLine="0" w:firstLineChars="0"/>
              <w:jc w:val="left"/>
              <w:rPr>
                <w:rFonts w:ascii="Times New Roman" w:eastAsia="宋体"/>
                <w:sz w:val="18"/>
                <w:szCs w:val="18"/>
              </w:rPr>
            </w:pPr>
            <w:r>
              <w:rPr>
                <w:rFonts w:ascii="Times New Roman" w:hAnsi="Times New Roman" w:eastAsia="宋体" w:cs="Times New Roman"/>
                <w:sz w:val="18"/>
                <w:szCs w:val="18"/>
              </w:rPr>
              <w:t>旅行时间、延迟、走廊协调效果</w:t>
            </w:r>
          </w:p>
        </w:tc>
      </w:tr>
    </w:tbl>
    <w:p w14:paraId="5EFC6830">
      <w:r>
        <w:br w:type="page"/>
      </w:r>
    </w:p>
    <w:p w14:paraId="402B8DC2">
      <w:pPr>
        <w:pStyle w:val="3"/>
        <w:jc w:val="center"/>
        <w:rPr>
          <w:rFonts w:hint="eastAsia" w:ascii="Times New Roman" w:hAnsi="Times New Roman" w:eastAsia="宋体"/>
          <w:b/>
          <w:color w:val="1F4E79"/>
          <w:sz w:val="32"/>
          <w:lang w:val="en-US" w:eastAsia="zh-CN"/>
        </w:rPr>
      </w:pPr>
      <w:bookmarkStart w:id="58" w:name="_Toc19418"/>
      <w:r>
        <w:rPr>
          <w:rFonts w:hint="eastAsia" w:ascii="Times New Roman" w:hAnsi="Times New Roman" w:eastAsia="宋体"/>
          <w:b/>
          <w:color w:val="1F4E79"/>
          <w:sz w:val="32"/>
          <w:lang w:val="en-US" w:eastAsia="zh-CN"/>
        </w:rPr>
        <w:t>参考文献</w:t>
      </w:r>
      <w:bookmarkEnd w:id="58"/>
    </w:p>
    <w:p w14:paraId="3BBD7E24">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 Markos Papageorgiou, Markos Ben-Akiva, et al. Review of road traffic control strategies. </w:t>
      </w:r>
      <w:r>
        <w:rPr>
          <w:rStyle w:val="137"/>
          <w:rFonts w:hint="default" w:ascii="Times New Roman" w:hAnsi="Times New Roman" w:cs="Times New Roman"/>
          <w:sz w:val="21"/>
          <w:szCs w:val="21"/>
        </w:rPr>
        <w:t>Proceedings of the IEEE</w:t>
      </w:r>
      <w:r>
        <w:rPr>
          <w:rFonts w:hint="default" w:ascii="Times New Roman" w:hAnsi="Times New Roman" w:cs="Times New Roman"/>
          <w:sz w:val="21"/>
          <w:szCs w:val="21"/>
        </w:rPr>
        <w:t>, 103(1):1–19, 2015.</w:t>
      </w:r>
    </w:p>
    <w:p w14:paraId="2233D554">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[2] Vahid Moghaddam, and Ákos Hegyi. A review of adaptive traffic signal control methods. </w:t>
      </w:r>
      <w:r>
        <w:rPr>
          <w:rStyle w:val="137"/>
          <w:rFonts w:hint="default" w:ascii="Times New Roman" w:hAnsi="Times New Roman" w:cs="Times New Roman"/>
          <w:sz w:val="21"/>
          <w:szCs w:val="21"/>
        </w:rPr>
        <w:t>Transportation Research Procedia</w:t>
      </w:r>
      <w:r>
        <w:rPr>
          <w:rFonts w:hint="default" w:ascii="Times New Roman" w:hAnsi="Times New Roman" w:cs="Times New Roman"/>
          <w:sz w:val="21"/>
          <w:szCs w:val="21"/>
        </w:rPr>
        <w:t>, 25:2627–2640, 2017.</w:t>
      </w:r>
    </w:p>
    <w:p w14:paraId="6446D8D2">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[3] Wesley Genders, and Saeed Razavi. Evaluating reinforcement learning state representations for adaptive traffic signal control. </w:t>
      </w:r>
      <w:r>
        <w:rPr>
          <w:rStyle w:val="137"/>
          <w:rFonts w:hint="default" w:ascii="Times New Roman" w:hAnsi="Times New Roman" w:cs="Times New Roman"/>
          <w:sz w:val="21"/>
          <w:szCs w:val="21"/>
        </w:rPr>
        <w:t>Transportation Research Part C: Emerging Technologies</w:t>
      </w:r>
      <w:r>
        <w:rPr>
          <w:rFonts w:hint="default" w:ascii="Times New Roman" w:hAnsi="Times New Roman" w:cs="Times New Roman"/>
          <w:sz w:val="21"/>
          <w:szCs w:val="21"/>
        </w:rPr>
        <w:t>, 93:29–46, 2018.</w:t>
      </w:r>
    </w:p>
    <w:p w14:paraId="18CEC5D2">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[4] Guanjie Zheng, Yuanhao Xiong, Xinshi Zang, Jie Feng, Hua Wei, Huichu Zhang, Yong Li, Kai Xu, and Zhenhui Li. Learning phase competition for traffic signal control. </w:t>
      </w:r>
      <w:r>
        <w:rPr>
          <w:rStyle w:val="137"/>
          <w:rFonts w:hint="default" w:ascii="Times New Roman" w:hAnsi="Times New Roman" w:cs="Times New Roman"/>
          <w:sz w:val="21"/>
          <w:szCs w:val="21"/>
        </w:rPr>
        <w:t>Proceedings of the 28th ACM International Conference on Information and Knowledge Management</w:t>
      </w:r>
      <w:r>
        <w:rPr>
          <w:rFonts w:hint="default" w:ascii="Times New Roman" w:hAnsi="Times New Roman" w:cs="Times New Roman"/>
          <w:sz w:val="21"/>
          <w:szCs w:val="21"/>
        </w:rPr>
        <w:t xml:space="preserve">, pages phase 竞赛方法, 2019. </w:t>
      </w:r>
    </w:p>
    <w:p w14:paraId="38087F37">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[5] Hua Wei, Chacha Chen, Guanjie Zheng, Kun Wu, Vikash V. Gayah, Kai Xu, and Zhenhui Li. CoLight: Learning network-level cooperation for traffic signal control. </w:t>
      </w:r>
      <w:r>
        <w:rPr>
          <w:rStyle w:val="137"/>
          <w:rFonts w:hint="default" w:ascii="Times New Roman" w:hAnsi="Times New Roman" w:cs="Times New Roman"/>
          <w:sz w:val="21"/>
          <w:szCs w:val="21"/>
        </w:rPr>
        <w:t>Proceedings of the 28th ACM International Conference on Information and Knowledge Management</w:t>
      </w:r>
      <w:r>
        <w:rPr>
          <w:rFonts w:hint="default" w:ascii="Times New Roman" w:hAnsi="Times New Roman" w:cs="Times New Roman"/>
          <w:sz w:val="21"/>
          <w:szCs w:val="21"/>
        </w:rPr>
        <w:t>, 2019.</w:t>
      </w:r>
    </w:p>
    <w:p w14:paraId="3EF26C84">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[6] Tianshu Chu, Jie Wang, Luca Codecà, and Zhaoyuan Li. Multi-agent deep reinforcement learning for large-scale traffic signal control. </w:t>
      </w:r>
      <w:r>
        <w:rPr>
          <w:rStyle w:val="137"/>
          <w:rFonts w:hint="default" w:ascii="Times New Roman" w:hAnsi="Times New Roman" w:cs="Times New Roman"/>
          <w:sz w:val="21"/>
          <w:szCs w:val="21"/>
        </w:rPr>
        <w:t>IEEE Transactions on Intelligent Transportation Systems</w:t>
      </w:r>
      <w:r>
        <w:rPr>
          <w:rFonts w:hint="default" w:ascii="Times New Roman" w:hAnsi="Times New Roman" w:cs="Times New Roman"/>
          <w:sz w:val="21"/>
          <w:szCs w:val="21"/>
        </w:rPr>
        <w:t>, 21, 2020.</w:t>
      </w:r>
    </w:p>
    <w:p w14:paraId="41548DC8">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[7] Leilei Yue, Xuegang Li, et al. State-of-the-art review of traffic signal control methods: Challenges and opportunities. </w:t>
      </w:r>
      <w:r>
        <w:rPr>
          <w:rStyle w:val="137"/>
          <w:rFonts w:hint="default" w:ascii="Times New Roman" w:hAnsi="Times New Roman" w:cs="Times New Roman"/>
          <w:sz w:val="21"/>
          <w:szCs w:val="21"/>
        </w:rPr>
        <w:t>European Transport Research Review</w:t>
      </w:r>
      <w:r>
        <w:rPr>
          <w:rFonts w:hint="default" w:ascii="Times New Roman" w:hAnsi="Times New Roman" w:cs="Times New Roman"/>
          <w:sz w:val="21"/>
          <w:szCs w:val="21"/>
        </w:rPr>
        <w:t>, 12, 2020.</w:t>
      </w:r>
    </w:p>
    <w:p w14:paraId="5724DD62">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[8] Andrzej Szarata, Piotr Ostaszewski, and Hamid Mirzahossein. Simulating the impact of autonomous vehicles on intersections traffic conditions using TRANSYT and PTV Vissim. </w:t>
      </w:r>
      <w:r>
        <w:rPr>
          <w:rStyle w:val="137"/>
          <w:rFonts w:hint="default" w:ascii="Times New Roman" w:hAnsi="Times New Roman" w:cs="Times New Roman"/>
          <w:sz w:val="21"/>
          <w:szCs w:val="21"/>
        </w:rPr>
        <w:t>Innovative Infrastructure Solutions</w:t>
      </w:r>
      <w:r>
        <w:rPr>
          <w:rFonts w:hint="default" w:ascii="Times New Roman" w:hAnsi="Times New Roman" w:cs="Times New Roman"/>
          <w:sz w:val="21"/>
          <w:szCs w:val="21"/>
        </w:rPr>
        <w:t>, 8, 2023.</w:t>
      </w:r>
    </w:p>
    <w:p w14:paraId="7C438CCA">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[9] Longchao Da, Hao Mei, Romir Sharma, and Hua Wei. Uncertainty-aware grounded action transformation towards sim-to-real transfer for traffic signal control. </w:t>
      </w:r>
      <w:r>
        <w:rPr>
          <w:rStyle w:val="137"/>
          <w:rFonts w:hint="default" w:ascii="Times New Roman" w:hAnsi="Times New Roman" w:cs="Times New Roman"/>
          <w:sz w:val="21"/>
          <w:szCs w:val="21"/>
        </w:rPr>
        <w:t>2023 IEEE Conference on Decision and Control (CDC)</w:t>
      </w:r>
      <w:r>
        <w:rPr>
          <w:rFonts w:hint="default" w:ascii="Times New Roman" w:hAnsi="Times New Roman" w:cs="Times New Roman"/>
          <w:sz w:val="21"/>
          <w:szCs w:val="21"/>
        </w:rPr>
        <w:t>, 2023.</w:t>
      </w:r>
    </w:p>
    <w:p w14:paraId="0F830947">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[10] Tanveer Ahmed, Hao Liu, and Vikash V. Gayah. C-MP: A decentralized adaptive-coordinated traffic signal control using the Max Pressure framework. </w:t>
      </w:r>
      <w:r>
        <w:rPr>
          <w:rStyle w:val="137"/>
          <w:rFonts w:hint="default" w:ascii="Times New Roman" w:hAnsi="Times New Roman" w:cs="Times New Roman"/>
          <w:sz w:val="21"/>
          <w:szCs w:val="21"/>
        </w:rPr>
        <w:t>Transportation Research Part B: Methodological</w:t>
      </w:r>
      <w:r>
        <w:rPr>
          <w:rFonts w:hint="default" w:ascii="Times New Roman" w:hAnsi="Times New Roman" w:cs="Times New Roman"/>
          <w:sz w:val="21"/>
          <w:szCs w:val="21"/>
        </w:rPr>
        <w:t xml:space="preserve">, 2025. DOI: </w:t>
      </w:r>
      <w:r>
        <w:rPr>
          <w:rStyle w:val="138"/>
          <w:rFonts w:hint="default" w:ascii="Times New Roman" w:hAnsi="Times New Roman" w:cs="Times New Roman"/>
          <w:sz w:val="21"/>
          <w:szCs w:val="21"/>
        </w:rPr>
        <w:t>10.1016/j.trb.2025.103308</w:t>
      </w:r>
      <w:r>
        <w:rPr>
          <w:rFonts w:hint="default" w:ascii="Times New Roman" w:hAnsi="Times New Roman" w:cs="Times New Roman"/>
          <w:sz w:val="21"/>
          <w:szCs w:val="21"/>
        </w:rPr>
        <w:t>.</w:t>
      </w:r>
    </w:p>
    <w:p w14:paraId="7F57209E">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[11] Penghui Zhang, Chao Yang, et al. CityFlow: A multi-agent reinforcement learning environment for large-scale city traffic scenario. </w:t>
      </w:r>
      <w:r>
        <w:rPr>
          <w:rStyle w:val="137"/>
          <w:rFonts w:hint="default" w:ascii="Times New Roman" w:hAnsi="Times New Roman" w:cs="Times New Roman"/>
          <w:sz w:val="21"/>
          <w:szCs w:val="21"/>
        </w:rPr>
        <w:t>Proceedings of the World Wide Web Conference</w:t>
      </w:r>
      <w:r>
        <w:rPr>
          <w:rFonts w:hint="default" w:ascii="Times New Roman" w:hAnsi="Times New Roman" w:cs="Times New Roman"/>
          <w:sz w:val="21"/>
          <w:szCs w:val="21"/>
        </w:rPr>
        <w:t xml:space="preserve">, pages 3620–3624, 2019. </w:t>
      </w:r>
    </w:p>
    <w:p w14:paraId="268B0F8A">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[12] Pablo A. López, Michael Behrisch, Laura Bieker-Walz, Jakob Erdmann, Yun-Pang Flötteröd, Robert Hilbrich, Leonhard Lücken, Johannes Rummel, Peter Wagner, and Evamarie Wießner. Microscopic traffic simulation using SUMO. </w:t>
      </w:r>
      <w:r>
        <w:rPr>
          <w:rStyle w:val="137"/>
          <w:rFonts w:hint="default" w:ascii="Times New Roman" w:hAnsi="Times New Roman" w:cs="Times New Roman"/>
          <w:sz w:val="21"/>
          <w:szCs w:val="21"/>
        </w:rPr>
        <w:t>2018 IEEE Intelligent Transportation Systems Conference (ITSC)</w:t>
      </w:r>
      <w:r>
        <w:rPr>
          <w:rFonts w:hint="default" w:ascii="Times New Roman" w:hAnsi="Times New Roman" w:cs="Times New Roman"/>
          <w:sz w:val="21"/>
          <w:szCs w:val="21"/>
        </w:rPr>
        <w:t>, pages 2575–2582, 2018.</w:t>
      </w:r>
    </w:p>
    <w:p w14:paraId="763902E5">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[13] Michael Behrisch, Laura Bieker, Jakob Erdmann, and Daniel Krajzewicz. SUMO—Simulation of urban mobility: An overview. </w:t>
      </w:r>
      <w:r>
        <w:rPr>
          <w:rStyle w:val="137"/>
          <w:rFonts w:hint="default" w:ascii="Times New Roman" w:hAnsi="Times New Roman" w:cs="Times New Roman"/>
          <w:sz w:val="21"/>
          <w:szCs w:val="21"/>
        </w:rPr>
        <w:t>Proceedings of the Third International Conference on Advances in System Simulation</w:t>
      </w:r>
      <w:r>
        <w:rPr>
          <w:rFonts w:hint="default" w:ascii="Times New Roman" w:hAnsi="Times New Roman" w:cs="Times New Roman"/>
          <w:sz w:val="21"/>
          <w:szCs w:val="21"/>
        </w:rPr>
        <w:t>, pages 63–68, 2016.</w:t>
      </w:r>
    </w:p>
    <w:p w14:paraId="6CE7C75B">
      <w:pPr>
        <w:pStyle w:val="3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rPr>
        <w:t xml:space="preserve">[14] Nils K. L. et al. Emerging technologies to enhance traffic signal coordination practices. </w:t>
      </w:r>
      <w:r>
        <w:rPr>
          <w:rStyle w:val="137"/>
          <w:rFonts w:hint="default" w:ascii="Times New Roman" w:hAnsi="Times New Roman" w:cs="Times New Roman"/>
          <w:sz w:val="21"/>
          <w:szCs w:val="21"/>
        </w:rPr>
        <w:t>Traffic Information and Control</w:t>
      </w:r>
      <w:r>
        <w:rPr>
          <w:rFonts w:hint="default" w:ascii="Times New Roman" w:hAnsi="Times New Roman" w:cs="Times New Roman"/>
          <w:sz w:val="21"/>
          <w:szCs w:val="21"/>
        </w:rPr>
        <w:t>, 2020.</w:t>
      </w:r>
    </w:p>
    <w:sectPr>
      <w:footerReference r:id="rId5" w:type="default"/>
      <w:pgSz w:w="11906" w:h="16838"/>
      <w:pgMar w:top="1152"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7D9FC">
    <w:pPr>
      <w:pStyle w:val="24"/>
      <w:jc w:val="center"/>
    </w:pPr>
    <w:r>
      <w:rPr>
        <w:rFonts w:ascii="Times New Roman" w:hAnsi="Times New Roman" w:eastAsia="宋体"/>
        <w:b w:val="0"/>
        <w:sz w:val="18"/>
      </w:rPr>
      <w:t xml:space="preserve">系统设计与算法报告  |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65803"/>
    <w:rsid w:val="00AA1D8D"/>
    <w:rsid w:val="00B47730"/>
    <w:rsid w:val="00CB0664"/>
    <w:rsid w:val="00FC693F"/>
    <w:rsid w:val="06EA651F"/>
    <w:rsid w:val="09D86837"/>
    <w:rsid w:val="0C52610E"/>
    <w:rsid w:val="18084CB5"/>
    <w:rsid w:val="196C4DB4"/>
    <w:rsid w:val="262536F2"/>
    <w:rsid w:val="3E9B6111"/>
    <w:rsid w:val="402014A1"/>
    <w:rsid w:val="46AA5949"/>
    <w:rsid w:val="4D5A1AB2"/>
    <w:rsid w:val="54567D19"/>
    <w:rsid w:val="58291CEB"/>
    <w:rsid w:val="5F1D385B"/>
    <w:rsid w:val="6EF4485A"/>
    <w:rsid w:val="747954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1F4E79"/>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after="0" w:line="240" w:lineRule="auto"/>
    </w:pPr>
  </w:style>
  <w:style w:type="paragraph" w:styleId="25">
    <w:name w:val="header"/>
    <w:basedOn w:val="1"/>
    <w:link w:val="139"/>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TML Code"/>
    <w:basedOn w:val="135"/>
    <w:semiHidden/>
    <w:unhideWhenUsed/>
    <w:qFormat/>
    <w:uiPriority w:val="99"/>
    <w:rPr>
      <w:rFonts w:ascii="Courier New" w:hAnsi="Courier New"/>
      <w:sz w:val="20"/>
    </w:rPr>
  </w:style>
  <w:style w:type="character" w:customStyle="1" w:styleId="139">
    <w:name w:val="Header Char"/>
    <w:basedOn w:val="135"/>
    <w:link w:val="25"/>
    <w:qFormat/>
    <w:uiPriority w:val="99"/>
  </w:style>
  <w:style w:type="character" w:customStyle="1" w:styleId="140">
    <w:name w:val="Footer Char"/>
    <w:basedOn w:val="135"/>
    <w:link w:val="24"/>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5"/>
    <w:link w:val="19"/>
    <w:qFormat/>
    <w:uiPriority w:val="99"/>
  </w:style>
  <w:style w:type="character" w:customStyle="1" w:styleId="149">
    <w:name w:val="Body Text 2 Char"/>
    <w:basedOn w:val="135"/>
    <w:link w:val="30"/>
    <w:qFormat/>
    <w:uiPriority w:val="99"/>
  </w:style>
  <w:style w:type="character" w:customStyle="1" w:styleId="150">
    <w:name w:val="Body Text 3 Char"/>
    <w:basedOn w:val="135"/>
    <w:link w:val="17"/>
    <w:qFormat/>
    <w:uiPriority w:val="99"/>
    <w:rPr>
      <w:sz w:val="16"/>
      <w:szCs w:val="16"/>
    </w:rPr>
  </w:style>
  <w:style w:type="character" w:customStyle="1" w:styleId="151">
    <w:name w:val="Macro Text Char"/>
    <w:basedOn w:val="135"/>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5"/>
    <w:link w:val="152"/>
    <w:qFormat/>
    <w:uiPriority w:val="29"/>
    <w:rPr>
      <w:i/>
      <w:iCs/>
      <w:color w:val="000000" w:themeColor="text1"/>
      <w14:textFill>
        <w14:solidFill>
          <w14:schemeClr w14:val="tx1"/>
        </w14:solidFill>
      </w14:textFill>
    </w:rPr>
  </w:style>
  <w:style w:type="character" w:customStyle="1" w:styleId="154">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5"/>
    <w:link w:val="160"/>
    <w:qFormat/>
    <w:uiPriority w:val="30"/>
    <w:rPr>
      <w:b/>
      <w:bCs/>
      <w:i/>
      <w:iCs/>
      <w:color w:val="4F81BD" w:themeColor="accent1"/>
      <w14:textFill>
        <w14:solidFill>
          <w14:schemeClr w14:val="accent1"/>
        </w14:solidFill>
      </w14:textFill>
    </w:rPr>
  </w:style>
  <w:style w:type="character" w:customStyle="1" w:styleId="162">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5"/>
    <w:qFormat/>
    <w:uiPriority w:val="21"/>
    <w:rPr>
      <w:b/>
      <w:bCs/>
      <w:i/>
      <w:iCs/>
      <w:color w:val="4F81BD" w:themeColor="accent1"/>
      <w14:textFill>
        <w14:solidFill>
          <w14:schemeClr w14:val="accent1"/>
        </w14:solidFill>
      </w14:textFill>
    </w:rPr>
  </w:style>
  <w:style w:type="character" w:customStyle="1" w:styleId="164">
    <w:name w:val="Subtle Reference"/>
    <w:basedOn w:val="135"/>
    <w:qFormat/>
    <w:uiPriority w:val="31"/>
    <w:rPr>
      <w:smallCaps/>
      <w:color w:val="C0504D" w:themeColor="accent2"/>
      <w:u w:val="single"/>
      <w14:textFill>
        <w14:solidFill>
          <w14:schemeClr w14:val="accent2"/>
        </w14:solidFill>
      </w14:textFill>
    </w:rPr>
  </w:style>
  <w:style w:type="character" w:customStyle="1" w:styleId="165">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5"/>
    <w:qFormat/>
    <w:uiPriority w:val="33"/>
    <w:rPr>
      <w:b/>
      <w:bCs/>
      <w:smallCaps/>
      <w:spacing w:val="5"/>
    </w:rPr>
  </w:style>
  <w:style w:type="paragraph" w:customStyle="1" w:styleId="167">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11732</Words>
  <Characters>14534</Characters>
  <Lines>0</Lines>
  <Paragraphs>0</Paragraphs>
  <TotalTime>11</TotalTime>
  <ScaleCrop>false</ScaleCrop>
  <LinksUpToDate>false</LinksUpToDate>
  <CharactersWithSpaces>15069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25182404</dc:creator>
  <dc:description>generated by python-docx</dc:description>
  <cp:lastModifiedBy>25182404</cp:lastModifiedBy>
  <dcterms:modified xsi:type="dcterms:W3CDTF">2026-09-03T14:43:22Z</dcterms:modified>
  <dc:title>系统设计与算法报告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eyJoZGlkIjoiYmQ4OTZhZDJiMDQ5NTA3ZTIyMTczZjFhYzE0NDFlMWUiLCJ1c2VySWQiOiIxNzQ2NzIwNDE3In0=</vt:lpwstr>
  </property>
  <property fmtid="{D5CDD505-2E9C-101B-9397-08002B2CF9AE}" pid="3" name="KSOProductBuildVer">
    <vt:lpwstr>2052-12.1.0.28505</vt:lpwstr>
  </property>
  <property fmtid="{D5CDD505-2E9C-101B-9397-08002B2CF9AE}" pid="4" name="ICV">
    <vt:lpwstr>BCDF02B4A42D4245B5B011D5CB2E6379_12</vt:lpwstr>
  </property>
</Properties>
</file>